
<file path=[Content_Types].xml><?xml version="1.0" encoding="utf-8"?>
<Types xmlns="http://schemas.openxmlformats.org/package/2006/content-types">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4B18" w:rsidRPr="00CE1B5B" w:rsidRDefault="00014B18" w:rsidP="00853EF4">
      <w:pPr>
        <w:jc w:val="both"/>
        <w:rPr>
          <w:rFonts w:ascii="Tahoma" w:hAnsi="Tahoma" w:cs="Tahoma"/>
          <w:b/>
          <w:bCs/>
        </w:rPr>
      </w:pPr>
      <w:bookmarkStart w:id="0" w:name="_GoBack"/>
      <w:bookmarkEnd w:id="0"/>
    </w:p>
    <w:p w:rsidR="00014B18" w:rsidRPr="00CE1B5B" w:rsidRDefault="00014B18" w:rsidP="00853EF4">
      <w:pPr>
        <w:jc w:val="both"/>
        <w:rPr>
          <w:rFonts w:ascii="Tahoma" w:hAnsi="Tahoma" w:cs="Tahoma"/>
          <w:b/>
          <w:bCs/>
        </w:rPr>
      </w:pPr>
    </w:p>
    <w:p w:rsidR="00014B18" w:rsidRPr="00CE1B5B" w:rsidRDefault="00014B18" w:rsidP="00853EF4">
      <w:pPr>
        <w:jc w:val="both"/>
        <w:rPr>
          <w:rFonts w:ascii="Tahoma" w:hAnsi="Tahoma" w:cs="Tahoma"/>
          <w:b/>
          <w:bCs/>
        </w:rPr>
      </w:pPr>
      <w:r w:rsidRPr="00CE1B5B">
        <w:rPr>
          <w:rFonts w:ascii="Tahoma" w:hAnsi="Tahoma" w:cs="Tahoma"/>
          <w:b/>
          <w:bCs/>
        </w:rPr>
        <w:t>Plnění rozpočtu Moravskoslezského kraje k </w:t>
      </w:r>
      <w:r w:rsidR="00061E36" w:rsidRPr="00CE1B5B">
        <w:rPr>
          <w:rFonts w:ascii="Tahoma" w:hAnsi="Tahoma" w:cs="Tahoma"/>
          <w:b/>
          <w:bCs/>
        </w:rPr>
        <w:t>30. 4. 2014</w:t>
      </w:r>
    </w:p>
    <w:p w:rsidR="00014B18" w:rsidRPr="00CE1B5B" w:rsidRDefault="00014B18" w:rsidP="00D01918">
      <w:pPr>
        <w:rPr>
          <w:rFonts w:ascii="Tahoma" w:hAnsi="Tahoma" w:cs="Tahoma"/>
          <w:sz w:val="20"/>
          <w:szCs w:val="20"/>
        </w:rPr>
      </w:pPr>
    </w:p>
    <w:p w:rsidR="00014B18" w:rsidRPr="00CE1B5B" w:rsidRDefault="00014B18" w:rsidP="00853EF4">
      <w:pPr>
        <w:pStyle w:val="Nadpis1"/>
        <w:spacing w:line="240" w:lineRule="atLeast"/>
        <w:jc w:val="both"/>
        <w:rPr>
          <w:rFonts w:ascii="Tahoma" w:hAnsi="Tahoma" w:cs="Tahoma"/>
          <w:sz w:val="24"/>
        </w:rPr>
      </w:pPr>
      <w:r w:rsidRPr="00CE1B5B">
        <w:rPr>
          <w:rFonts w:ascii="Tahoma" w:hAnsi="Tahoma" w:cs="Tahoma"/>
          <w:sz w:val="24"/>
        </w:rPr>
        <w:t>Úvod</w:t>
      </w:r>
    </w:p>
    <w:p w:rsidR="00014B18" w:rsidRPr="00CE1B5B" w:rsidRDefault="00014B18" w:rsidP="00B145ED">
      <w:pPr>
        <w:rPr>
          <w:rFonts w:ascii="Tahoma" w:hAnsi="Tahoma" w:cs="Tahoma"/>
          <w:sz w:val="2"/>
          <w:szCs w:val="2"/>
        </w:rPr>
      </w:pPr>
    </w:p>
    <w:p w:rsidR="00014B18" w:rsidRPr="00CE1B5B" w:rsidRDefault="00014B18" w:rsidP="00D01918">
      <w:pPr>
        <w:rPr>
          <w:rFonts w:ascii="Tahoma" w:hAnsi="Tahoma" w:cs="Tahoma"/>
          <w:sz w:val="20"/>
          <w:szCs w:val="20"/>
        </w:rPr>
      </w:pPr>
    </w:p>
    <w:p w:rsidR="00014B18" w:rsidRPr="00CE1B5B" w:rsidRDefault="00014B18" w:rsidP="00D01918">
      <w:pPr>
        <w:jc w:val="both"/>
        <w:rPr>
          <w:rFonts w:ascii="Tahoma" w:hAnsi="Tahoma" w:cs="Tahoma"/>
          <w:sz w:val="20"/>
          <w:szCs w:val="20"/>
        </w:rPr>
      </w:pPr>
      <w:r w:rsidRPr="00CE1B5B">
        <w:rPr>
          <w:rFonts w:ascii="Tahoma" w:hAnsi="Tahoma" w:cs="Tahoma"/>
          <w:sz w:val="20"/>
          <w:szCs w:val="20"/>
        </w:rPr>
        <w:t xml:space="preserve">Rozpočet Moravskoslezského kraje pro rok 2014 byl schválen ve výši 8.278.538 tis. Kč. Zdroje schváleného rozpočtu tvoří příjmy v objemu 6.946.192 tis. Kč a financování ve výši 1.332.346 tis. Kč, které je podrobně rozebráno v níže uvedené tabulce. </w:t>
      </w:r>
    </w:p>
    <w:p w:rsidR="00014B18" w:rsidRPr="00CE1B5B" w:rsidRDefault="00014B18" w:rsidP="00DF1D9F">
      <w:pPr>
        <w:rPr>
          <w:rFonts w:ascii="Tahoma" w:hAnsi="Tahoma" w:cs="Tahoma"/>
          <w:sz w:val="20"/>
          <w:szCs w:val="20"/>
        </w:rPr>
      </w:pPr>
    </w:p>
    <w:p w:rsidR="00014B18" w:rsidRPr="00CE1B5B" w:rsidRDefault="003A27FE" w:rsidP="00D01918">
      <w:pPr>
        <w:rPr>
          <w:rFonts w:ascii="Tahoma" w:hAnsi="Tahoma" w:cs="Tahoma"/>
          <w:sz w:val="20"/>
          <w:szCs w:val="20"/>
        </w:rPr>
      </w:pPr>
      <w:r w:rsidRPr="00CE1B5B">
        <w:rPr>
          <w:rFonts w:ascii="Tahoma" w:hAnsi="Tahoma" w:cs="Tahoma"/>
          <w:sz w:val="20"/>
          <w:szCs w:val="20"/>
        </w:rPr>
        <w:object w:dxaOrig="9980" w:dyaOrig="3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25pt;height:186pt" o:ole="">
            <v:imagedata r:id="rId9" o:title=""/>
          </v:shape>
          <o:OLEObject Type="Embed" ProgID="Excel.Sheet.8" ShapeID="_x0000_i1025" DrawAspect="Content" ObjectID="_1462796432" r:id="rId10"/>
        </w:object>
      </w:r>
    </w:p>
    <w:p w:rsidR="00014B18" w:rsidRPr="00CE1B5B" w:rsidRDefault="00014B18" w:rsidP="00D01918">
      <w:pPr>
        <w:jc w:val="both"/>
        <w:rPr>
          <w:rFonts w:ascii="Tahoma" w:hAnsi="Tahoma" w:cs="Tahoma"/>
          <w:sz w:val="20"/>
          <w:szCs w:val="20"/>
        </w:rPr>
      </w:pPr>
    </w:p>
    <w:p w:rsidR="00014B18" w:rsidRPr="00CE1B5B" w:rsidRDefault="00014B18" w:rsidP="00892110">
      <w:pPr>
        <w:jc w:val="both"/>
        <w:rPr>
          <w:rFonts w:ascii="Tahoma" w:hAnsi="Tahoma" w:cs="Tahoma"/>
          <w:sz w:val="20"/>
          <w:szCs w:val="20"/>
        </w:rPr>
      </w:pPr>
      <w:r w:rsidRPr="00CE1B5B">
        <w:rPr>
          <w:rFonts w:ascii="Tahoma" w:hAnsi="Tahoma" w:cs="Tahoma"/>
          <w:sz w:val="20"/>
          <w:szCs w:val="20"/>
        </w:rPr>
        <w:t>Upravený rozpočet Moravskoslezského kraje k </w:t>
      </w:r>
      <w:r w:rsidR="00061E36" w:rsidRPr="00CE1B5B">
        <w:rPr>
          <w:rFonts w:ascii="Tahoma" w:hAnsi="Tahoma" w:cs="Tahoma"/>
          <w:sz w:val="20"/>
          <w:szCs w:val="20"/>
        </w:rPr>
        <w:t>30. 4. 2014</w:t>
      </w:r>
      <w:r w:rsidRPr="00CE1B5B">
        <w:rPr>
          <w:rFonts w:ascii="Tahoma" w:hAnsi="Tahoma" w:cs="Tahoma"/>
          <w:sz w:val="20"/>
          <w:szCs w:val="20"/>
        </w:rPr>
        <w:t xml:space="preserve"> činí 18.</w:t>
      </w:r>
      <w:r w:rsidR="00104FBF" w:rsidRPr="00CE1B5B">
        <w:rPr>
          <w:rFonts w:ascii="Tahoma" w:hAnsi="Tahoma" w:cs="Tahoma"/>
          <w:sz w:val="20"/>
          <w:szCs w:val="20"/>
        </w:rPr>
        <w:t>847.677</w:t>
      </w:r>
      <w:r w:rsidRPr="00CE1B5B">
        <w:rPr>
          <w:rFonts w:ascii="Tahoma" w:hAnsi="Tahoma" w:cs="Tahoma"/>
          <w:sz w:val="20"/>
          <w:szCs w:val="20"/>
        </w:rPr>
        <w:t xml:space="preserve"> tis. Kč. </w:t>
      </w:r>
    </w:p>
    <w:p w:rsidR="00014B18" w:rsidRPr="00CE1B5B" w:rsidRDefault="00014B18" w:rsidP="00892110">
      <w:pPr>
        <w:jc w:val="both"/>
        <w:rPr>
          <w:rFonts w:ascii="Tahoma" w:hAnsi="Tahoma" w:cs="Tahoma"/>
          <w:sz w:val="20"/>
          <w:szCs w:val="20"/>
        </w:rPr>
      </w:pPr>
      <w:r w:rsidRPr="00CE1B5B">
        <w:rPr>
          <w:rFonts w:ascii="Tahoma" w:hAnsi="Tahoma" w:cs="Tahoma"/>
          <w:sz w:val="20"/>
          <w:szCs w:val="20"/>
        </w:rPr>
        <w:t>K významné</w:t>
      </w:r>
      <w:r w:rsidRPr="00CE1B5B">
        <w:rPr>
          <w:rFonts w:ascii="Tahoma" w:hAnsi="Tahoma" w:cs="Tahoma"/>
        </w:rPr>
        <w:t xml:space="preserve"> </w:t>
      </w:r>
      <w:r w:rsidRPr="00CE1B5B">
        <w:rPr>
          <w:rFonts w:ascii="Tahoma" w:hAnsi="Tahoma" w:cs="Tahoma"/>
          <w:sz w:val="20"/>
          <w:szCs w:val="20"/>
        </w:rPr>
        <w:t>úpravě rozpočtu příjmů a výdajů dochází každoročně zejména v důsledku přijetí účelových dotací ze státního rozpočtu. Objemově nejvýznamnější byly neinvestiční dotace z kapitoly Ministerstva školství, mládeže a tělovýchovy určené k financování mzdových nákladů v objemu 9.</w:t>
      </w:r>
      <w:r w:rsidR="00104FBF" w:rsidRPr="00CE1B5B">
        <w:rPr>
          <w:rFonts w:ascii="Tahoma" w:hAnsi="Tahoma" w:cs="Tahoma"/>
          <w:sz w:val="20"/>
          <w:szCs w:val="20"/>
        </w:rPr>
        <w:t>437.625</w:t>
      </w:r>
      <w:r w:rsidRPr="00CE1B5B">
        <w:rPr>
          <w:rFonts w:ascii="Tahoma" w:hAnsi="Tahoma" w:cs="Tahoma"/>
          <w:sz w:val="20"/>
          <w:szCs w:val="20"/>
        </w:rPr>
        <w:t xml:space="preserve"> tis. Kč. </w:t>
      </w:r>
    </w:p>
    <w:p w:rsidR="00F56FA2" w:rsidRPr="00CE1B5B" w:rsidRDefault="00F56FA2" w:rsidP="00892110">
      <w:pPr>
        <w:jc w:val="both"/>
        <w:rPr>
          <w:rFonts w:ascii="Tahoma" w:hAnsi="Tahoma" w:cs="Tahoma"/>
          <w:sz w:val="20"/>
          <w:szCs w:val="20"/>
        </w:rPr>
      </w:pPr>
    </w:p>
    <w:p w:rsidR="00F56FA2" w:rsidRPr="00CE1B5B" w:rsidRDefault="00F56FA2" w:rsidP="00F56FA2">
      <w:pPr>
        <w:jc w:val="both"/>
        <w:rPr>
          <w:rFonts w:ascii="Tahoma" w:hAnsi="Tahoma" w:cs="Tahoma"/>
          <w:sz w:val="20"/>
          <w:szCs w:val="20"/>
        </w:rPr>
      </w:pPr>
      <w:r w:rsidRPr="00CE1B5B">
        <w:rPr>
          <w:rFonts w:ascii="Tahoma" w:hAnsi="Tahoma" w:cs="Tahoma"/>
          <w:sz w:val="20"/>
          <w:szCs w:val="20"/>
        </w:rPr>
        <w:t>V souladu s usnesením zastupitelstva kraje č. 7/519 ze dne 19. 12. 2013 bodem 6 došlo ke zvýšení pouze výdajové části rozpočtu zapojením části zůstatku finančních prostředků rozpočtového hospodaření roku 2013 do rozpočtu na rok 2014 v celkové výši 1.303.129 tis. Kč, a to zejména k dofinancování akcí spolufinancovaných z evropských finančních zdrojů, akcí reprodukce majetku kraje a akcí jinak smluvně zajištěných a převedených do roku 2014.</w:t>
      </w:r>
    </w:p>
    <w:p w:rsidR="00F56FA2" w:rsidRPr="00CE1B5B" w:rsidRDefault="00F56FA2" w:rsidP="00955339">
      <w:pPr>
        <w:jc w:val="both"/>
        <w:rPr>
          <w:rFonts w:ascii="Tahoma" w:hAnsi="Tahoma" w:cs="Tahoma"/>
          <w:sz w:val="20"/>
          <w:szCs w:val="20"/>
        </w:rPr>
      </w:pPr>
    </w:p>
    <w:p w:rsidR="00014B18" w:rsidRPr="00CE1B5B" w:rsidRDefault="00014B18" w:rsidP="00E55EBF">
      <w:pPr>
        <w:jc w:val="both"/>
        <w:rPr>
          <w:rFonts w:ascii="Tahoma" w:hAnsi="Tahoma" w:cs="Tahoma"/>
          <w:sz w:val="20"/>
          <w:szCs w:val="20"/>
        </w:rPr>
      </w:pPr>
      <w:r w:rsidRPr="00CE1B5B">
        <w:rPr>
          <w:rFonts w:ascii="Tahoma" w:hAnsi="Tahoma" w:cs="Tahoma"/>
          <w:sz w:val="20"/>
          <w:szCs w:val="20"/>
        </w:rPr>
        <w:t>Dále byly do rozpočtu kraje zapojeny prostředky Fondu životního prostředí Moravskoslezského kraje ve</w:t>
      </w:r>
      <w:r w:rsidR="00D33C79" w:rsidRPr="00CE1B5B">
        <w:rPr>
          <w:rFonts w:ascii="Tahoma" w:hAnsi="Tahoma" w:cs="Tahoma"/>
          <w:sz w:val="20"/>
          <w:szCs w:val="20"/>
        </w:rPr>
        <w:t> </w:t>
      </w:r>
      <w:r w:rsidRPr="00CE1B5B">
        <w:rPr>
          <w:rFonts w:ascii="Tahoma" w:hAnsi="Tahoma" w:cs="Tahoma"/>
          <w:sz w:val="20"/>
          <w:szCs w:val="20"/>
        </w:rPr>
        <w:t xml:space="preserve">výši </w:t>
      </w:r>
      <w:r w:rsidR="008B372D" w:rsidRPr="00CE1B5B">
        <w:rPr>
          <w:rFonts w:ascii="Tahoma" w:hAnsi="Tahoma" w:cs="Tahoma"/>
          <w:sz w:val="20"/>
          <w:szCs w:val="20"/>
        </w:rPr>
        <w:t>12.395</w:t>
      </w:r>
      <w:r w:rsidRPr="00CE1B5B">
        <w:rPr>
          <w:rFonts w:ascii="Tahoma" w:hAnsi="Tahoma" w:cs="Tahoma"/>
          <w:sz w:val="20"/>
          <w:szCs w:val="20"/>
        </w:rPr>
        <w:t xml:space="preserve"> tis. Kč za účelem vyplacení dotací v rámci dotačního Programu na podporu výměny starých kotlů. </w:t>
      </w:r>
    </w:p>
    <w:p w:rsidR="00F56FA2" w:rsidRPr="00CE1B5B" w:rsidRDefault="00F56FA2" w:rsidP="00E55EBF">
      <w:pPr>
        <w:jc w:val="both"/>
        <w:rPr>
          <w:rFonts w:ascii="Tahoma" w:hAnsi="Tahoma" w:cs="Tahoma"/>
          <w:sz w:val="20"/>
          <w:szCs w:val="20"/>
        </w:rPr>
      </w:pPr>
    </w:p>
    <w:p w:rsidR="00014B18" w:rsidRPr="00CE1B5B" w:rsidRDefault="00014B18" w:rsidP="005A3F16">
      <w:pPr>
        <w:jc w:val="both"/>
        <w:rPr>
          <w:rFonts w:ascii="Tahoma" w:hAnsi="Tahoma" w:cs="Tahoma"/>
          <w:sz w:val="20"/>
          <w:szCs w:val="20"/>
        </w:rPr>
      </w:pPr>
      <w:r w:rsidRPr="00CE1B5B">
        <w:rPr>
          <w:rFonts w:ascii="Tahoma" w:hAnsi="Tahoma" w:cs="Tahoma"/>
          <w:sz w:val="20"/>
          <w:szCs w:val="20"/>
        </w:rPr>
        <w:t xml:space="preserve">Moravskoslezský kraj a Statutární město Ostrava uzavřeli dne </w:t>
      </w:r>
      <w:smartTag w:uri="urn:schemas-microsoft-com:office:smarttags" w:element="date">
        <w:smartTagPr>
          <w:attr w:name="Year" w:val="2013"/>
          <w:attr w:name="Day" w:val="31"/>
          <w:attr w:name="Month" w:val="1"/>
          <w:attr w:name="ls" w:val="trans"/>
        </w:smartTagPr>
        <w:r w:rsidRPr="00CE1B5B">
          <w:rPr>
            <w:rFonts w:ascii="Tahoma" w:hAnsi="Tahoma" w:cs="Tahoma"/>
            <w:sz w:val="20"/>
            <w:szCs w:val="20"/>
          </w:rPr>
          <w:t>31. 1. 2013</w:t>
        </w:r>
      </w:smartTag>
      <w:r w:rsidRPr="00CE1B5B">
        <w:rPr>
          <w:rFonts w:ascii="Tahoma" w:hAnsi="Tahoma" w:cs="Tahoma"/>
          <w:sz w:val="20"/>
          <w:szCs w:val="20"/>
        </w:rPr>
        <w:t xml:space="preserve"> Smlouvu o sdružení finančních prostředků za účelem zajištění Programu podpory malých a středních podniků v Moravskoslezském kraji. V rámci tohoto programu probíhá hodnocení předložených projektů hodnotící komisí. Na úhradu odměn členům hodnotící komise byly zapojeny prostředky Regionálního rozvojového fondu ve výši 85 tis. Kč.</w:t>
      </w:r>
    </w:p>
    <w:p w:rsidR="00F56FA2" w:rsidRPr="00CE1B5B" w:rsidRDefault="00F56FA2" w:rsidP="005A3F16">
      <w:pPr>
        <w:jc w:val="both"/>
        <w:rPr>
          <w:rFonts w:ascii="Tahoma" w:hAnsi="Tahoma" w:cs="Tahoma"/>
          <w:sz w:val="20"/>
          <w:szCs w:val="20"/>
        </w:rPr>
      </w:pPr>
    </w:p>
    <w:p w:rsidR="002E6AC5" w:rsidRPr="00CE1B5B" w:rsidRDefault="002E6AC5" w:rsidP="002E6AC5">
      <w:pPr>
        <w:pStyle w:val="Zkladntext3"/>
        <w:rPr>
          <w:rFonts w:ascii="Tahoma" w:hAnsi="Tahoma" w:cs="Tahoma"/>
          <w:snapToGrid w:val="0"/>
          <w:color w:val="auto"/>
          <w:sz w:val="20"/>
          <w:szCs w:val="20"/>
        </w:rPr>
      </w:pPr>
      <w:r w:rsidRPr="00CE1B5B">
        <w:rPr>
          <w:rFonts w:ascii="Tahoma" w:hAnsi="Tahoma" w:cs="Tahoma"/>
          <w:snapToGrid w:val="0"/>
          <w:color w:val="auto"/>
          <w:sz w:val="20"/>
          <w:szCs w:val="20"/>
        </w:rPr>
        <w:t>V měsíci dubnu 201</w:t>
      </w:r>
      <w:r w:rsidR="006A09E7" w:rsidRPr="00CE1B5B">
        <w:rPr>
          <w:rFonts w:ascii="Tahoma" w:hAnsi="Tahoma" w:cs="Tahoma"/>
          <w:snapToGrid w:val="0"/>
          <w:color w:val="auto"/>
          <w:sz w:val="20"/>
          <w:szCs w:val="20"/>
        </w:rPr>
        <w:t>4</w:t>
      </w:r>
      <w:r w:rsidRPr="00CE1B5B">
        <w:rPr>
          <w:rFonts w:ascii="Tahoma" w:hAnsi="Tahoma" w:cs="Tahoma"/>
          <w:snapToGrid w:val="0"/>
          <w:color w:val="auto"/>
          <w:sz w:val="20"/>
          <w:szCs w:val="20"/>
        </w:rPr>
        <w:t xml:space="preserve"> došlo k souhrnné (rozsáhlejší) rozpočtové úpravě u projektů financovaných z evropských finančních zdrojů. S ohledem na změny v harmonogramech jednotlivých projektů z důvodu např. pozdější vyhlášení výzev, zpoždění procesu výběru dodavatele</w:t>
      </w:r>
      <w:r w:rsidR="006A09E7" w:rsidRPr="00CE1B5B">
        <w:rPr>
          <w:rFonts w:ascii="Tahoma" w:hAnsi="Tahoma" w:cs="Tahoma"/>
          <w:snapToGrid w:val="0"/>
          <w:color w:val="auto"/>
          <w:sz w:val="20"/>
          <w:szCs w:val="20"/>
        </w:rPr>
        <w:t>, ale také s ohledem na změny v rozpočtech související s vy soutěžením nižších cen realizace staveb, změn podílu spolufinancování z ROP u projektů v odvětví dopravy</w:t>
      </w:r>
      <w:r w:rsidRPr="00CE1B5B">
        <w:rPr>
          <w:rFonts w:ascii="Tahoma" w:hAnsi="Tahoma" w:cs="Tahoma"/>
          <w:snapToGrid w:val="0"/>
          <w:color w:val="auto"/>
          <w:sz w:val="20"/>
          <w:szCs w:val="20"/>
        </w:rPr>
        <w:t xml:space="preserve"> došlo k</w:t>
      </w:r>
      <w:r w:rsidR="006A09E7" w:rsidRPr="00CE1B5B">
        <w:rPr>
          <w:rFonts w:ascii="Tahoma" w:hAnsi="Tahoma" w:cs="Tahoma"/>
          <w:snapToGrid w:val="0"/>
          <w:color w:val="auto"/>
          <w:sz w:val="20"/>
          <w:szCs w:val="20"/>
        </w:rPr>
        <w:t xml:space="preserve">e snížení objemu výdajů u jednotlivých projektu a také k </w:t>
      </w:r>
      <w:r w:rsidRPr="00CE1B5B">
        <w:rPr>
          <w:rFonts w:ascii="Tahoma" w:hAnsi="Tahoma" w:cs="Tahoma"/>
          <w:snapToGrid w:val="0"/>
          <w:color w:val="auto"/>
          <w:sz w:val="20"/>
          <w:szCs w:val="20"/>
        </w:rPr>
        <w:t xml:space="preserve">časovému přesunu realizací a tomu odpovídajících výdajů do roku 2015. V důsledku výše uvedených skutečností byl u těchto akcí snížen rozpočet výdajů v absolutní výši o </w:t>
      </w:r>
      <w:r w:rsidR="006A09E7" w:rsidRPr="00CE1B5B">
        <w:rPr>
          <w:rFonts w:ascii="Tahoma" w:hAnsi="Tahoma" w:cs="Tahoma"/>
          <w:snapToGrid w:val="0"/>
          <w:color w:val="auto"/>
          <w:sz w:val="20"/>
          <w:szCs w:val="20"/>
        </w:rPr>
        <w:t>845.457</w:t>
      </w:r>
      <w:r w:rsidRPr="00CE1B5B">
        <w:rPr>
          <w:rFonts w:ascii="Tahoma" w:hAnsi="Tahoma" w:cs="Tahoma"/>
          <w:snapToGrid w:val="0"/>
          <w:color w:val="auto"/>
          <w:sz w:val="20"/>
          <w:szCs w:val="20"/>
        </w:rPr>
        <w:t xml:space="preserve"> tis. Kč, z toho výdaje na investiční akce byly sníženy v objemu </w:t>
      </w:r>
      <w:r w:rsidR="006A09E7" w:rsidRPr="00CE1B5B">
        <w:rPr>
          <w:rFonts w:ascii="Tahoma" w:hAnsi="Tahoma" w:cs="Tahoma"/>
          <w:snapToGrid w:val="0"/>
          <w:color w:val="auto"/>
          <w:sz w:val="20"/>
          <w:szCs w:val="20"/>
        </w:rPr>
        <w:t>605.047</w:t>
      </w:r>
      <w:r w:rsidRPr="00CE1B5B">
        <w:rPr>
          <w:rFonts w:ascii="Tahoma" w:hAnsi="Tahoma" w:cs="Tahoma"/>
          <w:snapToGrid w:val="0"/>
          <w:color w:val="auto"/>
          <w:sz w:val="20"/>
          <w:szCs w:val="20"/>
        </w:rPr>
        <w:t xml:space="preserve"> tis. Kč, výdaje na neinvestiční akce byly navýšeny v objemu </w:t>
      </w:r>
      <w:r w:rsidR="006A09E7" w:rsidRPr="00CE1B5B">
        <w:rPr>
          <w:rFonts w:ascii="Tahoma" w:hAnsi="Tahoma" w:cs="Tahoma"/>
          <w:snapToGrid w:val="0"/>
          <w:color w:val="auto"/>
          <w:sz w:val="20"/>
          <w:szCs w:val="20"/>
        </w:rPr>
        <w:t>91.267</w:t>
      </w:r>
      <w:r w:rsidRPr="00CE1B5B">
        <w:rPr>
          <w:rFonts w:ascii="Tahoma" w:hAnsi="Tahoma" w:cs="Tahoma"/>
          <w:snapToGrid w:val="0"/>
          <w:color w:val="auto"/>
          <w:sz w:val="20"/>
          <w:szCs w:val="20"/>
        </w:rPr>
        <w:t> tis. Kč a dále byla snížena o </w:t>
      </w:r>
      <w:r w:rsidR="006A09E7" w:rsidRPr="00CE1B5B">
        <w:rPr>
          <w:rFonts w:ascii="Tahoma" w:hAnsi="Tahoma" w:cs="Tahoma"/>
          <w:snapToGrid w:val="0"/>
          <w:color w:val="auto"/>
          <w:sz w:val="20"/>
          <w:szCs w:val="20"/>
        </w:rPr>
        <w:t>331.677</w:t>
      </w:r>
      <w:r w:rsidRPr="00CE1B5B">
        <w:rPr>
          <w:rFonts w:ascii="Tahoma" w:hAnsi="Tahoma" w:cs="Tahoma"/>
          <w:snapToGrid w:val="0"/>
          <w:color w:val="auto"/>
          <w:sz w:val="20"/>
          <w:szCs w:val="20"/>
        </w:rPr>
        <w:t xml:space="preserve"> tis. Kč rozpočtovaná úhrada splátky úvěrového rámce od Československé obchodní banky, a.s. pro rok 201</w:t>
      </w:r>
      <w:r w:rsidR="006A09E7" w:rsidRPr="00CE1B5B">
        <w:rPr>
          <w:rFonts w:ascii="Tahoma" w:hAnsi="Tahoma" w:cs="Tahoma"/>
          <w:snapToGrid w:val="0"/>
          <w:color w:val="auto"/>
          <w:sz w:val="20"/>
          <w:szCs w:val="20"/>
        </w:rPr>
        <w:t>4</w:t>
      </w:r>
      <w:r w:rsidRPr="00CE1B5B">
        <w:rPr>
          <w:rFonts w:ascii="Tahoma" w:hAnsi="Tahoma" w:cs="Tahoma"/>
          <w:snapToGrid w:val="0"/>
          <w:color w:val="auto"/>
          <w:sz w:val="20"/>
          <w:szCs w:val="20"/>
        </w:rPr>
        <w:t>. V souvislosti s touto úpravo</w:t>
      </w:r>
      <w:r w:rsidR="006A09E7" w:rsidRPr="00CE1B5B">
        <w:rPr>
          <w:rFonts w:ascii="Tahoma" w:hAnsi="Tahoma" w:cs="Tahoma"/>
          <w:snapToGrid w:val="0"/>
          <w:color w:val="auto"/>
          <w:sz w:val="20"/>
          <w:szCs w:val="20"/>
        </w:rPr>
        <w:t>u výdajové stránky rozpočtu 2014</w:t>
      </w:r>
      <w:r w:rsidRPr="00CE1B5B">
        <w:rPr>
          <w:rFonts w:ascii="Tahoma" w:hAnsi="Tahoma" w:cs="Tahoma"/>
          <w:snapToGrid w:val="0"/>
          <w:color w:val="auto"/>
          <w:sz w:val="20"/>
          <w:szCs w:val="20"/>
        </w:rPr>
        <w:t xml:space="preserve"> byla snížena rovněž zdrojová část rozpočtu 201</w:t>
      </w:r>
      <w:r w:rsidR="006A09E7" w:rsidRPr="00CE1B5B">
        <w:rPr>
          <w:rFonts w:ascii="Tahoma" w:hAnsi="Tahoma" w:cs="Tahoma"/>
          <w:snapToGrid w:val="0"/>
          <w:color w:val="auto"/>
          <w:sz w:val="20"/>
          <w:szCs w:val="20"/>
        </w:rPr>
        <w:t>4</w:t>
      </w:r>
      <w:r w:rsidRPr="00CE1B5B">
        <w:rPr>
          <w:rFonts w:ascii="Tahoma" w:hAnsi="Tahoma" w:cs="Tahoma"/>
          <w:snapToGrid w:val="0"/>
          <w:color w:val="auto"/>
          <w:sz w:val="20"/>
          <w:szCs w:val="20"/>
        </w:rPr>
        <w:t xml:space="preserve">, a to také v celkové </w:t>
      </w:r>
      <w:r w:rsidRPr="00CE1B5B">
        <w:rPr>
          <w:rFonts w:ascii="Tahoma" w:hAnsi="Tahoma" w:cs="Tahoma"/>
          <w:snapToGrid w:val="0"/>
          <w:color w:val="auto"/>
          <w:sz w:val="20"/>
          <w:szCs w:val="20"/>
        </w:rPr>
        <w:lastRenderedPageBreak/>
        <w:t xml:space="preserve">výši </w:t>
      </w:r>
      <w:r w:rsidR="006A09E7" w:rsidRPr="00CE1B5B">
        <w:rPr>
          <w:rFonts w:ascii="Tahoma" w:hAnsi="Tahoma" w:cs="Tahoma"/>
          <w:snapToGrid w:val="0"/>
          <w:color w:val="auto"/>
          <w:sz w:val="20"/>
          <w:szCs w:val="20"/>
        </w:rPr>
        <w:t>845.457</w:t>
      </w:r>
      <w:r w:rsidRPr="00CE1B5B">
        <w:rPr>
          <w:rFonts w:ascii="Tahoma" w:hAnsi="Tahoma" w:cs="Tahoma"/>
          <w:snapToGrid w:val="0"/>
          <w:color w:val="auto"/>
          <w:sz w:val="20"/>
          <w:szCs w:val="20"/>
        </w:rPr>
        <w:t> tis. Kč. Snížena byla rozpočtovaná výše přijatých dotací celkem o </w:t>
      </w:r>
      <w:r w:rsidR="006A09E7" w:rsidRPr="00CE1B5B">
        <w:rPr>
          <w:rFonts w:ascii="Tahoma" w:hAnsi="Tahoma" w:cs="Tahoma"/>
          <w:snapToGrid w:val="0"/>
          <w:color w:val="auto"/>
          <w:sz w:val="20"/>
          <w:szCs w:val="20"/>
        </w:rPr>
        <w:t>359.783</w:t>
      </w:r>
      <w:r w:rsidRPr="00CE1B5B">
        <w:rPr>
          <w:rFonts w:ascii="Tahoma" w:hAnsi="Tahoma" w:cs="Tahoma"/>
          <w:snapToGrid w:val="0"/>
          <w:color w:val="auto"/>
          <w:sz w:val="20"/>
          <w:szCs w:val="20"/>
        </w:rPr>
        <w:t xml:space="preserve"> tis. Kč</w:t>
      </w:r>
      <w:r w:rsidR="006A09E7" w:rsidRPr="00CE1B5B">
        <w:rPr>
          <w:rFonts w:ascii="Tahoma" w:hAnsi="Tahoma" w:cs="Tahoma"/>
          <w:snapToGrid w:val="0"/>
          <w:color w:val="auto"/>
          <w:sz w:val="20"/>
          <w:szCs w:val="20"/>
        </w:rPr>
        <w:t>, zvýšen objem nedaňových příjmů</w:t>
      </w:r>
      <w:r w:rsidRPr="00CE1B5B">
        <w:rPr>
          <w:rFonts w:ascii="Tahoma" w:hAnsi="Tahoma" w:cs="Tahoma"/>
          <w:snapToGrid w:val="0"/>
          <w:color w:val="auto"/>
          <w:sz w:val="20"/>
          <w:szCs w:val="20"/>
        </w:rPr>
        <w:t xml:space="preserve"> </w:t>
      </w:r>
      <w:r w:rsidR="006A09E7" w:rsidRPr="00CE1B5B">
        <w:rPr>
          <w:rFonts w:ascii="Tahoma" w:hAnsi="Tahoma" w:cs="Tahoma"/>
          <w:snapToGrid w:val="0"/>
          <w:color w:val="auto"/>
          <w:sz w:val="20"/>
          <w:szCs w:val="20"/>
        </w:rPr>
        <w:t xml:space="preserve">o 1.434 tis. Kč </w:t>
      </w:r>
      <w:r w:rsidRPr="00CE1B5B">
        <w:rPr>
          <w:rFonts w:ascii="Tahoma" w:hAnsi="Tahoma" w:cs="Tahoma"/>
          <w:snapToGrid w:val="0"/>
          <w:color w:val="auto"/>
          <w:sz w:val="20"/>
          <w:szCs w:val="20"/>
        </w:rPr>
        <w:t>a dále byl snížen rozpočet čerpání úvěrových rámců od</w:t>
      </w:r>
      <w:r w:rsidR="00CE1B5B">
        <w:rPr>
          <w:rFonts w:ascii="Tahoma" w:hAnsi="Tahoma" w:cs="Tahoma"/>
          <w:snapToGrid w:val="0"/>
          <w:color w:val="auto"/>
          <w:sz w:val="20"/>
          <w:szCs w:val="20"/>
        </w:rPr>
        <w:t> </w:t>
      </w:r>
      <w:r w:rsidRPr="00CE1B5B">
        <w:rPr>
          <w:rFonts w:ascii="Tahoma" w:hAnsi="Tahoma" w:cs="Tahoma"/>
          <w:snapToGrid w:val="0"/>
          <w:color w:val="auto"/>
          <w:sz w:val="20"/>
          <w:szCs w:val="20"/>
        </w:rPr>
        <w:t>Evropské investiční banky a </w:t>
      </w:r>
      <w:r w:rsidR="007805D5" w:rsidRPr="00CE1B5B">
        <w:rPr>
          <w:rFonts w:ascii="Tahoma" w:hAnsi="Tahoma" w:cs="Tahoma"/>
          <w:snapToGrid w:val="0"/>
          <w:color w:val="auto"/>
          <w:sz w:val="20"/>
          <w:szCs w:val="20"/>
        </w:rPr>
        <w:t>České spořitelny</w:t>
      </w:r>
      <w:r w:rsidRPr="00CE1B5B">
        <w:rPr>
          <w:rFonts w:ascii="Tahoma" w:hAnsi="Tahoma" w:cs="Tahoma"/>
          <w:snapToGrid w:val="0"/>
          <w:color w:val="auto"/>
          <w:sz w:val="20"/>
          <w:szCs w:val="20"/>
        </w:rPr>
        <w:t>, a.s. pro rok 201</w:t>
      </w:r>
      <w:r w:rsidR="006A09E7" w:rsidRPr="00CE1B5B">
        <w:rPr>
          <w:rFonts w:ascii="Tahoma" w:hAnsi="Tahoma" w:cs="Tahoma"/>
          <w:snapToGrid w:val="0"/>
          <w:color w:val="auto"/>
          <w:sz w:val="20"/>
          <w:szCs w:val="20"/>
        </w:rPr>
        <w:t>4</w:t>
      </w:r>
      <w:r w:rsidRPr="00CE1B5B">
        <w:rPr>
          <w:rFonts w:ascii="Tahoma" w:hAnsi="Tahoma" w:cs="Tahoma"/>
          <w:snapToGrid w:val="0"/>
          <w:color w:val="auto"/>
          <w:sz w:val="20"/>
          <w:szCs w:val="20"/>
        </w:rPr>
        <w:t xml:space="preserve"> v celkovém objemu o</w:t>
      </w:r>
      <w:r w:rsidR="00CE1B5B">
        <w:rPr>
          <w:rFonts w:ascii="Tahoma" w:hAnsi="Tahoma" w:cs="Tahoma"/>
          <w:snapToGrid w:val="0"/>
          <w:color w:val="auto"/>
          <w:sz w:val="20"/>
          <w:szCs w:val="20"/>
        </w:rPr>
        <w:t> </w:t>
      </w:r>
      <w:r w:rsidR="006A09E7" w:rsidRPr="00CE1B5B">
        <w:rPr>
          <w:rFonts w:ascii="Tahoma" w:hAnsi="Tahoma" w:cs="Tahoma"/>
          <w:snapToGrid w:val="0"/>
          <w:color w:val="auto"/>
          <w:sz w:val="20"/>
          <w:szCs w:val="20"/>
        </w:rPr>
        <w:t>487.107</w:t>
      </w:r>
      <w:r w:rsidR="00CE1B5B">
        <w:rPr>
          <w:rFonts w:ascii="Tahoma" w:hAnsi="Tahoma" w:cs="Tahoma"/>
          <w:snapToGrid w:val="0"/>
          <w:color w:val="auto"/>
          <w:sz w:val="20"/>
          <w:szCs w:val="20"/>
        </w:rPr>
        <w:t> </w:t>
      </w:r>
      <w:r w:rsidRPr="00CE1B5B">
        <w:rPr>
          <w:rFonts w:ascii="Tahoma" w:hAnsi="Tahoma" w:cs="Tahoma"/>
          <w:snapToGrid w:val="0"/>
          <w:color w:val="auto"/>
          <w:sz w:val="20"/>
          <w:szCs w:val="20"/>
        </w:rPr>
        <w:t>tis.</w:t>
      </w:r>
      <w:r w:rsidR="00CE1B5B">
        <w:rPr>
          <w:rFonts w:ascii="Tahoma" w:hAnsi="Tahoma" w:cs="Tahoma"/>
          <w:snapToGrid w:val="0"/>
          <w:color w:val="auto"/>
          <w:sz w:val="20"/>
          <w:szCs w:val="20"/>
        </w:rPr>
        <w:t> </w:t>
      </w:r>
      <w:r w:rsidRPr="00CE1B5B">
        <w:rPr>
          <w:rFonts w:ascii="Tahoma" w:hAnsi="Tahoma" w:cs="Tahoma"/>
          <w:snapToGrid w:val="0"/>
          <w:color w:val="auto"/>
          <w:sz w:val="20"/>
          <w:szCs w:val="20"/>
        </w:rPr>
        <w:t>Kč.</w:t>
      </w:r>
    </w:p>
    <w:p w:rsidR="00014B18" w:rsidRPr="00CE1B5B" w:rsidRDefault="00014B18" w:rsidP="00E55EBF">
      <w:pPr>
        <w:jc w:val="both"/>
        <w:rPr>
          <w:rFonts w:ascii="Tahoma" w:hAnsi="Tahoma" w:cs="Tahoma"/>
          <w:sz w:val="20"/>
          <w:szCs w:val="20"/>
        </w:rPr>
      </w:pPr>
    </w:p>
    <w:p w:rsidR="00014B18" w:rsidRPr="00CE1B5B" w:rsidRDefault="00014B18" w:rsidP="00FB31C6">
      <w:pPr>
        <w:jc w:val="both"/>
        <w:rPr>
          <w:rFonts w:ascii="Tahoma" w:hAnsi="Tahoma" w:cs="Tahoma"/>
          <w:sz w:val="20"/>
          <w:szCs w:val="20"/>
        </w:rPr>
      </w:pPr>
      <w:r w:rsidRPr="00CE1B5B">
        <w:rPr>
          <w:rFonts w:ascii="Tahoma" w:hAnsi="Tahoma" w:cs="Tahoma"/>
          <w:sz w:val="20"/>
          <w:szCs w:val="20"/>
        </w:rPr>
        <w:t>Úpravy rozpočtu roku 2014 souvisely také s přijetím a následným přerozdělením ostatních dotací z jednotlivých kapitol státního rozpočtu a zapojením prostředků určených pro finanční vypořádání dotací přijatých v minulých obdobích do rozpočtu kraje. Dále je rozpočet kraje průběžně navyšován o přeplněné (neočekávané či mimořádné) příjmy roku 2014 související s vlastní činností kraje, kdy tyto prostředky reflektují na aktuální potřeby kraje. Zbývající rozpočtová opatření neměla významný dopad na celkovou výši rozpočtu kraje.</w:t>
      </w:r>
    </w:p>
    <w:p w:rsidR="00014B18" w:rsidRPr="00CE1B5B" w:rsidRDefault="00014B18" w:rsidP="00DC3318">
      <w:pPr>
        <w:jc w:val="both"/>
        <w:rPr>
          <w:rFonts w:ascii="Tahoma" w:hAnsi="Tahoma" w:cs="Tahoma"/>
          <w:sz w:val="20"/>
          <w:szCs w:val="20"/>
        </w:rPr>
      </w:pPr>
    </w:p>
    <w:p w:rsidR="00014B18" w:rsidRPr="00CE1B5B" w:rsidRDefault="00014B18" w:rsidP="00A71355">
      <w:pPr>
        <w:jc w:val="both"/>
        <w:rPr>
          <w:rFonts w:ascii="Tahoma" w:hAnsi="Tahoma" w:cs="Tahoma"/>
          <w:sz w:val="20"/>
          <w:szCs w:val="20"/>
        </w:rPr>
      </w:pPr>
    </w:p>
    <w:p w:rsidR="00014B18" w:rsidRPr="00CE1B5B" w:rsidRDefault="00014B18" w:rsidP="004D342C">
      <w:pPr>
        <w:pStyle w:val="Nadpis2"/>
        <w:tabs>
          <w:tab w:val="clear" w:pos="624"/>
          <w:tab w:val="num" w:pos="0"/>
        </w:tabs>
        <w:ind w:left="0" w:firstLine="0"/>
        <w:rPr>
          <w:rFonts w:ascii="Tahoma" w:hAnsi="Tahoma" w:cs="Tahoma"/>
          <w:sz w:val="24"/>
        </w:rPr>
      </w:pPr>
      <w:r w:rsidRPr="00CE1B5B">
        <w:rPr>
          <w:rFonts w:ascii="Tahoma" w:hAnsi="Tahoma" w:cs="Tahoma"/>
          <w:sz w:val="24"/>
        </w:rPr>
        <w:t>Příjmová část rozpočtu</w:t>
      </w:r>
    </w:p>
    <w:p w:rsidR="00014B18" w:rsidRPr="00CE1B5B" w:rsidRDefault="00014B18" w:rsidP="00B145ED">
      <w:pPr>
        <w:rPr>
          <w:rFonts w:ascii="Tahoma" w:hAnsi="Tahoma" w:cs="Tahoma"/>
          <w:b/>
          <w:bCs/>
          <w:sz w:val="20"/>
          <w:szCs w:val="20"/>
          <w:u w:val="single"/>
        </w:rPr>
      </w:pPr>
    </w:p>
    <w:p w:rsidR="00014B18" w:rsidRPr="00CE1B5B" w:rsidRDefault="00014B18" w:rsidP="00B145ED">
      <w:pPr>
        <w:pStyle w:val="Zkladntext"/>
        <w:rPr>
          <w:rFonts w:ascii="Tahoma" w:hAnsi="Tahoma" w:cs="Tahoma"/>
          <w:sz w:val="20"/>
          <w:szCs w:val="20"/>
        </w:rPr>
      </w:pPr>
      <w:r w:rsidRPr="00CE1B5B">
        <w:rPr>
          <w:rFonts w:ascii="Tahoma" w:hAnsi="Tahoma" w:cs="Tahoma"/>
          <w:sz w:val="20"/>
          <w:szCs w:val="20"/>
        </w:rPr>
        <w:t>K </w:t>
      </w:r>
      <w:r w:rsidR="00061E36" w:rsidRPr="00CE1B5B">
        <w:rPr>
          <w:rFonts w:ascii="Tahoma" w:hAnsi="Tahoma" w:cs="Tahoma"/>
          <w:sz w:val="20"/>
          <w:szCs w:val="20"/>
        </w:rPr>
        <w:t>30. 4. 2014</w:t>
      </w:r>
      <w:r w:rsidRPr="00CE1B5B">
        <w:rPr>
          <w:rFonts w:ascii="Tahoma" w:hAnsi="Tahoma" w:cs="Tahoma"/>
          <w:sz w:val="20"/>
          <w:szCs w:val="20"/>
        </w:rPr>
        <w:t xml:space="preserve"> je upravený rozpočet příjmů plněn na </w:t>
      </w:r>
      <w:r w:rsidR="005B5CB1" w:rsidRPr="00CE1B5B">
        <w:rPr>
          <w:rFonts w:ascii="Tahoma" w:hAnsi="Tahoma" w:cs="Tahoma"/>
          <w:sz w:val="20"/>
          <w:szCs w:val="20"/>
        </w:rPr>
        <w:t xml:space="preserve">32,8 </w:t>
      </w:r>
      <w:r w:rsidRPr="00CE1B5B">
        <w:rPr>
          <w:rFonts w:ascii="Tahoma" w:hAnsi="Tahoma" w:cs="Tahoma"/>
          <w:sz w:val="20"/>
          <w:szCs w:val="20"/>
        </w:rPr>
        <w:t xml:space="preserve">%, skutečné příjmy činí </w:t>
      </w:r>
      <w:r w:rsidR="005B5CB1" w:rsidRPr="00CE1B5B">
        <w:rPr>
          <w:rFonts w:ascii="Tahoma" w:hAnsi="Tahoma" w:cs="Tahoma"/>
          <w:sz w:val="20"/>
          <w:szCs w:val="20"/>
        </w:rPr>
        <w:t>5.317.840</w:t>
      </w:r>
      <w:r w:rsidRPr="00CE1B5B">
        <w:rPr>
          <w:rFonts w:ascii="Tahoma" w:hAnsi="Tahoma" w:cs="Tahoma"/>
          <w:sz w:val="20"/>
          <w:szCs w:val="20"/>
        </w:rPr>
        <w:t xml:space="preserve"> tis. Kč. </w:t>
      </w:r>
    </w:p>
    <w:p w:rsidR="00014B18" w:rsidRPr="00CE1B5B" w:rsidRDefault="00014B18" w:rsidP="004A72F0">
      <w:pPr>
        <w:jc w:val="both"/>
        <w:rPr>
          <w:rFonts w:ascii="Tahoma" w:hAnsi="Tahoma" w:cs="Tahoma"/>
          <w:sz w:val="20"/>
          <w:szCs w:val="20"/>
        </w:rPr>
      </w:pPr>
    </w:p>
    <w:p w:rsidR="00014B18" w:rsidRPr="00CE1B5B" w:rsidRDefault="00703948" w:rsidP="004A72F0">
      <w:pPr>
        <w:jc w:val="both"/>
        <w:rPr>
          <w:rFonts w:ascii="Tahoma" w:hAnsi="Tahoma" w:cs="Tahoma"/>
          <w:sz w:val="20"/>
          <w:szCs w:val="20"/>
        </w:rPr>
      </w:pPr>
      <w:r w:rsidRPr="00CE1B5B">
        <w:rPr>
          <w:rFonts w:ascii="Tahoma" w:hAnsi="Tahoma" w:cs="Tahoma"/>
          <w:sz w:val="20"/>
          <w:szCs w:val="20"/>
        </w:rPr>
        <w:object w:dxaOrig="9129" w:dyaOrig="1828">
          <v:shape id="_x0000_i1026" type="#_x0000_t75" style="width:461.25pt;height:92.25pt" o:ole="">
            <v:imagedata r:id="rId11" o:title=""/>
          </v:shape>
          <o:OLEObject Type="Embed" ProgID="Excel.Sheet.8" ShapeID="_x0000_i1026" DrawAspect="Content" ObjectID="_1462796433" r:id="rId12"/>
        </w:object>
      </w:r>
    </w:p>
    <w:p w:rsidR="00014B18" w:rsidRPr="00CE1B5B" w:rsidRDefault="00014B18" w:rsidP="000365D2">
      <w:pPr>
        <w:pStyle w:val="Zkladntext"/>
        <w:spacing w:before="360"/>
        <w:rPr>
          <w:rFonts w:ascii="Tahoma" w:hAnsi="Tahoma" w:cs="Tahoma"/>
          <w:b/>
          <w:bCs/>
          <w:sz w:val="20"/>
          <w:szCs w:val="20"/>
        </w:rPr>
      </w:pPr>
      <w:r w:rsidRPr="00CE1B5B">
        <w:rPr>
          <w:rFonts w:ascii="Tahoma" w:hAnsi="Tahoma" w:cs="Tahoma"/>
          <w:b/>
          <w:bCs/>
          <w:sz w:val="20"/>
          <w:szCs w:val="20"/>
        </w:rPr>
        <w:t>Daňové příjmy</w:t>
      </w:r>
    </w:p>
    <w:p w:rsidR="00014B18" w:rsidRPr="00CE1B5B" w:rsidRDefault="00014B18" w:rsidP="004A72F0">
      <w:pPr>
        <w:jc w:val="both"/>
        <w:rPr>
          <w:rFonts w:ascii="Tahoma" w:hAnsi="Tahoma" w:cs="Tahoma"/>
          <w:sz w:val="20"/>
          <w:szCs w:val="20"/>
        </w:rPr>
      </w:pPr>
    </w:p>
    <w:p w:rsidR="00F20FBF" w:rsidRPr="00CE1B5B" w:rsidRDefault="00014B18" w:rsidP="004A72F0">
      <w:pPr>
        <w:jc w:val="both"/>
        <w:rPr>
          <w:rFonts w:ascii="Tahoma" w:hAnsi="Tahoma" w:cs="Tahoma"/>
          <w:sz w:val="20"/>
          <w:szCs w:val="20"/>
        </w:rPr>
      </w:pPr>
      <w:r w:rsidRPr="00CE1B5B">
        <w:rPr>
          <w:rFonts w:ascii="Tahoma" w:hAnsi="Tahoma" w:cs="Tahoma"/>
          <w:sz w:val="20"/>
          <w:szCs w:val="20"/>
        </w:rPr>
        <w:t>Schválený rozpočet daňových příjmů kraje činil 4.498.900 tis. Kč. Skutečně přijaté daňové příjmy kraje</w:t>
      </w:r>
      <w:r w:rsidR="00D33C79" w:rsidRPr="00CE1B5B">
        <w:rPr>
          <w:rFonts w:ascii="Tahoma" w:hAnsi="Tahoma" w:cs="Tahoma"/>
          <w:sz w:val="20"/>
          <w:szCs w:val="20"/>
        </w:rPr>
        <w:t> </w:t>
      </w:r>
      <w:r w:rsidRPr="00CE1B5B">
        <w:rPr>
          <w:rFonts w:ascii="Tahoma" w:hAnsi="Tahoma" w:cs="Tahoma"/>
          <w:sz w:val="20"/>
          <w:szCs w:val="20"/>
        </w:rPr>
        <w:t>dosáhly výše </w:t>
      </w:r>
      <w:r w:rsidR="00C02C96" w:rsidRPr="00CE1B5B">
        <w:rPr>
          <w:rFonts w:ascii="Tahoma" w:hAnsi="Tahoma" w:cs="Tahoma"/>
          <w:sz w:val="20"/>
          <w:szCs w:val="20"/>
        </w:rPr>
        <w:t>1.</w:t>
      </w:r>
      <w:r w:rsidR="004A1971">
        <w:rPr>
          <w:rFonts w:ascii="Tahoma" w:hAnsi="Tahoma" w:cs="Tahoma"/>
          <w:sz w:val="20"/>
          <w:szCs w:val="20"/>
        </w:rPr>
        <w:t>595.576</w:t>
      </w:r>
      <w:r w:rsidRPr="00CE1B5B">
        <w:rPr>
          <w:rFonts w:ascii="Tahoma" w:hAnsi="Tahoma" w:cs="Tahoma"/>
          <w:sz w:val="20"/>
          <w:szCs w:val="20"/>
        </w:rPr>
        <w:t xml:space="preserve"> tis. Kč, tj.  </w:t>
      </w:r>
      <w:r w:rsidR="004A1971">
        <w:rPr>
          <w:rFonts w:ascii="Tahoma" w:hAnsi="Tahoma" w:cs="Tahoma"/>
          <w:sz w:val="20"/>
          <w:szCs w:val="20"/>
        </w:rPr>
        <w:t>35,5</w:t>
      </w:r>
      <w:r w:rsidR="00F20FBF" w:rsidRPr="00CE1B5B">
        <w:rPr>
          <w:rFonts w:ascii="Tahoma" w:hAnsi="Tahoma" w:cs="Tahoma"/>
          <w:sz w:val="20"/>
          <w:szCs w:val="20"/>
        </w:rPr>
        <w:t xml:space="preserve"> % upraveného rozpočtu</w:t>
      </w:r>
      <w:r w:rsidR="00C02C96" w:rsidRPr="00CE1B5B">
        <w:rPr>
          <w:rFonts w:ascii="Tahoma" w:hAnsi="Tahoma" w:cs="Tahoma"/>
          <w:sz w:val="20"/>
          <w:szCs w:val="20"/>
        </w:rPr>
        <w:t>.</w:t>
      </w:r>
    </w:p>
    <w:p w:rsidR="00C02C96" w:rsidRPr="00CE1B5B" w:rsidRDefault="00C02C96" w:rsidP="004A72F0">
      <w:pPr>
        <w:jc w:val="both"/>
        <w:rPr>
          <w:rFonts w:ascii="Tahoma" w:hAnsi="Tahoma" w:cs="Tahoma"/>
          <w:sz w:val="20"/>
          <w:szCs w:val="20"/>
        </w:rPr>
      </w:pPr>
    </w:p>
    <w:p w:rsidR="00014B18" w:rsidRPr="00CE1B5B" w:rsidRDefault="00667E54" w:rsidP="003E64D8">
      <w:pPr>
        <w:jc w:val="both"/>
        <w:rPr>
          <w:rFonts w:ascii="Tahoma" w:hAnsi="Tahoma" w:cs="Tahoma"/>
          <w:i/>
          <w:sz w:val="20"/>
          <w:szCs w:val="20"/>
        </w:rPr>
      </w:pPr>
      <w:r w:rsidRPr="00CE1B5B">
        <w:rPr>
          <w:rFonts w:ascii="Tahoma" w:hAnsi="Tahoma" w:cs="Tahoma"/>
          <w:sz w:val="20"/>
          <w:szCs w:val="20"/>
        </w:rPr>
        <w:object w:dxaOrig="10517" w:dyaOrig="3364">
          <v:shape id="_x0000_i1027" type="#_x0000_t75" style="width:461.25pt;height:153pt" o:ole="">
            <v:imagedata r:id="rId13" o:title=""/>
          </v:shape>
          <o:OLEObject Type="Embed" ProgID="Excel.Sheet.8" ShapeID="_x0000_i1027" DrawAspect="Content" ObjectID="_1462796434" r:id="rId14"/>
        </w:object>
      </w:r>
    </w:p>
    <w:p w:rsidR="00014B18" w:rsidRPr="00CE1B5B" w:rsidRDefault="00014B18" w:rsidP="006D20EE">
      <w:pPr>
        <w:jc w:val="both"/>
        <w:rPr>
          <w:rFonts w:ascii="Tahoma" w:hAnsi="Tahoma" w:cs="Tahoma"/>
          <w:sz w:val="20"/>
          <w:szCs w:val="20"/>
        </w:rPr>
      </w:pPr>
    </w:p>
    <w:p w:rsidR="00014B18" w:rsidRPr="00CE1B5B" w:rsidRDefault="00014B18" w:rsidP="006D20EE">
      <w:pPr>
        <w:jc w:val="both"/>
        <w:rPr>
          <w:rFonts w:ascii="Tahoma" w:hAnsi="Tahoma" w:cs="Tahoma"/>
          <w:sz w:val="20"/>
          <w:szCs w:val="20"/>
        </w:rPr>
      </w:pPr>
      <w:r w:rsidRPr="00CE1B5B">
        <w:rPr>
          <w:rFonts w:ascii="Tahoma" w:hAnsi="Tahoma" w:cs="Tahoma"/>
          <w:sz w:val="20"/>
          <w:szCs w:val="20"/>
        </w:rPr>
        <w:t>Výnosy ze sdílených daní dosáhly k</w:t>
      </w:r>
      <w:r w:rsidR="008707EF" w:rsidRPr="00CE1B5B">
        <w:rPr>
          <w:rFonts w:ascii="Tahoma" w:hAnsi="Tahoma" w:cs="Tahoma"/>
          <w:sz w:val="20"/>
          <w:szCs w:val="20"/>
        </w:rPr>
        <w:t> 30. 4</w:t>
      </w:r>
      <w:r w:rsidR="00061E36" w:rsidRPr="00CE1B5B">
        <w:rPr>
          <w:rFonts w:ascii="Tahoma" w:hAnsi="Tahoma" w:cs="Tahoma"/>
          <w:sz w:val="20"/>
          <w:szCs w:val="20"/>
        </w:rPr>
        <w:t>. 2014</w:t>
      </w:r>
      <w:r w:rsidRPr="00CE1B5B">
        <w:rPr>
          <w:rFonts w:ascii="Tahoma" w:hAnsi="Tahoma" w:cs="Tahoma"/>
          <w:sz w:val="20"/>
          <w:szCs w:val="20"/>
        </w:rPr>
        <w:t xml:space="preserve"> výše </w:t>
      </w:r>
      <w:r w:rsidR="006B5EBE" w:rsidRPr="00CE1B5B">
        <w:rPr>
          <w:rFonts w:ascii="Tahoma" w:hAnsi="Tahoma" w:cs="Tahoma"/>
          <w:sz w:val="20"/>
          <w:szCs w:val="20"/>
        </w:rPr>
        <w:t>1.594.571</w:t>
      </w:r>
      <w:r w:rsidRPr="00CE1B5B">
        <w:rPr>
          <w:rFonts w:ascii="Tahoma" w:hAnsi="Tahoma" w:cs="Tahoma"/>
          <w:sz w:val="20"/>
          <w:szCs w:val="20"/>
        </w:rPr>
        <w:t xml:space="preserve"> tis. Kč, </w:t>
      </w:r>
      <w:r w:rsidR="00C02C96" w:rsidRPr="00CE1B5B">
        <w:rPr>
          <w:rFonts w:ascii="Tahoma" w:hAnsi="Tahoma" w:cs="Tahoma"/>
          <w:sz w:val="20"/>
          <w:szCs w:val="20"/>
        </w:rPr>
        <w:t xml:space="preserve">k datu </w:t>
      </w:r>
      <w:r w:rsidR="008707EF" w:rsidRPr="00CE1B5B">
        <w:rPr>
          <w:rFonts w:ascii="Tahoma" w:hAnsi="Tahoma" w:cs="Tahoma"/>
          <w:sz w:val="20"/>
          <w:szCs w:val="20"/>
        </w:rPr>
        <w:t>30. 4</w:t>
      </w:r>
      <w:r w:rsidR="00C02C96" w:rsidRPr="00CE1B5B">
        <w:rPr>
          <w:rFonts w:ascii="Tahoma" w:hAnsi="Tahoma" w:cs="Tahoma"/>
          <w:sz w:val="20"/>
          <w:szCs w:val="20"/>
        </w:rPr>
        <w:t>. 2013 pak 1.</w:t>
      </w:r>
      <w:r w:rsidR="006B5EBE" w:rsidRPr="00CE1B5B">
        <w:rPr>
          <w:rFonts w:ascii="Tahoma" w:hAnsi="Tahoma" w:cs="Tahoma"/>
          <w:sz w:val="20"/>
          <w:szCs w:val="20"/>
        </w:rPr>
        <w:t>569.618</w:t>
      </w:r>
      <w:r w:rsidRPr="00CE1B5B">
        <w:rPr>
          <w:rFonts w:ascii="Tahoma" w:hAnsi="Tahoma" w:cs="Tahoma"/>
          <w:sz w:val="20"/>
          <w:szCs w:val="20"/>
        </w:rPr>
        <w:t xml:space="preserve"> tis. Kč. U inkasa daně z příjmů právnických osob došlo ve sledovaném období k výraznému poklesu, a to o </w:t>
      </w:r>
      <w:r w:rsidR="008707EF" w:rsidRPr="00CE1B5B">
        <w:rPr>
          <w:rFonts w:ascii="Tahoma" w:hAnsi="Tahoma" w:cs="Tahoma"/>
          <w:sz w:val="20"/>
          <w:szCs w:val="20"/>
        </w:rPr>
        <w:t>56.757</w:t>
      </w:r>
      <w:r w:rsidRPr="00CE1B5B">
        <w:rPr>
          <w:rFonts w:ascii="Tahoma" w:hAnsi="Tahoma" w:cs="Tahoma"/>
          <w:sz w:val="20"/>
          <w:szCs w:val="20"/>
        </w:rPr>
        <w:t xml:space="preserve"> tis. Kč. Dále došlo také k poklesu, a to o </w:t>
      </w:r>
      <w:r w:rsidR="008707EF" w:rsidRPr="00CE1B5B">
        <w:rPr>
          <w:rFonts w:ascii="Tahoma" w:hAnsi="Tahoma" w:cs="Tahoma"/>
          <w:sz w:val="20"/>
          <w:szCs w:val="20"/>
        </w:rPr>
        <w:t>7.135</w:t>
      </w:r>
      <w:r w:rsidRPr="00CE1B5B">
        <w:rPr>
          <w:rFonts w:ascii="Tahoma" w:hAnsi="Tahoma" w:cs="Tahoma"/>
          <w:sz w:val="20"/>
          <w:szCs w:val="20"/>
        </w:rPr>
        <w:t xml:space="preserve"> tis. Kč u daní z příjmů fyzických osob. Naopak k nárůstu výnosů došlo u daně z přidané hodnoty o </w:t>
      </w:r>
      <w:r w:rsidR="008707EF" w:rsidRPr="00CE1B5B">
        <w:rPr>
          <w:rFonts w:ascii="Tahoma" w:hAnsi="Tahoma" w:cs="Tahoma"/>
          <w:sz w:val="20"/>
          <w:szCs w:val="20"/>
        </w:rPr>
        <w:t>88.845</w:t>
      </w:r>
      <w:r w:rsidRPr="00CE1B5B">
        <w:rPr>
          <w:rFonts w:ascii="Tahoma" w:hAnsi="Tahoma" w:cs="Tahoma"/>
          <w:sz w:val="20"/>
          <w:szCs w:val="20"/>
        </w:rPr>
        <w:t xml:space="preserve"> tis. Kč. Ve srovnání období leden – </w:t>
      </w:r>
      <w:r w:rsidR="008707EF" w:rsidRPr="00CE1B5B">
        <w:rPr>
          <w:rFonts w:ascii="Tahoma" w:hAnsi="Tahoma" w:cs="Tahoma"/>
          <w:sz w:val="20"/>
          <w:szCs w:val="20"/>
        </w:rPr>
        <w:t>duben</w:t>
      </w:r>
      <w:r w:rsidRPr="00CE1B5B">
        <w:rPr>
          <w:rFonts w:ascii="Tahoma" w:hAnsi="Tahoma" w:cs="Tahoma"/>
          <w:sz w:val="20"/>
          <w:szCs w:val="20"/>
        </w:rPr>
        <w:t xml:space="preserve"> 2014 a stejného období roku 2013 tedy celkově došlo k </w:t>
      </w:r>
      <w:r w:rsidR="008707EF" w:rsidRPr="00CE1B5B">
        <w:rPr>
          <w:rFonts w:ascii="Tahoma" w:hAnsi="Tahoma" w:cs="Tahoma"/>
          <w:sz w:val="20"/>
          <w:szCs w:val="20"/>
        </w:rPr>
        <w:t>nárůstu</w:t>
      </w:r>
      <w:r w:rsidRPr="00CE1B5B">
        <w:rPr>
          <w:rFonts w:ascii="Tahoma" w:hAnsi="Tahoma" w:cs="Tahoma"/>
          <w:sz w:val="20"/>
          <w:szCs w:val="20"/>
        </w:rPr>
        <w:t xml:space="preserve"> výnosů ze sdílených daní o částku </w:t>
      </w:r>
      <w:r w:rsidR="008707EF" w:rsidRPr="00CE1B5B">
        <w:rPr>
          <w:rFonts w:ascii="Tahoma" w:hAnsi="Tahoma" w:cs="Tahoma"/>
          <w:sz w:val="20"/>
          <w:szCs w:val="20"/>
        </w:rPr>
        <w:t>24.953</w:t>
      </w:r>
      <w:r w:rsidRPr="00CE1B5B">
        <w:rPr>
          <w:rFonts w:ascii="Tahoma" w:hAnsi="Tahoma" w:cs="Tahoma"/>
          <w:sz w:val="20"/>
          <w:szCs w:val="20"/>
        </w:rPr>
        <w:t xml:space="preserve"> tis. Kč. </w:t>
      </w:r>
    </w:p>
    <w:p w:rsidR="00014B18" w:rsidRPr="00CE1B5B" w:rsidRDefault="00014B18" w:rsidP="006D20EE">
      <w:pPr>
        <w:jc w:val="both"/>
        <w:rPr>
          <w:rFonts w:ascii="Tahoma" w:hAnsi="Tahoma" w:cs="Tahoma"/>
          <w:sz w:val="20"/>
          <w:szCs w:val="20"/>
        </w:rPr>
      </w:pPr>
    </w:p>
    <w:p w:rsidR="00014B18" w:rsidRPr="00CE1B5B" w:rsidRDefault="00014B18" w:rsidP="00A27329">
      <w:pPr>
        <w:rPr>
          <w:rFonts w:ascii="Tahoma" w:hAnsi="Tahoma" w:cs="Tahoma"/>
          <w:sz w:val="20"/>
          <w:szCs w:val="20"/>
        </w:rPr>
      </w:pPr>
      <w:r w:rsidRPr="00CE1B5B">
        <w:rPr>
          <w:rFonts w:ascii="Tahoma" w:hAnsi="Tahoma" w:cs="Tahoma"/>
          <w:sz w:val="20"/>
          <w:szCs w:val="20"/>
        </w:rPr>
        <w:t xml:space="preserve">Vývoj měsíčních výnosů ze sdílených daní (bez daně z příjmů právnických osob za kraje) v letech 2012 - 2014 je zobrazen v následujícím grafu č. 1. </w:t>
      </w:r>
    </w:p>
    <w:p w:rsidR="00014B18" w:rsidRPr="00CE1B5B" w:rsidRDefault="00014B18" w:rsidP="00316625">
      <w:pPr>
        <w:jc w:val="both"/>
        <w:rPr>
          <w:rFonts w:ascii="Tahoma" w:hAnsi="Tahoma" w:cs="Tahoma"/>
          <w:sz w:val="20"/>
          <w:szCs w:val="20"/>
        </w:rPr>
      </w:pPr>
    </w:p>
    <w:p w:rsidR="00014B18" w:rsidRPr="00CE1B5B" w:rsidRDefault="00014B18" w:rsidP="00316625">
      <w:pPr>
        <w:jc w:val="both"/>
        <w:rPr>
          <w:rFonts w:ascii="Tahoma" w:hAnsi="Tahoma" w:cs="Tahoma"/>
          <w:sz w:val="20"/>
          <w:szCs w:val="20"/>
        </w:rPr>
      </w:pPr>
    </w:p>
    <w:p w:rsidR="00014B18" w:rsidRPr="00CE1B5B" w:rsidRDefault="004A1971" w:rsidP="00316625">
      <w:pPr>
        <w:jc w:val="both"/>
        <w:rPr>
          <w:rFonts w:ascii="Tahoma" w:hAnsi="Tahoma" w:cs="Tahoma"/>
          <w:sz w:val="20"/>
          <w:szCs w:val="20"/>
        </w:rPr>
      </w:pPr>
      <w:r w:rsidRPr="00CE1B5B">
        <w:rPr>
          <w:noProof/>
        </w:rPr>
        <w:lastRenderedPageBreak/>
        <w:drawing>
          <wp:inline distT="0" distB="0" distL="0" distR="0" wp14:anchorId="2D64B164" wp14:editId="0AF6019A">
            <wp:extent cx="6000750" cy="3581400"/>
            <wp:effectExtent l="0" t="0" r="19050" b="1905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14B18" w:rsidRPr="00CE1B5B" w:rsidRDefault="00014B18" w:rsidP="00FC67F3">
      <w:pPr>
        <w:jc w:val="both"/>
        <w:rPr>
          <w:rFonts w:ascii="Tahoma" w:hAnsi="Tahoma" w:cs="Tahoma"/>
          <w:vanish/>
          <w:sz w:val="20"/>
          <w:szCs w:val="20"/>
          <w:specVanish/>
        </w:rPr>
      </w:pPr>
      <w:r w:rsidRPr="00CE1B5B">
        <w:rPr>
          <w:rFonts w:ascii="Tahoma" w:hAnsi="Tahoma" w:cs="Tahoma"/>
          <w:sz w:val="20"/>
          <w:szCs w:val="20"/>
        </w:rPr>
        <w:t>Mezi daňové příjmy se zahrnují také správní poplatky, jejichž skutečný výběr k </w:t>
      </w:r>
      <w:r w:rsidR="00061E36" w:rsidRPr="00CE1B5B">
        <w:rPr>
          <w:rFonts w:ascii="Tahoma" w:hAnsi="Tahoma" w:cs="Tahoma"/>
          <w:sz w:val="20"/>
          <w:szCs w:val="20"/>
        </w:rPr>
        <w:t>30. 4. 2014</w:t>
      </w:r>
      <w:r w:rsidRPr="00CE1B5B">
        <w:rPr>
          <w:rFonts w:ascii="Tahoma" w:hAnsi="Tahoma" w:cs="Tahoma"/>
          <w:sz w:val="20"/>
          <w:szCs w:val="20"/>
        </w:rPr>
        <w:t xml:space="preserve"> dosáhl výše </w:t>
      </w:r>
      <w:r w:rsidR="00B53891" w:rsidRPr="00CE1B5B">
        <w:rPr>
          <w:rFonts w:ascii="Tahoma" w:hAnsi="Tahoma" w:cs="Tahoma"/>
          <w:sz w:val="20"/>
          <w:szCs w:val="20"/>
        </w:rPr>
        <w:t>1.</w:t>
      </w:r>
      <w:r w:rsidR="006B5EBE" w:rsidRPr="00CE1B5B">
        <w:rPr>
          <w:rFonts w:ascii="Tahoma" w:hAnsi="Tahoma" w:cs="Tahoma"/>
          <w:sz w:val="20"/>
          <w:szCs w:val="20"/>
        </w:rPr>
        <w:t>005</w:t>
      </w:r>
      <w:r w:rsidRPr="00CE1B5B">
        <w:rPr>
          <w:rFonts w:ascii="Tahoma" w:hAnsi="Tahoma" w:cs="Tahoma"/>
          <w:sz w:val="20"/>
          <w:szCs w:val="20"/>
        </w:rPr>
        <w:t> tis. Kč, tj. </w:t>
      </w:r>
      <w:r w:rsidR="00B53891" w:rsidRPr="00CE1B5B">
        <w:rPr>
          <w:rFonts w:ascii="Tahoma" w:hAnsi="Tahoma" w:cs="Tahoma"/>
          <w:sz w:val="20"/>
          <w:szCs w:val="20"/>
        </w:rPr>
        <w:t>47,</w:t>
      </w:r>
      <w:r w:rsidR="006B5EBE" w:rsidRPr="00CE1B5B">
        <w:rPr>
          <w:rFonts w:ascii="Tahoma" w:hAnsi="Tahoma" w:cs="Tahoma"/>
          <w:sz w:val="20"/>
          <w:szCs w:val="20"/>
        </w:rPr>
        <w:t>6</w:t>
      </w:r>
      <w:r w:rsidRPr="00CE1B5B">
        <w:rPr>
          <w:rFonts w:ascii="Tahoma" w:hAnsi="Tahoma" w:cs="Tahoma"/>
          <w:sz w:val="20"/>
          <w:szCs w:val="20"/>
        </w:rPr>
        <w:t> % upraveného rozpočtu.</w:t>
      </w:r>
    </w:p>
    <w:p w:rsidR="00014B18" w:rsidRPr="00CE1B5B" w:rsidRDefault="00014B18" w:rsidP="00FC67F3">
      <w:pPr>
        <w:pStyle w:val="Zkladntext"/>
        <w:spacing w:before="360"/>
        <w:rPr>
          <w:rFonts w:ascii="Tahoma" w:hAnsi="Tahoma" w:cs="Tahoma"/>
          <w:b/>
          <w:bCs/>
          <w:sz w:val="20"/>
          <w:szCs w:val="20"/>
        </w:rPr>
      </w:pPr>
      <w:r w:rsidRPr="00CE1B5B">
        <w:rPr>
          <w:rFonts w:ascii="Tahoma" w:hAnsi="Tahoma" w:cs="Tahoma"/>
          <w:b/>
          <w:bCs/>
          <w:sz w:val="20"/>
          <w:szCs w:val="20"/>
        </w:rPr>
        <w:t xml:space="preserve"> </w:t>
      </w:r>
    </w:p>
    <w:p w:rsidR="00014B18" w:rsidRPr="00CE1B5B" w:rsidRDefault="00014B18" w:rsidP="00FC67F3">
      <w:pPr>
        <w:pStyle w:val="Zkladntext"/>
        <w:spacing w:before="360"/>
        <w:rPr>
          <w:rFonts w:ascii="Tahoma" w:hAnsi="Tahoma" w:cs="Tahoma"/>
          <w:b/>
          <w:bCs/>
          <w:sz w:val="20"/>
          <w:szCs w:val="20"/>
        </w:rPr>
      </w:pPr>
      <w:r w:rsidRPr="00CE1B5B">
        <w:rPr>
          <w:rFonts w:ascii="Tahoma" w:hAnsi="Tahoma" w:cs="Tahoma"/>
          <w:b/>
          <w:bCs/>
          <w:sz w:val="20"/>
          <w:szCs w:val="20"/>
        </w:rPr>
        <w:t>Nedaňové příjmy</w:t>
      </w:r>
    </w:p>
    <w:p w:rsidR="00014B18" w:rsidRPr="00CE1B5B" w:rsidRDefault="00014B18" w:rsidP="00D01918">
      <w:pPr>
        <w:jc w:val="both"/>
        <w:rPr>
          <w:rFonts w:ascii="Tahoma" w:hAnsi="Tahoma" w:cs="Tahoma"/>
          <w:sz w:val="20"/>
          <w:szCs w:val="20"/>
        </w:rPr>
      </w:pPr>
    </w:p>
    <w:p w:rsidR="00014B18" w:rsidRPr="00CE1B5B" w:rsidRDefault="00014B18" w:rsidP="009A4D24">
      <w:pPr>
        <w:pStyle w:val="FormtovanvHTML"/>
        <w:jc w:val="both"/>
        <w:rPr>
          <w:rFonts w:ascii="Tahoma" w:hAnsi="Tahoma" w:cs="Tahoma"/>
        </w:rPr>
      </w:pPr>
      <w:r w:rsidRPr="00CE1B5B">
        <w:rPr>
          <w:rFonts w:ascii="Tahoma" w:hAnsi="Tahoma" w:cs="Tahoma"/>
        </w:rPr>
        <w:t xml:space="preserve">Rozpočet nedaňových příjmů byl za období leden – </w:t>
      </w:r>
      <w:r w:rsidR="000F2C89" w:rsidRPr="00CE1B5B">
        <w:rPr>
          <w:rFonts w:ascii="Tahoma" w:hAnsi="Tahoma" w:cs="Tahoma"/>
        </w:rPr>
        <w:t>duben</w:t>
      </w:r>
      <w:r w:rsidRPr="00CE1B5B">
        <w:rPr>
          <w:rFonts w:ascii="Tahoma" w:hAnsi="Tahoma" w:cs="Tahoma"/>
        </w:rPr>
        <w:t xml:space="preserve"> 2014 navýšen celkově o </w:t>
      </w:r>
      <w:r w:rsidR="000F2C89" w:rsidRPr="00CE1B5B">
        <w:rPr>
          <w:rFonts w:ascii="Tahoma" w:hAnsi="Tahoma" w:cs="Tahoma"/>
        </w:rPr>
        <w:t>47.5</w:t>
      </w:r>
      <w:r w:rsidR="006B5EBE" w:rsidRPr="00CE1B5B">
        <w:rPr>
          <w:rFonts w:ascii="Tahoma" w:hAnsi="Tahoma" w:cs="Tahoma"/>
        </w:rPr>
        <w:t>0</w:t>
      </w:r>
      <w:r w:rsidR="000F2C89" w:rsidRPr="00CE1B5B">
        <w:rPr>
          <w:rFonts w:ascii="Tahoma" w:hAnsi="Tahoma" w:cs="Tahoma"/>
        </w:rPr>
        <w:t>8</w:t>
      </w:r>
      <w:r w:rsidRPr="00CE1B5B">
        <w:rPr>
          <w:rFonts w:ascii="Tahoma" w:hAnsi="Tahoma" w:cs="Tahoma"/>
        </w:rPr>
        <w:t> tis. Kč. K nárůstu došlo u položky Splátky půjčených prostředků od příspěvkových organizací, a to o</w:t>
      </w:r>
      <w:r w:rsidR="00D10C8E" w:rsidRPr="00CE1B5B">
        <w:rPr>
          <w:rFonts w:ascii="Tahoma" w:hAnsi="Tahoma" w:cs="Tahoma"/>
        </w:rPr>
        <w:t> </w:t>
      </w:r>
      <w:r w:rsidR="00D667B6" w:rsidRPr="00CE1B5B">
        <w:rPr>
          <w:rFonts w:ascii="Tahoma" w:hAnsi="Tahoma" w:cs="Tahoma"/>
        </w:rPr>
        <w:t xml:space="preserve">22.988 tis. Kč. Prostředky ve výši </w:t>
      </w:r>
      <w:r w:rsidR="00E3230E" w:rsidRPr="00CE1B5B">
        <w:rPr>
          <w:rFonts w:ascii="Tahoma" w:hAnsi="Tahoma" w:cs="Tahoma"/>
        </w:rPr>
        <w:t>8.306</w:t>
      </w:r>
      <w:r w:rsidR="00D10C8E" w:rsidRPr="00CE1B5B">
        <w:rPr>
          <w:rFonts w:ascii="Tahoma" w:hAnsi="Tahoma" w:cs="Tahoma"/>
        </w:rPr>
        <w:t> </w:t>
      </w:r>
      <w:r w:rsidRPr="00CE1B5B">
        <w:rPr>
          <w:rFonts w:ascii="Tahoma" w:hAnsi="Tahoma" w:cs="Tahoma"/>
        </w:rPr>
        <w:t>tis.</w:t>
      </w:r>
      <w:r w:rsidR="00D10C8E" w:rsidRPr="00CE1B5B">
        <w:rPr>
          <w:rFonts w:ascii="Tahoma" w:hAnsi="Tahoma" w:cs="Tahoma"/>
        </w:rPr>
        <w:t> </w:t>
      </w:r>
      <w:r w:rsidR="00D667B6" w:rsidRPr="00CE1B5B">
        <w:rPr>
          <w:rFonts w:ascii="Tahoma" w:hAnsi="Tahoma" w:cs="Tahoma"/>
        </w:rPr>
        <w:t>Kč</w:t>
      </w:r>
      <w:r w:rsidRPr="00CE1B5B">
        <w:rPr>
          <w:rFonts w:ascii="Tahoma" w:hAnsi="Tahoma" w:cs="Tahoma"/>
        </w:rPr>
        <w:t xml:space="preserve"> jsou poskytovány jako návratná finanční výpomoc z rozpočtu kraje v odvětví školství a zdravotnictví, a to při realizaci zateplování jednotlivých objektů (nebo částí areálů) zdravotnický a školských zařízení v rámci projektů spolufinancovaných z evropských finančních zdrojů. V rámci Operačního programu životní prostředí je realizován projekt „Ekologizace zdravotnických zařízení zřizovaných Moravskoslezským krajem“ a „Energetické úspory ve školách a školských zařízeních zřizovaných Moravskoslezským krajem“, u kterých bylo nutno zajistit plynulé financování v období, než</w:t>
      </w:r>
      <w:r w:rsidR="00D33C79" w:rsidRPr="00CE1B5B">
        <w:rPr>
          <w:rFonts w:ascii="Tahoma" w:hAnsi="Tahoma" w:cs="Tahoma"/>
        </w:rPr>
        <w:t> </w:t>
      </w:r>
      <w:r w:rsidRPr="00CE1B5B">
        <w:rPr>
          <w:rFonts w:ascii="Tahoma" w:hAnsi="Tahoma" w:cs="Tahoma"/>
        </w:rPr>
        <w:t>dojde k navrácení finančních prostředků po podání a ukončení administrace žádosti o</w:t>
      </w:r>
      <w:r w:rsidR="00D10C8E" w:rsidRPr="00CE1B5B">
        <w:rPr>
          <w:rFonts w:ascii="Tahoma" w:hAnsi="Tahoma" w:cs="Tahoma"/>
        </w:rPr>
        <w:t> </w:t>
      </w:r>
      <w:r w:rsidRPr="00CE1B5B">
        <w:rPr>
          <w:rFonts w:ascii="Tahoma" w:hAnsi="Tahoma" w:cs="Tahoma"/>
        </w:rPr>
        <w:t>platbu na</w:t>
      </w:r>
      <w:r w:rsidR="00D33C79" w:rsidRPr="00CE1B5B">
        <w:rPr>
          <w:rFonts w:ascii="Tahoma" w:hAnsi="Tahoma" w:cs="Tahoma"/>
        </w:rPr>
        <w:t> </w:t>
      </w:r>
      <w:r w:rsidRPr="00CE1B5B">
        <w:rPr>
          <w:rFonts w:ascii="Tahoma" w:hAnsi="Tahoma" w:cs="Tahoma"/>
        </w:rPr>
        <w:t xml:space="preserve">způsobilou část DPH u řídícího orgánu. </w:t>
      </w:r>
      <w:r w:rsidR="00D667B6" w:rsidRPr="00CE1B5B">
        <w:rPr>
          <w:rFonts w:ascii="Tahoma" w:hAnsi="Tahoma" w:cs="Tahoma"/>
        </w:rPr>
        <w:t>Z důvodu zajištění plynulého financování projektu Podpora přírodovědného a technického vzdělávání v Moravskoslezském kraji spolufinancovaného z evropských finančních zdrojů na straně partnerských organizací a překlenutí období do přijetí další zálohové platby v dostatečné výši bylo navrženo poskytnout partnerským organizacím návratnou finanční výpomoc. V souvislosti s navrácením této finanční výpomoci byla rovněž upravena výše Splátek půjčených prostředků od příspěvkových organizací</w:t>
      </w:r>
      <w:r w:rsidR="00E3230E" w:rsidRPr="00CE1B5B">
        <w:rPr>
          <w:rFonts w:ascii="Tahoma" w:hAnsi="Tahoma" w:cs="Tahoma"/>
        </w:rPr>
        <w:t>, a to navýšením o 14.682 tis. Kč.</w:t>
      </w:r>
    </w:p>
    <w:p w:rsidR="00014B18" w:rsidRPr="00CE1B5B" w:rsidRDefault="00014B18" w:rsidP="009A4D24">
      <w:pPr>
        <w:pStyle w:val="FormtovanvHTML"/>
        <w:jc w:val="both"/>
        <w:rPr>
          <w:rFonts w:ascii="Tahoma" w:hAnsi="Tahoma" w:cs="Tahoma"/>
        </w:rPr>
      </w:pPr>
      <w:r w:rsidRPr="00CE1B5B">
        <w:rPr>
          <w:rFonts w:ascii="Tahoma" w:hAnsi="Tahoma" w:cs="Tahoma"/>
        </w:rPr>
        <w:t xml:space="preserve">Dále byly zapojeny do rozpočtu kraje finanční prostředky v objemu </w:t>
      </w:r>
      <w:r w:rsidR="00201658" w:rsidRPr="00CE1B5B">
        <w:rPr>
          <w:rFonts w:ascii="Tahoma" w:hAnsi="Tahoma" w:cs="Tahoma"/>
        </w:rPr>
        <w:t>15.</w:t>
      </w:r>
      <w:r w:rsidR="006B5EBE" w:rsidRPr="00CE1B5B">
        <w:rPr>
          <w:rFonts w:ascii="Tahoma" w:hAnsi="Tahoma" w:cs="Tahoma"/>
        </w:rPr>
        <w:t>892</w:t>
      </w:r>
      <w:r w:rsidRPr="00CE1B5B">
        <w:rPr>
          <w:rFonts w:ascii="Tahoma" w:hAnsi="Tahoma" w:cs="Tahoma"/>
        </w:rPr>
        <w:t xml:space="preserve"> tis. Kč přijaté v rámci finančního vypořádání za rok 2013 (případně předešlá léta). </w:t>
      </w:r>
    </w:p>
    <w:p w:rsidR="00014B18" w:rsidRPr="00CE1B5B" w:rsidRDefault="00014B18" w:rsidP="009A4D24">
      <w:pPr>
        <w:pStyle w:val="FormtovanvHTML"/>
        <w:jc w:val="both"/>
        <w:rPr>
          <w:rFonts w:ascii="Tahoma" w:hAnsi="Tahoma" w:cs="Tahoma"/>
        </w:rPr>
      </w:pPr>
      <w:r w:rsidRPr="00CE1B5B">
        <w:rPr>
          <w:rFonts w:ascii="Tahoma" w:hAnsi="Tahoma" w:cs="Tahoma"/>
        </w:rPr>
        <w:t>Rozpočet nedaňových příjmů byl také navýšen u položky odvody příspěvkových organizací</w:t>
      </w:r>
      <w:r w:rsidR="00201658" w:rsidRPr="00CE1B5B">
        <w:rPr>
          <w:rFonts w:ascii="Tahoma" w:hAnsi="Tahoma" w:cs="Tahoma"/>
        </w:rPr>
        <w:t xml:space="preserve"> </w:t>
      </w:r>
      <w:r w:rsidRPr="00CE1B5B">
        <w:rPr>
          <w:rFonts w:ascii="Tahoma" w:hAnsi="Tahoma" w:cs="Tahoma"/>
        </w:rPr>
        <w:t>celkově o </w:t>
      </w:r>
      <w:r w:rsidR="00201658" w:rsidRPr="00CE1B5B">
        <w:rPr>
          <w:rFonts w:ascii="Tahoma" w:hAnsi="Tahoma" w:cs="Tahoma"/>
        </w:rPr>
        <w:t xml:space="preserve">14.845 tis. Kč, z toho v odvětví školství o 13.830 tis. Kč a v odvětví sociálních služeb </w:t>
      </w:r>
      <w:r w:rsidRPr="00CE1B5B">
        <w:rPr>
          <w:rFonts w:ascii="Tahoma" w:hAnsi="Tahoma" w:cs="Tahoma"/>
        </w:rPr>
        <w:t xml:space="preserve">1.015 tis. Kč. </w:t>
      </w:r>
      <w:r w:rsidR="00201658" w:rsidRPr="00CE1B5B">
        <w:rPr>
          <w:rFonts w:ascii="Tahoma" w:hAnsi="Tahoma" w:cs="Tahoma"/>
        </w:rPr>
        <w:t xml:space="preserve">Finanční prostředky v odvětví školství budou použity na dofinancování </w:t>
      </w:r>
      <w:r w:rsidR="00D72BB6" w:rsidRPr="00CE1B5B">
        <w:rPr>
          <w:rFonts w:ascii="Tahoma" w:hAnsi="Tahoma" w:cs="Tahoma"/>
        </w:rPr>
        <w:t>potřebných</w:t>
      </w:r>
      <w:r w:rsidR="00201658" w:rsidRPr="00CE1B5B">
        <w:rPr>
          <w:rFonts w:ascii="Tahoma" w:hAnsi="Tahoma" w:cs="Tahoma"/>
        </w:rPr>
        <w:t xml:space="preserve"> akcí reprodukce majetku v daném odvětví a </w:t>
      </w:r>
      <w:r w:rsidR="00D72BB6" w:rsidRPr="00CE1B5B">
        <w:rPr>
          <w:rFonts w:ascii="Tahoma" w:hAnsi="Tahoma" w:cs="Tahoma"/>
        </w:rPr>
        <w:t xml:space="preserve">část ve výši 7.480 tis. Kč byla ponechána jako rezerva </w:t>
      </w:r>
      <w:r w:rsidR="00201658" w:rsidRPr="00CE1B5B">
        <w:rPr>
          <w:rFonts w:ascii="Tahoma" w:hAnsi="Tahoma" w:cs="Tahoma"/>
        </w:rPr>
        <w:t xml:space="preserve">k řešení mimořádných událostí. </w:t>
      </w:r>
      <w:r w:rsidRPr="00CE1B5B">
        <w:rPr>
          <w:rFonts w:ascii="Tahoma" w:hAnsi="Tahoma" w:cs="Tahoma"/>
        </w:rPr>
        <w:t xml:space="preserve">Stanovení odvodu </w:t>
      </w:r>
      <w:r w:rsidR="00201658" w:rsidRPr="00CE1B5B">
        <w:rPr>
          <w:rFonts w:ascii="Tahoma" w:hAnsi="Tahoma" w:cs="Tahoma"/>
        </w:rPr>
        <w:t xml:space="preserve">v odvětví sociálních věcí </w:t>
      </w:r>
      <w:r w:rsidRPr="00CE1B5B">
        <w:rPr>
          <w:rFonts w:ascii="Tahoma" w:hAnsi="Tahoma" w:cs="Tahoma"/>
        </w:rPr>
        <w:t>souviselo s realizací projektu Rekonstrukce domova pro osoby se</w:t>
      </w:r>
      <w:r w:rsidR="00D33C79" w:rsidRPr="00CE1B5B">
        <w:rPr>
          <w:rFonts w:ascii="Tahoma" w:hAnsi="Tahoma" w:cs="Tahoma"/>
        </w:rPr>
        <w:t> </w:t>
      </w:r>
      <w:r w:rsidRPr="00CE1B5B">
        <w:rPr>
          <w:rFonts w:ascii="Tahoma" w:hAnsi="Tahoma" w:cs="Tahoma"/>
        </w:rPr>
        <w:t xml:space="preserve">zdravotním postižením Benjamín spolufinancovaného z evropských finančních zdrojů v odvětví sociálních věcí, který bude financován částečně i odvodem do rozpočtu zřizovatele, tj. kraje. </w:t>
      </w:r>
      <w:r w:rsidR="00F15008" w:rsidRPr="00CE1B5B">
        <w:rPr>
          <w:rFonts w:ascii="Tahoma" w:hAnsi="Tahoma" w:cs="Tahoma"/>
        </w:rPr>
        <w:t>Prostředky rozpočtované na položce sankční platby přijaté od jiných subjektů byly navýšeny celkově o</w:t>
      </w:r>
      <w:r w:rsidR="00D33C79" w:rsidRPr="00CE1B5B">
        <w:rPr>
          <w:rFonts w:ascii="Tahoma" w:hAnsi="Tahoma" w:cs="Tahoma"/>
        </w:rPr>
        <w:t> </w:t>
      </w:r>
      <w:r w:rsidR="00F15008" w:rsidRPr="00CE1B5B">
        <w:rPr>
          <w:rFonts w:ascii="Tahoma" w:hAnsi="Tahoma" w:cs="Tahoma"/>
        </w:rPr>
        <w:t>1.0</w:t>
      </w:r>
      <w:r w:rsidR="00D13018" w:rsidRPr="00CE1B5B">
        <w:rPr>
          <w:rFonts w:ascii="Tahoma" w:hAnsi="Tahoma" w:cs="Tahoma"/>
        </w:rPr>
        <w:t>67</w:t>
      </w:r>
      <w:r w:rsidR="00D33C79" w:rsidRPr="00CE1B5B">
        <w:rPr>
          <w:rFonts w:ascii="Tahoma" w:hAnsi="Tahoma" w:cs="Tahoma"/>
        </w:rPr>
        <w:t> </w:t>
      </w:r>
      <w:r w:rsidR="00F15008" w:rsidRPr="00CE1B5B">
        <w:rPr>
          <w:rFonts w:ascii="Tahoma" w:hAnsi="Tahoma" w:cs="Tahoma"/>
        </w:rPr>
        <w:t>tis.</w:t>
      </w:r>
      <w:r w:rsidR="00D33C79" w:rsidRPr="00CE1B5B">
        <w:rPr>
          <w:rFonts w:ascii="Tahoma" w:hAnsi="Tahoma" w:cs="Tahoma"/>
        </w:rPr>
        <w:t> </w:t>
      </w:r>
      <w:r w:rsidR="00F15008" w:rsidRPr="00CE1B5B">
        <w:rPr>
          <w:rFonts w:ascii="Tahoma" w:hAnsi="Tahoma" w:cs="Tahoma"/>
        </w:rPr>
        <w:t>Kč, a to zejména v odvětví dopravy o 814 tis. Kč v souvislosti se sankcemi plynoucími z porušení smluvních podmínek při zajištění základní dopravní obslužnosti v kraji v roce 2013 (drážní doprava).</w:t>
      </w:r>
    </w:p>
    <w:p w:rsidR="00014B18" w:rsidRPr="00CE1B5B" w:rsidRDefault="00014B18" w:rsidP="00EB53F0">
      <w:pPr>
        <w:pStyle w:val="FormtovanvHTML"/>
        <w:jc w:val="both"/>
        <w:rPr>
          <w:rFonts w:ascii="Tahoma" w:hAnsi="Tahoma" w:cs="Tahoma"/>
        </w:rPr>
      </w:pPr>
      <w:r w:rsidRPr="00CE1B5B">
        <w:rPr>
          <w:rFonts w:ascii="Tahoma" w:hAnsi="Tahoma" w:cs="Tahoma"/>
        </w:rPr>
        <w:t>Naopak ke snížení nedaňový</w:t>
      </w:r>
      <w:r w:rsidR="005F6F8A" w:rsidRPr="00CE1B5B">
        <w:rPr>
          <w:rFonts w:ascii="Tahoma" w:hAnsi="Tahoma" w:cs="Tahoma"/>
        </w:rPr>
        <w:t>ch příjmů došlo u položky příjmy</w:t>
      </w:r>
      <w:r w:rsidRPr="00CE1B5B">
        <w:rPr>
          <w:rFonts w:ascii="Tahoma" w:hAnsi="Tahoma" w:cs="Tahoma"/>
        </w:rPr>
        <w:t xml:space="preserve"> z pronájmu ostatních nemovitostí a jejich částí, a to o 9.000 tis. Kč. Prostředky </w:t>
      </w:r>
      <w:r w:rsidR="005F6F8A" w:rsidRPr="00CE1B5B">
        <w:rPr>
          <w:rFonts w:ascii="Tahoma" w:hAnsi="Tahoma" w:cs="Tahoma"/>
        </w:rPr>
        <w:t>byly rozpočtovány</w:t>
      </w:r>
      <w:r w:rsidRPr="00CE1B5B">
        <w:rPr>
          <w:rFonts w:ascii="Tahoma" w:hAnsi="Tahoma" w:cs="Tahoma"/>
        </w:rPr>
        <w:t xml:space="preserve"> ve schváleném rozpočtu na rok 2014 jako 2.</w:t>
      </w:r>
      <w:r w:rsidR="00D10C8E" w:rsidRPr="00CE1B5B">
        <w:rPr>
          <w:rFonts w:ascii="Tahoma" w:hAnsi="Tahoma" w:cs="Tahoma"/>
        </w:rPr>
        <w:t> </w:t>
      </w:r>
      <w:r w:rsidRPr="00CE1B5B">
        <w:rPr>
          <w:rFonts w:ascii="Tahoma" w:hAnsi="Tahoma" w:cs="Tahoma"/>
        </w:rPr>
        <w:t>splátka nájemného za pronájem podniku Letiště Ostrava – Mošnov za rok 2012.</w:t>
      </w:r>
    </w:p>
    <w:p w:rsidR="00014B18" w:rsidRPr="00CE1B5B" w:rsidRDefault="00014B18" w:rsidP="00E44472">
      <w:pPr>
        <w:jc w:val="both"/>
        <w:rPr>
          <w:rFonts w:ascii="Tahoma" w:hAnsi="Tahoma" w:cs="Tahoma"/>
          <w:sz w:val="20"/>
          <w:szCs w:val="20"/>
        </w:rPr>
      </w:pPr>
    </w:p>
    <w:p w:rsidR="00014B18" w:rsidRPr="00CE1B5B" w:rsidRDefault="00014B18" w:rsidP="00E44472">
      <w:pPr>
        <w:jc w:val="both"/>
        <w:rPr>
          <w:rFonts w:ascii="Tahoma" w:hAnsi="Tahoma" w:cs="Tahoma"/>
          <w:sz w:val="20"/>
          <w:szCs w:val="20"/>
        </w:rPr>
      </w:pPr>
      <w:r w:rsidRPr="00CE1B5B">
        <w:rPr>
          <w:rFonts w:ascii="Tahoma" w:hAnsi="Tahoma" w:cs="Tahoma"/>
          <w:sz w:val="20"/>
          <w:szCs w:val="20"/>
        </w:rPr>
        <w:t xml:space="preserve">Nedaňové příjmy kraje dosahují k datu </w:t>
      </w:r>
      <w:r w:rsidR="00061E36" w:rsidRPr="00CE1B5B">
        <w:rPr>
          <w:rFonts w:ascii="Tahoma" w:hAnsi="Tahoma" w:cs="Tahoma"/>
          <w:sz w:val="20"/>
          <w:szCs w:val="20"/>
        </w:rPr>
        <w:t>30. 4. 2014</w:t>
      </w:r>
      <w:r w:rsidRPr="00CE1B5B">
        <w:rPr>
          <w:rFonts w:ascii="Tahoma" w:hAnsi="Tahoma" w:cs="Tahoma"/>
          <w:sz w:val="20"/>
          <w:szCs w:val="20"/>
        </w:rPr>
        <w:t xml:space="preserve"> celkové výše </w:t>
      </w:r>
      <w:r w:rsidR="00F05A2F" w:rsidRPr="00CE1B5B">
        <w:rPr>
          <w:rFonts w:ascii="Tahoma" w:hAnsi="Tahoma" w:cs="Tahoma"/>
          <w:sz w:val="20"/>
          <w:szCs w:val="20"/>
        </w:rPr>
        <w:t>103.990</w:t>
      </w:r>
      <w:r w:rsidRPr="00CE1B5B">
        <w:rPr>
          <w:rFonts w:ascii="Tahoma" w:hAnsi="Tahoma" w:cs="Tahoma"/>
          <w:sz w:val="20"/>
          <w:szCs w:val="20"/>
        </w:rPr>
        <w:t> tis. Kč, tj. </w:t>
      </w:r>
      <w:r w:rsidR="00F05A2F" w:rsidRPr="00CE1B5B">
        <w:rPr>
          <w:rFonts w:ascii="Tahoma" w:hAnsi="Tahoma" w:cs="Tahoma"/>
          <w:sz w:val="20"/>
          <w:szCs w:val="20"/>
        </w:rPr>
        <w:t>43,4</w:t>
      </w:r>
      <w:r w:rsidRPr="00CE1B5B">
        <w:rPr>
          <w:rFonts w:ascii="Tahoma" w:hAnsi="Tahoma" w:cs="Tahoma"/>
          <w:sz w:val="20"/>
          <w:szCs w:val="20"/>
        </w:rPr>
        <w:t> % upraveného rozpočtu.</w:t>
      </w:r>
    </w:p>
    <w:p w:rsidR="00014B18" w:rsidRPr="00CE1B5B" w:rsidRDefault="0022593F" w:rsidP="00D01918">
      <w:pPr>
        <w:jc w:val="both"/>
        <w:rPr>
          <w:rFonts w:ascii="Tahoma" w:hAnsi="Tahoma" w:cs="Tahoma"/>
          <w:sz w:val="20"/>
          <w:szCs w:val="20"/>
        </w:rPr>
      </w:pPr>
      <w:r w:rsidRPr="00CE1B5B">
        <w:rPr>
          <w:rFonts w:ascii="Tahoma" w:hAnsi="Tahoma" w:cs="Tahoma"/>
          <w:sz w:val="20"/>
          <w:szCs w:val="20"/>
        </w:rPr>
        <w:object w:dxaOrig="9256" w:dyaOrig="6756">
          <v:shape id="_x0000_i1028" type="#_x0000_t75" style="width:458.25pt;height:351pt" o:ole="">
            <v:imagedata r:id="rId16" o:title=""/>
          </v:shape>
          <o:OLEObject Type="Embed" ProgID="Excel.Sheet.8" ShapeID="_x0000_i1028" DrawAspect="Content" ObjectID="_1462796435" r:id="rId17"/>
        </w:object>
      </w:r>
    </w:p>
    <w:p w:rsidR="00014B18" w:rsidRPr="00CE1B5B" w:rsidRDefault="00014B18" w:rsidP="00B900BB">
      <w:pPr>
        <w:pStyle w:val="FormtovanvHTML"/>
        <w:jc w:val="both"/>
        <w:rPr>
          <w:rFonts w:ascii="Tahoma" w:hAnsi="Tahoma" w:cs="Tahoma"/>
        </w:rPr>
      </w:pPr>
    </w:p>
    <w:p w:rsidR="00014B18" w:rsidRPr="00CE1B5B" w:rsidRDefault="00014B18" w:rsidP="00C14519">
      <w:pPr>
        <w:jc w:val="both"/>
        <w:rPr>
          <w:rFonts w:ascii="Tahoma" w:hAnsi="Tahoma" w:cs="Tahoma"/>
          <w:sz w:val="20"/>
          <w:szCs w:val="20"/>
        </w:rPr>
      </w:pPr>
      <w:r w:rsidRPr="00CE1B5B">
        <w:rPr>
          <w:rFonts w:ascii="Tahoma" w:hAnsi="Tahoma" w:cs="Tahoma"/>
          <w:sz w:val="20"/>
          <w:szCs w:val="20"/>
        </w:rPr>
        <w:t xml:space="preserve">Příjmy z pronájmu ostatních nemovitostí a jejich částí dosáhly celkové výše </w:t>
      </w:r>
      <w:r w:rsidR="00C14519" w:rsidRPr="00CE1B5B">
        <w:rPr>
          <w:rFonts w:ascii="Tahoma" w:hAnsi="Tahoma" w:cs="Tahoma"/>
          <w:sz w:val="20"/>
          <w:szCs w:val="20"/>
        </w:rPr>
        <w:t>20.216</w:t>
      </w:r>
      <w:r w:rsidRPr="00CE1B5B">
        <w:rPr>
          <w:rFonts w:ascii="Tahoma" w:hAnsi="Tahoma" w:cs="Tahoma"/>
          <w:sz w:val="20"/>
          <w:szCs w:val="20"/>
        </w:rPr>
        <w:t xml:space="preserve"> tis. Kč. Jednalo se zejména o příjmy plynoucí z pronájmu Nemocnice s poliklinikou v Novém Jičíně ve výši 17.164 tis. Kč (tzv. reinvestiční část nájemného). </w:t>
      </w:r>
      <w:r w:rsidR="00C14519" w:rsidRPr="00CE1B5B">
        <w:rPr>
          <w:rFonts w:ascii="Tahoma" w:hAnsi="Tahoma" w:cs="Tahoma"/>
          <w:sz w:val="20"/>
          <w:szCs w:val="20"/>
        </w:rPr>
        <w:t>V souladu se Smlouvou o nájmu podniku Letiště Ostrava-Mošnov uzavřené dne 28. 6. 2004, byla přijata druhá splátka nájemného za rok 2012 ve výši 1.800 tis. Kč od</w:t>
      </w:r>
      <w:r w:rsidR="00CE1B5B">
        <w:rPr>
          <w:rFonts w:ascii="Tahoma" w:hAnsi="Tahoma" w:cs="Tahoma"/>
          <w:sz w:val="20"/>
          <w:szCs w:val="20"/>
        </w:rPr>
        <w:t> </w:t>
      </w:r>
      <w:r w:rsidR="00C14519" w:rsidRPr="00CE1B5B">
        <w:rPr>
          <w:rFonts w:ascii="Tahoma" w:hAnsi="Tahoma" w:cs="Tahoma"/>
          <w:sz w:val="20"/>
          <w:szCs w:val="20"/>
        </w:rPr>
        <w:t xml:space="preserve">společnosti Letiště Ostrava, a.s. </w:t>
      </w:r>
      <w:r w:rsidRPr="00CE1B5B">
        <w:rPr>
          <w:rFonts w:ascii="Tahoma" w:hAnsi="Tahoma" w:cs="Tahoma"/>
          <w:sz w:val="20"/>
          <w:szCs w:val="20"/>
        </w:rPr>
        <w:t xml:space="preserve">Dále se jedná příjmy ve výši </w:t>
      </w:r>
      <w:r w:rsidR="00C14519" w:rsidRPr="00CE1B5B">
        <w:rPr>
          <w:rFonts w:ascii="Tahoma" w:hAnsi="Tahoma" w:cs="Tahoma"/>
          <w:sz w:val="20"/>
          <w:szCs w:val="20"/>
        </w:rPr>
        <w:t>1.25</w:t>
      </w:r>
      <w:r w:rsidR="006B5EBE" w:rsidRPr="00CE1B5B">
        <w:rPr>
          <w:rFonts w:ascii="Tahoma" w:hAnsi="Tahoma" w:cs="Tahoma"/>
          <w:sz w:val="20"/>
          <w:szCs w:val="20"/>
        </w:rPr>
        <w:t>2</w:t>
      </w:r>
      <w:r w:rsidRPr="00CE1B5B">
        <w:rPr>
          <w:rFonts w:ascii="Tahoma" w:hAnsi="Tahoma" w:cs="Tahoma"/>
          <w:sz w:val="20"/>
          <w:szCs w:val="20"/>
        </w:rPr>
        <w:t xml:space="preserve"> tis. Kč související s úhradou nájemného za nebytové prostory, a to např. od Regionální rady regionu soudržnosti, firmy Sodexo, s.r.o., České pošty, </w:t>
      </w:r>
      <w:proofErr w:type="spellStart"/>
      <w:r w:rsidRPr="00CE1B5B">
        <w:rPr>
          <w:rFonts w:ascii="Tahoma" w:hAnsi="Tahoma" w:cs="Tahoma"/>
          <w:sz w:val="20"/>
          <w:szCs w:val="20"/>
        </w:rPr>
        <w:t>s.p</w:t>
      </w:r>
      <w:proofErr w:type="spellEnd"/>
      <w:r w:rsidRPr="00CE1B5B">
        <w:rPr>
          <w:rFonts w:ascii="Tahoma" w:hAnsi="Tahoma" w:cs="Tahoma"/>
          <w:sz w:val="20"/>
          <w:szCs w:val="20"/>
        </w:rPr>
        <w:t>. aj.</w:t>
      </w:r>
    </w:p>
    <w:p w:rsidR="005F6F8A" w:rsidRPr="00CE1B5B" w:rsidRDefault="005F6F8A" w:rsidP="005F6F8A">
      <w:pPr>
        <w:jc w:val="both"/>
        <w:rPr>
          <w:rFonts w:ascii="Tahoma" w:hAnsi="Tahoma" w:cs="Tahoma"/>
          <w:sz w:val="20"/>
          <w:szCs w:val="20"/>
        </w:rPr>
      </w:pPr>
      <w:r w:rsidRPr="00CE1B5B">
        <w:rPr>
          <w:rFonts w:ascii="Tahoma" w:hAnsi="Tahoma" w:cs="Tahoma"/>
          <w:sz w:val="20"/>
          <w:szCs w:val="20"/>
        </w:rPr>
        <w:t xml:space="preserve">Splátky půjčených prostředků od příspěvkových organizací dosáhly ve sledovaném období celkové výše </w:t>
      </w:r>
      <w:r w:rsidR="00C14519" w:rsidRPr="00CE1B5B">
        <w:rPr>
          <w:rFonts w:ascii="Tahoma" w:hAnsi="Tahoma" w:cs="Tahoma"/>
          <w:sz w:val="20"/>
          <w:szCs w:val="20"/>
        </w:rPr>
        <w:t>23.770</w:t>
      </w:r>
      <w:r w:rsidRPr="00CE1B5B">
        <w:rPr>
          <w:rFonts w:ascii="Tahoma" w:hAnsi="Tahoma" w:cs="Tahoma"/>
          <w:sz w:val="20"/>
          <w:szCs w:val="20"/>
        </w:rPr>
        <w:t xml:space="preserve"> tis. Kč a týkaly se </w:t>
      </w:r>
      <w:r w:rsidR="007868EB" w:rsidRPr="00CE1B5B">
        <w:rPr>
          <w:rFonts w:ascii="Tahoma" w:hAnsi="Tahoma" w:cs="Tahoma"/>
          <w:sz w:val="20"/>
          <w:szCs w:val="20"/>
        </w:rPr>
        <w:t xml:space="preserve">zejména </w:t>
      </w:r>
      <w:r w:rsidRPr="00CE1B5B">
        <w:rPr>
          <w:rFonts w:ascii="Tahoma" w:hAnsi="Tahoma" w:cs="Tahoma"/>
          <w:sz w:val="20"/>
          <w:szCs w:val="20"/>
        </w:rPr>
        <w:t xml:space="preserve">akcí spolufinancovaných z evropských finančních zdrojů. </w:t>
      </w:r>
    </w:p>
    <w:p w:rsidR="005F6F8A" w:rsidRPr="00CE1B5B" w:rsidRDefault="005F6F8A" w:rsidP="005F6F8A">
      <w:pPr>
        <w:pStyle w:val="FormtovanvHTML"/>
        <w:jc w:val="both"/>
        <w:rPr>
          <w:rFonts w:ascii="Tahoma" w:hAnsi="Tahoma" w:cs="Tahoma"/>
        </w:rPr>
      </w:pPr>
      <w:r w:rsidRPr="00CE1B5B">
        <w:rPr>
          <w:rFonts w:ascii="Tahoma" w:hAnsi="Tahoma" w:cs="Tahoma"/>
        </w:rPr>
        <w:t xml:space="preserve">Objem ve výši </w:t>
      </w:r>
      <w:r w:rsidR="007868EB" w:rsidRPr="00CE1B5B">
        <w:rPr>
          <w:rFonts w:ascii="Tahoma" w:hAnsi="Tahoma" w:cs="Tahoma"/>
        </w:rPr>
        <w:t>16.540</w:t>
      </w:r>
      <w:r w:rsidRPr="00CE1B5B">
        <w:rPr>
          <w:rFonts w:ascii="Tahoma" w:hAnsi="Tahoma" w:cs="Tahoma"/>
        </w:rPr>
        <w:t xml:space="preserve"> tis. Kč představují vratky finančních prostředků zaslané na účet kraje v rámci finančního vypořádání za rok 2013 (případně i minulých let), z čehož největší podíl na tomto objemu mají vratky nevyčerpaných a vrácených dotací poskytnutých z jednotlivých kapitol státního rozpočtu ve výši </w:t>
      </w:r>
      <w:r w:rsidR="007868EB" w:rsidRPr="00CE1B5B">
        <w:rPr>
          <w:rFonts w:ascii="Tahoma" w:hAnsi="Tahoma" w:cs="Tahoma"/>
        </w:rPr>
        <w:t>2.010</w:t>
      </w:r>
      <w:r w:rsidRPr="00CE1B5B">
        <w:rPr>
          <w:rFonts w:ascii="Tahoma" w:hAnsi="Tahoma" w:cs="Tahoma"/>
        </w:rPr>
        <w:t xml:space="preserve"> tis. Kč, dále nevyčerpané a vrácené prostředky individuálních dotací poskytnutých jednotlivým příjemcům v předešlých letech ve výši </w:t>
      </w:r>
      <w:r w:rsidR="007868EB" w:rsidRPr="00CE1B5B">
        <w:rPr>
          <w:rFonts w:ascii="Tahoma" w:hAnsi="Tahoma" w:cs="Tahoma"/>
        </w:rPr>
        <w:t>4.588</w:t>
      </w:r>
      <w:r w:rsidRPr="00CE1B5B">
        <w:rPr>
          <w:rFonts w:ascii="Tahoma" w:hAnsi="Tahoma" w:cs="Tahoma"/>
        </w:rPr>
        <w:t xml:space="preserve"> tis. Kč a nedočerpané a vrácené prostředky poskytnuté v předešlých letech v rámci dotačních programů kraje ve výši </w:t>
      </w:r>
      <w:r w:rsidR="007868EB" w:rsidRPr="00CE1B5B">
        <w:rPr>
          <w:rFonts w:ascii="Tahoma" w:hAnsi="Tahoma" w:cs="Tahoma"/>
        </w:rPr>
        <w:t>1.072</w:t>
      </w:r>
      <w:r w:rsidRPr="00CE1B5B">
        <w:rPr>
          <w:rFonts w:ascii="Tahoma" w:hAnsi="Tahoma" w:cs="Tahoma"/>
        </w:rPr>
        <w:t xml:space="preserve"> tis. Kč. Vratky transferů poskytnutých v minulých rozpočtových obdobích příspěvkovým organizacím dosáhly výše 650 tis. Kč. </w:t>
      </w:r>
    </w:p>
    <w:p w:rsidR="00014B18" w:rsidRPr="00CE1B5B" w:rsidRDefault="00014B18" w:rsidP="007058D0">
      <w:pPr>
        <w:pStyle w:val="FormtovanvHTML"/>
        <w:jc w:val="both"/>
        <w:rPr>
          <w:rFonts w:ascii="Tahoma" w:hAnsi="Tahoma" w:cs="Tahoma"/>
        </w:rPr>
      </w:pPr>
      <w:r w:rsidRPr="00CE1B5B">
        <w:rPr>
          <w:rFonts w:ascii="Tahoma" w:hAnsi="Tahoma" w:cs="Tahoma"/>
        </w:rPr>
        <w:t xml:space="preserve">Objemově významnou část nedaňových příjmů, které kraj za sledované období přijal, tvoří také úroky z bankovních účtů ve výši </w:t>
      </w:r>
      <w:r w:rsidR="007868EB" w:rsidRPr="00CE1B5B">
        <w:rPr>
          <w:rFonts w:ascii="Tahoma" w:hAnsi="Tahoma" w:cs="Tahoma"/>
        </w:rPr>
        <w:t>13.415</w:t>
      </w:r>
      <w:r w:rsidRPr="00CE1B5B">
        <w:rPr>
          <w:rFonts w:ascii="Tahoma" w:hAnsi="Tahoma" w:cs="Tahoma"/>
        </w:rPr>
        <w:t xml:space="preserve"> tis. Kč, u kterých se daří, prostřednictvím nasmlouvaných bankovních produktů souvisejících se zhodnocováním finančních prostředků kraje, dosahovat vyššího úrokového zhodnocení. </w:t>
      </w:r>
    </w:p>
    <w:p w:rsidR="005F6F8A" w:rsidRPr="00CE1B5B" w:rsidRDefault="005F6F8A" w:rsidP="005F6F8A">
      <w:pPr>
        <w:jc w:val="both"/>
        <w:rPr>
          <w:rFonts w:ascii="Tahoma" w:hAnsi="Tahoma" w:cs="Tahoma"/>
          <w:sz w:val="20"/>
          <w:szCs w:val="20"/>
        </w:rPr>
      </w:pPr>
      <w:r w:rsidRPr="00CE1B5B">
        <w:rPr>
          <w:rFonts w:ascii="Tahoma" w:hAnsi="Tahoma" w:cs="Tahoma"/>
          <w:sz w:val="20"/>
          <w:szCs w:val="20"/>
        </w:rPr>
        <w:t xml:space="preserve">Příjmy z odvodů z provozu a z odpisů od příspěvkových organizací dosáhly ve sledovaném období částky 6.515 tis. Kč. Jednalo se o odvody stanovené příspěvkovým organizacím v odvětví sociálních věcí, které představují zdroje na pokrytí ročních výdajů kraje spojených s realizací investičních opatření u akcí reprodukce majetku kraje a akce spolufinancované z evropských finančních zdrojů. Ostatní odvody příspěvkových organizací dosáhly výše </w:t>
      </w:r>
      <w:r w:rsidR="007868EB" w:rsidRPr="00CE1B5B">
        <w:rPr>
          <w:rFonts w:ascii="Tahoma" w:hAnsi="Tahoma" w:cs="Tahoma"/>
          <w:sz w:val="20"/>
          <w:szCs w:val="20"/>
        </w:rPr>
        <w:t>6.095</w:t>
      </w:r>
      <w:r w:rsidRPr="00CE1B5B">
        <w:rPr>
          <w:rFonts w:ascii="Tahoma" w:hAnsi="Tahoma" w:cs="Tahoma"/>
          <w:sz w:val="20"/>
          <w:szCs w:val="20"/>
        </w:rPr>
        <w:t xml:space="preserve"> tis. Kč, z toho prostředky ve výši 5.963 tis. Kč byly přijaty z bankovního účtu zrušené příspěvkové organizace Domov Pohoda, příspěvková organizace v odvětví sociálních věcí.</w:t>
      </w:r>
    </w:p>
    <w:p w:rsidR="00D10C8E" w:rsidRPr="00CE1B5B" w:rsidRDefault="00D10C8E">
      <w:pPr>
        <w:rPr>
          <w:rFonts w:ascii="Tahoma" w:hAnsi="Tahoma" w:cs="Tahoma"/>
          <w:sz w:val="20"/>
          <w:szCs w:val="20"/>
        </w:rPr>
      </w:pPr>
    </w:p>
    <w:p w:rsidR="00014B18" w:rsidRPr="00CE1B5B" w:rsidRDefault="00014B18" w:rsidP="00E27B7B">
      <w:pPr>
        <w:pStyle w:val="FormtovanvHTML"/>
        <w:jc w:val="both"/>
        <w:rPr>
          <w:rFonts w:ascii="Tahoma" w:hAnsi="Tahoma" w:cs="Tahoma"/>
        </w:rPr>
      </w:pPr>
      <w:r w:rsidRPr="00CE1B5B">
        <w:rPr>
          <w:rFonts w:ascii="Tahoma" w:hAnsi="Tahoma" w:cs="Tahoma"/>
        </w:rPr>
        <w:lastRenderedPageBreak/>
        <w:t>V souladu se zákonem č. 254/2001 Sb., o vodách, je kraj příjemcem 50 % části zálohových plateb vybraných celním úřadem na poplatcích za odběr podzemní vody. Vzhledem ke skutečnosti, že se jedná o zálohové platby, bude následně v průběhu roku část těchto prostředků vrácena. Dle § 88 odst. 15 zmiňovaného zákona mohou být tyto prostředky dále použity pouze na podporu výstavby a obnovy vodohospodářské infrastruktury a na zřízení a doplňování havarijního účtu do výše 10 mil. Kč. Ve sledovaném období kraj obdržel poplatky ve výši 5.</w:t>
      </w:r>
      <w:r w:rsidR="0042011B" w:rsidRPr="00CE1B5B">
        <w:rPr>
          <w:rFonts w:ascii="Tahoma" w:hAnsi="Tahoma" w:cs="Tahoma"/>
        </w:rPr>
        <w:t>8</w:t>
      </w:r>
      <w:r w:rsidR="007868EB" w:rsidRPr="00CE1B5B">
        <w:rPr>
          <w:rFonts w:ascii="Tahoma" w:hAnsi="Tahoma" w:cs="Tahoma"/>
        </w:rPr>
        <w:t>92</w:t>
      </w:r>
      <w:r w:rsidRPr="00CE1B5B">
        <w:rPr>
          <w:rFonts w:ascii="Tahoma" w:hAnsi="Tahoma" w:cs="Tahoma"/>
        </w:rPr>
        <w:t xml:space="preserve"> tis. Kč. </w:t>
      </w:r>
    </w:p>
    <w:p w:rsidR="00014B18" w:rsidRPr="00CE1B5B" w:rsidRDefault="00014B18" w:rsidP="00B87FC4">
      <w:pPr>
        <w:jc w:val="both"/>
        <w:rPr>
          <w:rFonts w:ascii="Tahoma" w:hAnsi="Tahoma" w:cs="Tahoma"/>
          <w:sz w:val="20"/>
          <w:szCs w:val="20"/>
        </w:rPr>
      </w:pPr>
      <w:r w:rsidRPr="00CE1B5B">
        <w:rPr>
          <w:rFonts w:ascii="Tahoma" w:hAnsi="Tahoma" w:cs="Tahoma"/>
          <w:sz w:val="20"/>
          <w:szCs w:val="20"/>
        </w:rPr>
        <w:t xml:space="preserve">Přijaté sankční platby od jiných subjektů v celkové výši </w:t>
      </w:r>
      <w:r w:rsidR="004320CE" w:rsidRPr="00CE1B5B">
        <w:rPr>
          <w:rFonts w:ascii="Tahoma" w:hAnsi="Tahoma" w:cs="Tahoma"/>
          <w:sz w:val="20"/>
          <w:szCs w:val="20"/>
        </w:rPr>
        <w:t>5.437</w:t>
      </w:r>
      <w:r w:rsidRPr="00CE1B5B">
        <w:rPr>
          <w:rFonts w:ascii="Tahoma" w:hAnsi="Tahoma" w:cs="Tahoma"/>
          <w:sz w:val="20"/>
          <w:szCs w:val="20"/>
        </w:rPr>
        <w:t xml:space="preserve"> tis. Kč tvoří zejména pokuty vybrané v odvětví dopravy a propadlé kauce dle zákona č. 111/1994 Sb., o silniční dopravě (částka </w:t>
      </w:r>
      <w:r w:rsidR="004320CE" w:rsidRPr="00CE1B5B">
        <w:rPr>
          <w:rFonts w:ascii="Tahoma" w:hAnsi="Tahoma" w:cs="Tahoma"/>
          <w:sz w:val="20"/>
          <w:szCs w:val="20"/>
        </w:rPr>
        <w:t>4.381</w:t>
      </w:r>
      <w:r w:rsidRPr="00CE1B5B">
        <w:rPr>
          <w:rFonts w:ascii="Tahoma" w:hAnsi="Tahoma" w:cs="Tahoma"/>
          <w:sz w:val="20"/>
          <w:szCs w:val="20"/>
        </w:rPr>
        <w:t xml:space="preserve"> tis. Kč), sankční platby související s </w:t>
      </w:r>
      <w:r w:rsidRPr="00CE1B5B">
        <w:rPr>
          <w:rFonts w:ascii="Tahoma" w:hAnsi="Tahoma" w:cs="Tahoma"/>
          <w:sz w:val="20"/>
        </w:rPr>
        <w:t>realizací následné veřejnosprávní kontroly u  příjemců veřejné finanční podpory podle zákona o finanční kontrole</w:t>
      </w:r>
      <w:r w:rsidRPr="00CE1B5B">
        <w:rPr>
          <w:rFonts w:ascii="Tahoma" w:hAnsi="Tahoma" w:cs="Tahoma"/>
          <w:sz w:val="20"/>
          <w:szCs w:val="20"/>
        </w:rPr>
        <w:t xml:space="preserve"> </w:t>
      </w:r>
      <w:r w:rsidRPr="00CE1B5B">
        <w:rPr>
          <w:rFonts w:ascii="Tahoma" w:hAnsi="Tahoma" w:cs="Tahoma"/>
          <w:sz w:val="20"/>
        </w:rPr>
        <w:t>(částka </w:t>
      </w:r>
      <w:r w:rsidR="004320CE" w:rsidRPr="00CE1B5B">
        <w:rPr>
          <w:rFonts w:ascii="Tahoma" w:hAnsi="Tahoma" w:cs="Tahoma"/>
          <w:sz w:val="20"/>
        </w:rPr>
        <w:t>703</w:t>
      </w:r>
      <w:r w:rsidRPr="00CE1B5B">
        <w:rPr>
          <w:rFonts w:ascii="Tahoma" w:hAnsi="Tahoma" w:cs="Tahoma"/>
          <w:sz w:val="20"/>
        </w:rPr>
        <w:t xml:space="preserve"> tis. Kč), pokuty vybrané v odvětví životního prostředí (částka </w:t>
      </w:r>
      <w:r w:rsidR="004320CE" w:rsidRPr="00CE1B5B">
        <w:rPr>
          <w:rFonts w:ascii="Tahoma" w:hAnsi="Tahoma" w:cs="Tahoma"/>
          <w:sz w:val="20"/>
        </w:rPr>
        <w:t>64</w:t>
      </w:r>
      <w:r w:rsidRPr="00CE1B5B">
        <w:rPr>
          <w:rFonts w:ascii="Tahoma" w:hAnsi="Tahoma" w:cs="Tahoma"/>
          <w:sz w:val="20"/>
        </w:rPr>
        <w:t xml:space="preserve"> tis. Kč), </w:t>
      </w:r>
      <w:r w:rsidRPr="00CE1B5B">
        <w:rPr>
          <w:rFonts w:ascii="Tahoma" w:hAnsi="Tahoma" w:cs="Tahoma"/>
          <w:sz w:val="20"/>
          <w:szCs w:val="20"/>
        </w:rPr>
        <w:t xml:space="preserve">smluvní pokuty související s projekty spolufinancovanými z evropských finančních zdrojů za nedodržení smluvních podmínek (částka </w:t>
      </w:r>
      <w:r w:rsidR="004320CE" w:rsidRPr="00CE1B5B">
        <w:rPr>
          <w:rFonts w:ascii="Tahoma" w:hAnsi="Tahoma" w:cs="Tahoma"/>
          <w:sz w:val="20"/>
          <w:szCs w:val="20"/>
        </w:rPr>
        <w:t>119</w:t>
      </w:r>
      <w:r w:rsidRPr="00CE1B5B">
        <w:rPr>
          <w:rFonts w:ascii="Tahoma" w:hAnsi="Tahoma" w:cs="Tahoma"/>
          <w:sz w:val="20"/>
          <w:szCs w:val="20"/>
        </w:rPr>
        <w:t xml:space="preserve"> tis. Kč), aj. </w:t>
      </w:r>
      <w:r w:rsidR="000D49FA" w:rsidRPr="00CE1B5B">
        <w:rPr>
          <w:rFonts w:ascii="Tahoma" w:hAnsi="Tahoma" w:cs="Tahoma"/>
          <w:sz w:val="20"/>
          <w:szCs w:val="20"/>
        </w:rPr>
        <w:t xml:space="preserve">Sankční platby přijaté od státu, obcí a krajů přijal kraj ve výši </w:t>
      </w:r>
      <w:r w:rsidR="004320CE" w:rsidRPr="00CE1B5B">
        <w:rPr>
          <w:rFonts w:ascii="Tahoma" w:hAnsi="Tahoma" w:cs="Tahoma"/>
          <w:sz w:val="20"/>
          <w:szCs w:val="20"/>
        </w:rPr>
        <w:t>593</w:t>
      </w:r>
      <w:r w:rsidR="000D49FA" w:rsidRPr="00CE1B5B">
        <w:rPr>
          <w:rFonts w:ascii="Tahoma" w:hAnsi="Tahoma" w:cs="Tahoma"/>
          <w:sz w:val="20"/>
          <w:szCs w:val="20"/>
        </w:rPr>
        <w:t xml:space="preserve"> tis. Kč a jednalo se </w:t>
      </w:r>
      <w:r w:rsidR="005F6F8A" w:rsidRPr="00CE1B5B">
        <w:rPr>
          <w:rFonts w:ascii="Tahoma" w:hAnsi="Tahoma" w:cs="Tahoma"/>
          <w:sz w:val="20"/>
          <w:szCs w:val="20"/>
        </w:rPr>
        <w:t xml:space="preserve">zejména </w:t>
      </w:r>
      <w:r w:rsidR="000D49FA" w:rsidRPr="00CE1B5B">
        <w:rPr>
          <w:rFonts w:ascii="Tahoma" w:hAnsi="Tahoma" w:cs="Tahoma"/>
          <w:sz w:val="20"/>
          <w:szCs w:val="20"/>
        </w:rPr>
        <w:t>o sankce spojené s realizací akcí spolufinancovaných z evropských finančních zdrojů.</w:t>
      </w:r>
    </w:p>
    <w:p w:rsidR="00014B18" w:rsidRPr="00CE1B5B" w:rsidRDefault="00014B18" w:rsidP="006714BC">
      <w:pPr>
        <w:pStyle w:val="FormtovanvHTML"/>
        <w:jc w:val="both"/>
        <w:rPr>
          <w:rFonts w:ascii="Tahoma" w:hAnsi="Tahoma" w:cs="Tahoma"/>
        </w:rPr>
      </w:pPr>
      <w:r w:rsidRPr="00CE1B5B">
        <w:rPr>
          <w:rFonts w:ascii="Tahoma" w:hAnsi="Tahoma" w:cs="Tahoma"/>
        </w:rPr>
        <w:t xml:space="preserve">Ostatní příjmy z vlastní činnosti ve výši </w:t>
      </w:r>
      <w:r w:rsidR="004320CE" w:rsidRPr="00CE1B5B">
        <w:rPr>
          <w:rFonts w:ascii="Tahoma" w:hAnsi="Tahoma" w:cs="Tahoma"/>
        </w:rPr>
        <w:t>715</w:t>
      </w:r>
      <w:r w:rsidRPr="00CE1B5B">
        <w:rPr>
          <w:rFonts w:ascii="Tahoma" w:hAnsi="Tahoma" w:cs="Tahoma"/>
        </w:rPr>
        <w:t xml:space="preserve"> tis. Kč zahrnují převážně přijaté úplaty za zřízení věcných břemen na majetku kraje ve výši </w:t>
      </w:r>
      <w:r w:rsidR="004320CE" w:rsidRPr="00CE1B5B">
        <w:rPr>
          <w:rFonts w:ascii="Tahoma" w:hAnsi="Tahoma" w:cs="Tahoma"/>
        </w:rPr>
        <w:t>665</w:t>
      </w:r>
      <w:r w:rsidRPr="00CE1B5B">
        <w:rPr>
          <w:rFonts w:ascii="Tahoma" w:hAnsi="Tahoma" w:cs="Tahoma"/>
        </w:rPr>
        <w:t xml:space="preserve"> tis. Kč. Objem inkasovaných plnění přijatých od pojišťoven z pojistné škodní události související se správou majetku kraje (přijaté pojistné náhrady) dosáhly ve sledovaném období celkové výše </w:t>
      </w:r>
      <w:r w:rsidR="004320CE" w:rsidRPr="00CE1B5B">
        <w:rPr>
          <w:rFonts w:ascii="Tahoma" w:hAnsi="Tahoma" w:cs="Tahoma"/>
        </w:rPr>
        <w:t>590</w:t>
      </w:r>
      <w:r w:rsidRPr="00CE1B5B">
        <w:rPr>
          <w:rFonts w:ascii="Tahoma" w:hAnsi="Tahoma" w:cs="Tahoma"/>
        </w:rPr>
        <w:t xml:space="preserve"> tis. Kč. Přijaté nekapitálové příspěvky a náhrady dosáhly výše </w:t>
      </w:r>
      <w:r w:rsidR="004320CE" w:rsidRPr="00CE1B5B">
        <w:rPr>
          <w:rFonts w:ascii="Tahoma" w:hAnsi="Tahoma" w:cs="Tahoma"/>
        </w:rPr>
        <w:t>596</w:t>
      </w:r>
      <w:r w:rsidRPr="00CE1B5B">
        <w:rPr>
          <w:rFonts w:ascii="Tahoma" w:hAnsi="Tahoma" w:cs="Tahoma"/>
        </w:rPr>
        <w:t xml:space="preserve"> tis. Kč. Jedná se příspěvky a náhrady přijaté krajem v jednotlivých odvětvích, kdy objemově významné jsou zejména příspěvky a náhrady související se sankcemi uloženými v odvětví dopravy přijaté ve výši </w:t>
      </w:r>
      <w:r w:rsidR="004320CE" w:rsidRPr="00CE1B5B">
        <w:rPr>
          <w:rFonts w:ascii="Tahoma" w:hAnsi="Tahoma" w:cs="Tahoma"/>
        </w:rPr>
        <w:t>245</w:t>
      </w:r>
      <w:r w:rsidRPr="00CE1B5B">
        <w:rPr>
          <w:rFonts w:ascii="Tahoma" w:hAnsi="Tahoma" w:cs="Tahoma"/>
        </w:rPr>
        <w:t xml:space="preserve"> tis. Kč. </w:t>
      </w:r>
    </w:p>
    <w:p w:rsidR="00014B18" w:rsidRPr="00CE1B5B" w:rsidRDefault="00014B18" w:rsidP="006714BC">
      <w:pPr>
        <w:pStyle w:val="FormtovanvHTML"/>
        <w:jc w:val="both"/>
        <w:rPr>
          <w:rFonts w:ascii="Tahoma" w:hAnsi="Tahoma" w:cs="Tahoma"/>
        </w:rPr>
      </w:pPr>
      <w:r w:rsidRPr="00CE1B5B">
        <w:rPr>
          <w:rFonts w:ascii="Tahoma" w:hAnsi="Tahoma" w:cs="Tahoma"/>
        </w:rPr>
        <w:t>Ostatní nedaňové příjmy jinde nezařazené celkově přijaté v objemu 990 tis. Kč tvoří prostředky, které byly připsány na účet kraje jako příspěvek na náklady a provoz stanice Hasičského záchranného sboru MSK Integrovaného výjezdového centra Nošovice, a to v souladu s uzavřenou Smlouvou o zabezpečení úkolů JPO IV – Hasičského záchranného sboru společnosti Hyundai Motor Manufacturing Czech, s.r.o.</w:t>
      </w:r>
    </w:p>
    <w:p w:rsidR="00014B18" w:rsidRPr="00CE1B5B" w:rsidRDefault="00014B18" w:rsidP="007820F8">
      <w:pPr>
        <w:pStyle w:val="FormtovanvHTML"/>
        <w:jc w:val="both"/>
        <w:rPr>
          <w:rFonts w:ascii="Tahoma" w:hAnsi="Tahoma" w:cs="Tahoma"/>
        </w:rPr>
      </w:pPr>
      <w:r w:rsidRPr="00CE1B5B">
        <w:rPr>
          <w:rFonts w:ascii="Tahoma" w:hAnsi="Tahoma" w:cs="Tahoma"/>
        </w:rPr>
        <w:t xml:space="preserve">Zbývající příjmy jsou dále tvořeny např. příjmy z poskytování služeb a výrobků, </w:t>
      </w:r>
      <w:r w:rsidR="004320CE" w:rsidRPr="00CE1B5B">
        <w:rPr>
          <w:rFonts w:ascii="Tahoma" w:hAnsi="Tahoma" w:cs="Tahoma"/>
        </w:rPr>
        <w:t xml:space="preserve">příjmy z pronájmu pozemků, </w:t>
      </w:r>
      <w:r w:rsidRPr="00CE1B5B">
        <w:rPr>
          <w:rFonts w:ascii="Tahoma" w:hAnsi="Tahoma" w:cs="Tahoma"/>
        </w:rPr>
        <w:t xml:space="preserve">příjmy z prodeje krátkodobého a drobného dlouhodobého majetku, apod. </w:t>
      </w:r>
    </w:p>
    <w:p w:rsidR="00014B18" w:rsidRPr="00CE1B5B" w:rsidRDefault="006B5EBE" w:rsidP="006B5EBE">
      <w:pPr>
        <w:jc w:val="both"/>
        <w:rPr>
          <w:rFonts w:ascii="Tahoma" w:hAnsi="Tahoma" w:cs="Tahoma"/>
          <w:sz w:val="20"/>
          <w:szCs w:val="20"/>
        </w:rPr>
      </w:pPr>
      <w:r w:rsidRPr="00CE1B5B">
        <w:rPr>
          <w:rFonts w:ascii="Tahoma" w:hAnsi="Tahoma" w:cs="Tahoma"/>
          <w:sz w:val="20"/>
          <w:szCs w:val="20"/>
        </w:rPr>
        <w:t>Neidentifikovaný příjem ve výši 700 tis. Kč tvoří mylná platba, obdržená od spol. Hyundai Motor Manuf</w:t>
      </w:r>
      <w:r w:rsidR="006573E5" w:rsidRPr="00CE1B5B">
        <w:rPr>
          <w:rFonts w:ascii="Tahoma" w:hAnsi="Tahoma" w:cs="Tahoma"/>
          <w:sz w:val="20"/>
          <w:szCs w:val="20"/>
        </w:rPr>
        <w:t>acturing Czech s.r.o jako pokuta</w:t>
      </w:r>
      <w:r w:rsidRPr="00CE1B5B">
        <w:rPr>
          <w:rFonts w:ascii="Tahoma" w:hAnsi="Tahoma" w:cs="Tahoma"/>
          <w:sz w:val="20"/>
          <w:szCs w:val="20"/>
        </w:rPr>
        <w:t xml:space="preserve"> za porušení zákona o IPPC, která měla být uhrazena na účet Celního úřadu. Prostředky byly vráceny v měsíci květnu 2014.</w:t>
      </w:r>
    </w:p>
    <w:p w:rsidR="00014B18" w:rsidRPr="00CE1B5B" w:rsidRDefault="00014B18" w:rsidP="00FC67F3">
      <w:pPr>
        <w:pStyle w:val="Zkladntext"/>
        <w:spacing w:before="0"/>
        <w:rPr>
          <w:rFonts w:ascii="Tahoma" w:hAnsi="Tahoma" w:cs="Tahoma"/>
          <w:b/>
          <w:sz w:val="20"/>
          <w:szCs w:val="20"/>
        </w:rPr>
      </w:pPr>
    </w:p>
    <w:p w:rsidR="00014B18" w:rsidRPr="00CE1B5B" w:rsidRDefault="00014B18" w:rsidP="00FC67F3">
      <w:pPr>
        <w:pStyle w:val="Zkladntext"/>
        <w:spacing w:before="0"/>
        <w:rPr>
          <w:rFonts w:ascii="Tahoma" w:hAnsi="Tahoma" w:cs="Tahoma"/>
          <w:b/>
          <w:sz w:val="20"/>
          <w:szCs w:val="20"/>
        </w:rPr>
      </w:pPr>
      <w:r w:rsidRPr="00CE1B5B">
        <w:rPr>
          <w:rFonts w:ascii="Tahoma" w:hAnsi="Tahoma" w:cs="Tahoma"/>
          <w:b/>
          <w:sz w:val="20"/>
          <w:szCs w:val="20"/>
        </w:rPr>
        <w:t>Kapitálové příjmy</w:t>
      </w:r>
    </w:p>
    <w:p w:rsidR="00014B18" w:rsidRPr="00CE1B5B" w:rsidRDefault="00014B18" w:rsidP="00FC67F3">
      <w:pPr>
        <w:pStyle w:val="Zkladntext"/>
        <w:spacing w:before="0"/>
        <w:rPr>
          <w:rFonts w:ascii="Tahoma" w:hAnsi="Tahoma" w:cs="Tahoma"/>
          <w:b/>
          <w:sz w:val="20"/>
          <w:szCs w:val="20"/>
        </w:rPr>
      </w:pPr>
    </w:p>
    <w:p w:rsidR="00014B18" w:rsidRPr="00CE1B5B" w:rsidRDefault="00014B18" w:rsidP="00FC67F3">
      <w:pPr>
        <w:pStyle w:val="FormtovanvHTML"/>
        <w:jc w:val="both"/>
        <w:rPr>
          <w:rFonts w:ascii="Tahoma" w:hAnsi="Tahoma" w:cs="Tahoma"/>
        </w:rPr>
      </w:pPr>
      <w:r w:rsidRPr="00CE1B5B">
        <w:rPr>
          <w:rFonts w:ascii="Tahoma" w:hAnsi="Tahoma" w:cs="Tahoma"/>
        </w:rPr>
        <w:t xml:space="preserve">Kapitálové příjmy představují přijaté prostředky v úhrnné výši </w:t>
      </w:r>
      <w:r w:rsidR="00217B1E" w:rsidRPr="00CE1B5B">
        <w:rPr>
          <w:rFonts w:ascii="Tahoma" w:hAnsi="Tahoma" w:cs="Tahoma"/>
        </w:rPr>
        <w:t>9.487</w:t>
      </w:r>
      <w:r w:rsidRPr="00CE1B5B">
        <w:rPr>
          <w:rFonts w:ascii="Tahoma" w:hAnsi="Tahoma" w:cs="Tahoma"/>
        </w:rPr>
        <w:t> tis. Kč, což znamená plnění těchto příjmů na 1</w:t>
      </w:r>
      <w:r w:rsidR="00217B1E" w:rsidRPr="00CE1B5B">
        <w:rPr>
          <w:rFonts w:ascii="Tahoma" w:hAnsi="Tahoma" w:cs="Tahoma"/>
        </w:rPr>
        <w:t>1</w:t>
      </w:r>
      <w:r w:rsidRPr="00CE1B5B">
        <w:rPr>
          <w:rFonts w:ascii="Tahoma" w:hAnsi="Tahoma" w:cs="Tahoma"/>
        </w:rPr>
        <w:t> % upraveného rozpočtu. Jedná se zejména o  ostatní investiční příjmy v objemu 8.550</w:t>
      </w:r>
      <w:r w:rsidR="00D33C79" w:rsidRPr="00CE1B5B">
        <w:rPr>
          <w:rFonts w:ascii="Tahoma" w:hAnsi="Tahoma" w:cs="Tahoma"/>
        </w:rPr>
        <w:t> </w:t>
      </w:r>
      <w:r w:rsidRPr="00CE1B5B">
        <w:rPr>
          <w:rFonts w:ascii="Tahoma" w:hAnsi="Tahoma" w:cs="Tahoma"/>
        </w:rPr>
        <w:t>tis.</w:t>
      </w:r>
      <w:r w:rsidR="00D33C79" w:rsidRPr="00CE1B5B">
        <w:rPr>
          <w:rFonts w:ascii="Tahoma" w:hAnsi="Tahoma" w:cs="Tahoma"/>
        </w:rPr>
        <w:t> </w:t>
      </w:r>
      <w:r w:rsidRPr="00CE1B5B">
        <w:rPr>
          <w:rFonts w:ascii="Tahoma" w:hAnsi="Tahoma" w:cs="Tahoma"/>
        </w:rPr>
        <w:t xml:space="preserve">Kč, které tvoří 1. část příspěvku přijatého od společnosti Hyundai Motor Manufacturing Czech, s.r.o. v souladu se Smlouvou o zabezpečení úkolů JPO IV – Hasičského záchranného sboru společnosti Hyundai Motor Manufacturing Czech s.r.o. pro stanici Hasičského záchranného sboru MSK Integrovaného výjezdového centra Nošovice. </w:t>
      </w:r>
      <w:r w:rsidR="00217B1E" w:rsidRPr="00CE1B5B">
        <w:rPr>
          <w:rFonts w:ascii="Tahoma" w:hAnsi="Tahoma" w:cs="Tahoma"/>
        </w:rPr>
        <w:t>Dále byly ve sledovaném období přijaty finanční prostředky související s prodejem nemovitostí fyzické osobě v obci Nový Jičín ve výši 930 tis. Kč</w:t>
      </w:r>
    </w:p>
    <w:p w:rsidR="00014B18" w:rsidRPr="00CE1B5B" w:rsidRDefault="00014B18" w:rsidP="00E477E2">
      <w:pPr>
        <w:jc w:val="both"/>
        <w:rPr>
          <w:rFonts w:ascii="Tahoma" w:hAnsi="Tahoma" w:cs="Tahoma"/>
          <w:sz w:val="20"/>
          <w:szCs w:val="20"/>
        </w:rPr>
      </w:pPr>
    </w:p>
    <w:p w:rsidR="00014B18" w:rsidRPr="00CE1B5B" w:rsidRDefault="009814EA" w:rsidP="00E477E2">
      <w:pPr>
        <w:jc w:val="both"/>
        <w:rPr>
          <w:rFonts w:ascii="Tahoma" w:hAnsi="Tahoma" w:cs="Tahoma"/>
          <w:sz w:val="20"/>
          <w:szCs w:val="20"/>
        </w:rPr>
      </w:pPr>
      <w:r w:rsidRPr="00CE1B5B">
        <w:rPr>
          <w:rFonts w:ascii="Tahoma" w:hAnsi="Tahoma" w:cs="Tahoma"/>
          <w:sz w:val="20"/>
          <w:szCs w:val="20"/>
        </w:rPr>
        <w:object w:dxaOrig="9319" w:dyaOrig="1898">
          <v:shape id="_x0000_i1029" type="#_x0000_t75" style="width:457.5pt;height:99.75pt" o:ole="">
            <v:imagedata r:id="rId18" o:title=""/>
          </v:shape>
          <o:OLEObject Type="Embed" ProgID="Excel.Sheet.8" ShapeID="_x0000_i1029" DrawAspect="Content" ObjectID="_1462796436" r:id="rId19"/>
        </w:object>
      </w:r>
    </w:p>
    <w:p w:rsidR="00014B18" w:rsidRPr="00CE1B5B" w:rsidRDefault="00014B18" w:rsidP="00DD5FF0">
      <w:pPr>
        <w:pStyle w:val="Zkladntext"/>
        <w:spacing w:before="0"/>
        <w:rPr>
          <w:rFonts w:ascii="Tahoma" w:hAnsi="Tahoma" w:cs="Tahoma"/>
          <w:b/>
          <w:sz w:val="20"/>
          <w:szCs w:val="20"/>
        </w:rPr>
      </w:pPr>
    </w:p>
    <w:p w:rsidR="00014B18" w:rsidRPr="00CE1B5B" w:rsidRDefault="00014B18" w:rsidP="00DD5FF0">
      <w:pPr>
        <w:pStyle w:val="Zkladntext"/>
        <w:spacing w:before="0"/>
        <w:rPr>
          <w:rFonts w:ascii="Tahoma" w:hAnsi="Tahoma" w:cs="Tahoma"/>
          <w:b/>
          <w:sz w:val="20"/>
          <w:szCs w:val="20"/>
        </w:rPr>
      </w:pPr>
    </w:p>
    <w:p w:rsidR="00D10C8E" w:rsidRPr="00CE1B5B" w:rsidRDefault="00D10C8E">
      <w:pPr>
        <w:rPr>
          <w:rFonts w:ascii="Tahoma" w:hAnsi="Tahoma" w:cs="Tahoma"/>
          <w:b/>
          <w:sz w:val="20"/>
          <w:szCs w:val="20"/>
        </w:rPr>
      </w:pPr>
      <w:r w:rsidRPr="00CE1B5B">
        <w:rPr>
          <w:rFonts w:ascii="Tahoma" w:hAnsi="Tahoma" w:cs="Tahoma"/>
          <w:b/>
          <w:sz w:val="20"/>
          <w:szCs w:val="20"/>
        </w:rPr>
        <w:br w:type="page"/>
      </w:r>
    </w:p>
    <w:p w:rsidR="00014B18" w:rsidRPr="00CE1B5B" w:rsidRDefault="00014B18" w:rsidP="00DD5FF0">
      <w:pPr>
        <w:pStyle w:val="Zkladntext"/>
        <w:spacing w:before="0"/>
        <w:rPr>
          <w:rFonts w:ascii="Tahoma" w:hAnsi="Tahoma" w:cs="Tahoma"/>
          <w:b/>
          <w:sz w:val="20"/>
          <w:szCs w:val="20"/>
        </w:rPr>
      </w:pPr>
      <w:r w:rsidRPr="00CE1B5B">
        <w:rPr>
          <w:rFonts w:ascii="Tahoma" w:hAnsi="Tahoma" w:cs="Tahoma"/>
          <w:b/>
          <w:sz w:val="20"/>
          <w:szCs w:val="20"/>
        </w:rPr>
        <w:lastRenderedPageBreak/>
        <w:t>Přijaté dotace</w:t>
      </w:r>
    </w:p>
    <w:p w:rsidR="00014B18" w:rsidRPr="00CE1B5B" w:rsidRDefault="00014B18" w:rsidP="00884131">
      <w:pPr>
        <w:pStyle w:val="Zkladntext"/>
        <w:rPr>
          <w:rFonts w:ascii="Tahoma" w:hAnsi="Tahoma" w:cs="Tahoma"/>
          <w:sz w:val="20"/>
          <w:szCs w:val="20"/>
        </w:rPr>
      </w:pPr>
      <w:r w:rsidRPr="00CE1B5B">
        <w:rPr>
          <w:rFonts w:ascii="Tahoma" w:hAnsi="Tahoma" w:cs="Tahoma"/>
          <w:sz w:val="20"/>
          <w:szCs w:val="20"/>
        </w:rPr>
        <w:t xml:space="preserve">Od počátku roku přijal Moravskoslezský kraj dotace v úhrnné výši </w:t>
      </w:r>
      <w:r w:rsidR="00EE404A" w:rsidRPr="00CE1B5B">
        <w:rPr>
          <w:rFonts w:ascii="Tahoma" w:hAnsi="Tahoma" w:cs="Tahoma"/>
          <w:sz w:val="20"/>
          <w:szCs w:val="20"/>
        </w:rPr>
        <w:t>3.</w:t>
      </w:r>
      <w:r w:rsidR="00E472B5" w:rsidRPr="00CE1B5B">
        <w:rPr>
          <w:rFonts w:ascii="Tahoma" w:hAnsi="Tahoma" w:cs="Tahoma"/>
          <w:sz w:val="20"/>
          <w:szCs w:val="20"/>
        </w:rPr>
        <w:t>608.787</w:t>
      </w:r>
      <w:r w:rsidRPr="00CE1B5B">
        <w:rPr>
          <w:rFonts w:ascii="Tahoma" w:hAnsi="Tahoma" w:cs="Tahoma"/>
          <w:sz w:val="20"/>
          <w:szCs w:val="20"/>
        </w:rPr>
        <w:t xml:space="preserve"> tis. Kč.</w:t>
      </w:r>
    </w:p>
    <w:p w:rsidR="00014B18" w:rsidRPr="00CE1B5B" w:rsidRDefault="00014B18" w:rsidP="00884131">
      <w:pPr>
        <w:pStyle w:val="Zkladntext"/>
        <w:rPr>
          <w:rFonts w:ascii="Tahoma" w:hAnsi="Tahoma" w:cs="Tahoma"/>
          <w:sz w:val="20"/>
          <w:szCs w:val="20"/>
        </w:rPr>
      </w:pPr>
    </w:p>
    <w:p w:rsidR="00014B18" w:rsidRPr="00CE1B5B" w:rsidRDefault="00667E54" w:rsidP="00E477E2">
      <w:pPr>
        <w:jc w:val="both"/>
        <w:rPr>
          <w:rFonts w:ascii="Tahoma" w:hAnsi="Tahoma" w:cs="Tahoma"/>
          <w:sz w:val="20"/>
          <w:szCs w:val="20"/>
        </w:rPr>
      </w:pPr>
      <w:r w:rsidRPr="00CE1B5B">
        <w:rPr>
          <w:rFonts w:ascii="Tahoma" w:hAnsi="Tahoma" w:cs="Tahoma"/>
          <w:sz w:val="20"/>
          <w:szCs w:val="20"/>
        </w:rPr>
        <w:object w:dxaOrig="9552" w:dyaOrig="3984">
          <v:shape id="_x0000_i1030" type="#_x0000_t75" style="width:453.75pt;height:207pt" o:ole="">
            <v:imagedata r:id="rId20" o:title=""/>
          </v:shape>
          <o:OLEObject Type="Embed" ProgID="Excel.Sheet.8" ShapeID="_x0000_i1030" DrawAspect="Content" ObjectID="_1462796437" r:id="rId21"/>
        </w:object>
      </w:r>
    </w:p>
    <w:p w:rsidR="00014B18" w:rsidRPr="00CE1B5B" w:rsidRDefault="00014B18" w:rsidP="00E477E2">
      <w:pPr>
        <w:jc w:val="both"/>
        <w:rPr>
          <w:rFonts w:ascii="Tahoma" w:hAnsi="Tahoma" w:cs="Tahoma"/>
          <w:sz w:val="20"/>
          <w:szCs w:val="20"/>
        </w:rPr>
      </w:pPr>
    </w:p>
    <w:p w:rsidR="00014B18" w:rsidRPr="00CE1B5B" w:rsidRDefault="00014B18" w:rsidP="00E477E2">
      <w:pPr>
        <w:jc w:val="both"/>
        <w:rPr>
          <w:rFonts w:ascii="Tahoma" w:hAnsi="Tahoma" w:cs="Tahoma"/>
          <w:sz w:val="20"/>
          <w:szCs w:val="20"/>
        </w:rPr>
      </w:pPr>
      <w:r w:rsidRPr="00CE1B5B">
        <w:rPr>
          <w:rFonts w:ascii="Tahoma" w:hAnsi="Tahoma" w:cs="Tahoma"/>
          <w:sz w:val="20"/>
          <w:szCs w:val="20"/>
        </w:rPr>
        <w:t>Objemově nejvýznamnější dotace byly poskytnuty z </w:t>
      </w:r>
      <w:r w:rsidRPr="00CE1B5B">
        <w:rPr>
          <w:rFonts w:ascii="Tahoma" w:hAnsi="Tahoma" w:cs="Tahoma"/>
          <w:b/>
          <w:sz w:val="20"/>
          <w:szCs w:val="20"/>
        </w:rPr>
        <w:t>Ministerstva školství, mládeže a tělovýchovy</w:t>
      </w:r>
      <w:r w:rsidRPr="00CE1B5B">
        <w:rPr>
          <w:rFonts w:ascii="Tahoma" w:hAnsi="Tahoma" w:cs="Tahoma"/>
          <w:sz w:val="20"/>
          <w:szCs w:val="20"/>
        </w:rPr>
        <w:t>, a to zejména na úhradu přímých nákladů na vzdělávání ve školách a školských zařízeních zřizovaných krajem a obcemi (3.0</w:t>
      </w:r>
      <w:r w:rsidR="006B5EBE" w:rsidRPr="00CE1B5B">
        <w:rPr>
          <w:rFonts w:ascii="Tahoma" w:hAnsi="Tahoma" w:cs="Tahoma"/>
          <w:sz w:val="20"/>
          <w:szCs w:val="20"/>
        </w:rPr>
        <w:t>4</w:t>
      </w:r>
      <w:r w:rsidRPr="00CE1B5B">
        <w:rPr>
          <w:rFonts w:ascii="Tahoma" w:hAnsi="Tahoma" w:cs="Tahoma"/>
          <w:sz w:val="20"/>
          <w:szCs w:val="20"/>
        </w:rPr>
        <w:t>8.</w:t>
      </w:r>
      <w:r w:rsidR="00D76307" w:rsidRPr="00CE1B5B">
        <w:rPr>
          <w:rFonts w:ascii="Tahoma" w:hAnsi="Tahoma" w:cs="Tahoma"/>
          <w:sz w:val="20"/>
          <w:szCs w:val="20"/>
        </w:rPr>
        <w:t>146</w:t>
      </w:r>
      <w:r w:rsidRPr="00CE1B5B">
        <w:rPr>
          <w:rFonts w:ascii="Tahoma" w:hAnsi="Tahoma" w:cs="Tahoma"/>
          <w:sz w:val="20"/>
          <w:szCs w:val="20"/>
        </w:rPr>
        <w:t xml:space="preserve"> tis. Kč), dotace pro soukromé školy (</w:t>
      </w:r>
      <w:r w:rsidR="00D76307" w:rsidRPr="00CE1B5B">
        <w:rPr>
          <w:rFonts w:ascii="Tahoma" w:hAnsi="Tahoma" w:cs="Tahoma"/>
          <w:sz w:val="20"/>
          <w:szCs w:val="20"/>
        </w:rPr>
        <w:t>304.230</w:t>
      </w:r>
      <w:r w:rsidRPr="00CE1B5B">
        <w:rPr>
          <w:rFonts w:ascii="Tahoma" w:hAnsi="Tahoma" w:cs="Tahoma"/>
          <w:sz w:val="20"/>
          <w:szCs w:val="20"/>
        </w:rPr>
        <w:t> tis. Kč), Asistenti pedagogů pro děti, žáky a studenty se sociálním znevýhodněním (14.244 tis. Kč), Rozvojový program na podporu škol, které realizují inkluzívní vzdělávání a vzdělávání dětí se sociokulturním znevýhodněním (3.893</w:t>
      </w:r>
      <w:r w:rsidR="00D33C79" w:rsidRPr="00CE1B5B">
        <w:rPr>
          <w:rFonts w:ascii="Tahoma" w:hAnsi="Tahoma" w:cs="Tahoma"/>
          <w:sz w:val="20"/>
          <w:szCs w:val="20"/>
        </w:rPr>
        <w:t> </w:t>
      </w:r>
      <w:r w:rsidRPr="00CE1B5B">
        <w:rPr>
          <w:rFonts w:ascii="Tahoma" w:hAnsi="Tahoma" w:cs="Tahoma"/>
          <w:sz w:val="20"/>
          <w:szCs w:val="20"/>
        </w:rPr>
        <w:t>tis.</w:t>
      </w:r>
      <w:r w:rsidR="00D33C79" w:rsidRPr="00CE1B5B">
        <w:rPr>
          <w:rFonts w:ascii="Tahoma" w:hAnsi="Tahoma" w:cs="Tahoma"/>
          <w:sz w:val="20"/>
          <w:szCs w:val="20"/>
        </w:rPr>
        <w:t> </w:t>
      </w:r>
      <w:r w:rsidRPr="00CE1B5B">
        <w:rPr>
          <w:rFonts w:ascii="Tahoma" w:hAnsi="Tahoma" w:cs="Tahoma"/>
          <w:sz w:val="20"/>
          <w:szCs w:val="20"/>
        </w:rPr>
        <w:t xml:space="preserve">Kč), Soutěže (1.894 tis. Kč), </w:t>
      </w:r>
      <w:r w:rsidR="00FB15B7" w:rsidRPr="00CE1B5B">
        <w:rPr>
          <w:rFonts w:ascii="Tahoma" w:hAnsi="Tahoma" w:cs="Tahoma"/>
          <w:sz w:val="20"/>
          <w:szCs w:val="20"/>
        </w:rPr>
        <w:t xml:space="preserve">Excelence středních škol (1.744 tis. Kč), </w:t>
      </w:r>
      <w:r w:rsidRPr="00CE1B5B">
        <w:rPr>
          <w:rFonts w:ascii="Tahoma" w:hAnsi="Tahoma" w:cs="Tahoma"/>
          <w:sz w:val="20"/>
          <w:szCs w:val="20"/>
        </w:rPr>
        <w:t xml:space="preserve">Asistenti pedagogů v soukromých a církevních speciálních školách (1.481 tis. Kč), </w:t>
      </w:r>
      <w:r w:rsidR="00CA7EB2" w:rsidRPr="00CE1B5B">
        <w:rPr>
          <w:rFonts w:ascii="Tahoma" w:hAnsi="Tahoma" w:cs="Tahoma"/>
          <w:sz w:val="20"/>
          <w:szCs w:val="20"/>
        </w:rPr>
        <w:t>Rozvojový program Podpora logopedické prevence v předškolním vzdělávání (</w:t>
      </w:r>
      <w:r w:rsidR="00D76307" w:rsidRPr="00CE1B5B">
        <w:rPr>
          <w:rFonts w:ascii="Tahoma" w:hAnsi="Tahoma" w:cs="Tahoma"/>
          <w:sz w:val="20"/>
          <w:szCs w:val="20"/>
        </w:rPr>
        <w:t>1.171</w:t>
      </w:r>
      <w:r w:rsidR="00CA7EB2" w:rsidRPr="00CE1B5B">
        <w:rPr>
          <w:rFonts w:ascii="Tahoma" w:hAnsi="Tahoma" w:cs="Tahoma"/>
          <w:sz w:val="20"/>
          <w:szCs w:val="20"/>
        </w:rPr>
        <w:t xml:space="preserve"> tis. Kč), </w:t>
      </w:r>
      <w:r w:rsidRPr="00CE1B5B">
        <w:rPr>
          <w:rFonts w:ascii="Tahoma" w:hAnsi="Tahoma" w:cs="Tahoma"/>
          <w:sz w:val="20"/>
          <w:szCs w:val="20"/>
        </w:rPr>
        <w:t>Projekty romské komunity (</w:t>
      </w:r>
      <w:r w:rsidR="00D76307" w:rsidRPr="00CE1B5B">
        <w:rPr>
          <w:rFonts w:ascii="Tahoma" w:hAnsi="Tahoma" w:cs="Tahoma"/>
          <w:sz w:val="20"/>
          <w:szCs w:val="20"/>
        </w:rPr>
        <w:t>206</w:t>
      </w:r>
      <w:r w:rsidRPr="00CE1B5B">
        <w:rPr>
          <w:rFonts w:ascii="Tahoma" w:hAnsi="Tahoma" w:cs="Tahoma"/>
          <w:sz w:val="20"/>
          <w:szCs w:val="20"/>
        </w:rPr>
        <w:t xml:space="preserve"> tis. Kč), Program protidrogové politiky (135 tis. Kč), </w:t>
      </w:r>
      <w:r w:rsidR="00CA7EB2" w:rsidRPr="00CE1B5B">
        <w:rPr>
          <w:rFonts w:ascii="Tahoma" w:hAnsi="Tahoma" w:cs="Tahoma"/>
          <w:sz w:val="20"/>
          <w:szCs w:val="20"/>
        </w:rPr>
        <w:t>Podpora implementace Etické výchovy (48</w:t>
      </w:r>
      <w:r w:rsidR="00D76307" w:rsidRPr="00CE1B5B">
        <w:rPr>
          <w:rFonts w:ascii="Tahoma" w:hAnsi="Tahoma" w:cs="Tahoma"/>
          <w:sz w:val="20"/>
          <w:szCs w:val="20"/>
        </w:rPr>
        <w:t>2</w:t>
      </w:r>
      <w:r w:rsidR="00CA7EB2" w:rsidRPr="00CE1B5B">
        <w:rPr>
          <w:rFonts w:ascii="Tahoma" w:hAnsi="Tahoma" w:cs="Tahoma"/>
          <w:sz w:val="20"/>
          <w:szCs w:val="20"/>
        </w:rPr>
        <w:t xml:space="preserve"> tis. Kč), </w:t>
      </w:r>
      <w:r w:rsidRPr="00CE1B5B">
        <w:rPr>
          <w:rFonts w:ascii="Tahoma" w:hAnsi="Tahoma" w:cs="Tahoma"/>
          <w:sz w:val="20"/>
          <w:szCs w:val="20"/>
        </w:rPr>
        <w:t>Bezplatná příprava dětí azylantů, účastníků řízení o azyl a dětí osob se státní příslušností jiného členského státu EU k začlenění do základního vzdělávání (143 tis. Kč) a Program sociální prevence a prevence kriminality (52 tis. Kč). Zbývající dotace z</w:t>
      </w:r>
      <w:r w:rsidR="00D33C79" w:rsidRPr="00CE1B5B">
        <w:rPr>
          <w:rFonts w:ascii="Tahoma" w:hAnsi="Tahoma" w:cs="Tahoma"/>
          <w:sz w:val="20"/>
          <w:szCs w:val="20"/>
        </w:rPr>
        <w:t> </w:t>
      </w:r>
      <w:r w:rsidRPr="00CE1B5B">
        <w:rPr>
          <w:rFonts w:ascii="Tahoma" w:hAnsi="Tahoma" w:cs="Tahoma"/>
          <w:sz w:val="20"/>
          <w:szCs w:val="20"/>
        </w:rPr>
        <w:t>této</w:t>
      </w:r>
      <w:r w:rsidR="00D33C79" w:rsidRPr="00CE1B5B">
        <w:rPr>
          <w:rFonts w:ascii="Tahoma" w:hAnsi="Tahoma" w:cs="Tahoma"/>
          <w:sz w:val="20"/>
          <w:szCs w:val="20"/>
        </w:rPr>
        <w:t> </w:t>
      </w:r>
      <w:r w:rsidRPr="00CE1B5B">
        <w:rPr>
          <w:rFonts w:ascii="Tahoma" w:hAnsi="Tahoma" w:cs="Tahoma"/>
          <w:sz w:val="20"/>
          <w:szCs w:val="20"/>
        </w:rPr>
        <w:t>kapitoly tvoří přijaté prostředky (37.66</w:t>
      </w:r>
      <w:r w:rsidR="006B5EBE" w:rsidRPr="00CE1B5B">
        <w:rPr>
          <w:rFonts w:ascii="Tahoma" w:hAnsi="Tahoma" w:cs="Tahoma"/>
          <w:sz w:val="20"/>
          <w:szCs w:val="20"/>
        </w:rPr>
        <w:t>3</w:t>
      </w:r>
      <w:r w:rsidRPr="00CE1B5B">
        <w:rPr>
          <w:rFonts w:ascii="Tahoma" w:hAnsi="Tahoma" w:cs="Tahoma"/>
          <w:sz w:val="20"/>
          <w:szCs w:val="20"/>
        </w:rPr>
        <w:t> tis. Kč) na akce spolufinancované z evropských finančních zdrojů.</w:t>
      </w:r>
    </w:p>
    <w:p w:rsidR="00D76307" w:rsidRPr="00CE1B5B" w:rsidRDefault="00014B18" w:rsidP="00D76307">
      <w:pPr>
        <w:jc w:val="both"/>
        <w:rPr>
          <w:rFonts w:ascii="Tahoma" w:hAnsi="Tahoma" w:cs="Tahoma"/>
          <w:sz w:val="20"/>
          <w:szCs w:val="20"/>
        </w:rPr>
      </w:pPr>
      <w:r w:rsidRPr="00CE1B5B">
        <w:rPr>
          <w:rFonts w:ascii="Tahoma" w:hAnsi="Tahoma" w:cs="Tahoma"/>
          <w:b/>
          <w:sz w:val="20"/>
          <w:szCs w:val="20"/>
        </w:rPr>
        <w:t>Regionální rada regionu soudržnosti Moravskoslezsko</w:t>
      </w:r>
      <w:r w:rsidRPr="00CE1B5B">
        <w:rPr>
          <w:rFonts w:ascii="Tahoma" w:hAnsi="Tahoma" w:cs="Tahoma"/>
          <w:sz w:val="20"/>
          <w:szCs w:val="20"/>
        </w:rPr>
        <w:t xml:space="preserve"> poskytla investiční a neinvestiční dotace (</w:t>
      </w:r>
      <w:r w:rsidR="00D76307" w:rsidRPr="00CE1B5B">
        <w:rPr>
          <w:rFonts w:ascii="Tahoma" w:hAnsi="Tahoma" w:cs="Tahoma"/>
          <w:sz w:val="20"/>
          <w:szCs w:val="20"/>
        </w:rPr>
        <w:t>44.442</w:t>
      </w:r>
      <w:r w:rsidRPr="00CE1B5B">
        <w:rPr>
          <w:rFonts w:ascii="Tahoma" w:hAnsi="Tahoma" w:cs="Tahoma"/>
          <w:sz w:val="20"/>
          <w:szCs w:val="20"/>
        </w:rPr>
        <w:t xml:space="preserve"> tis. Kč) na akce spolufinancované z evropských finančních zdrojů. </w:t>
      </w:r>
      <w:r w:rsidRPr="00CE1B5B">
        <w:rPr>
          <w:rFonts w:ascii="Tahoma" w:hAnsi="Tahoma" w:cs="Tahoma"/>
          <w:b/>
          <w:sz w:val="20"/>
          <w:szCs w:val="20"/>
        </w:rPr>
        <w:t>Ministerstvo práce a sociálních věcí</w:t>
      </w:r>
      <w:r w:rsidRPr="00CE1B5B">
        <w:rPr>
          <w:rFonts w:ascii="Tahoma" w:hAnsi="Tahoma" w:cs="Tahoma"/>
          <w:sz w:val="20"/>
          <w:szCs w:val="20"/>
        </w:rPr>
        <w:t xml:space="preserve"> zaslalo neinvestiční transfer na státní příspěvek zřizovatelům zařízení pro děti vyžadující okamžitou pomoc (13.862 tis. Kč). Zbývající dotace z této kapitoly tvoří přijaté prostředky (</w:t>
      </w:r>
      <w:r w:rsidR="00D76307" w:rsidRPr="00CE1B5B">
        <w:rPr>
          <w:rFonts w:ascii="Tahoma" w:hAnsi="Tahoma" w:cs="Tahoma"/>
          <w:sz w:val="20"/>
          <w:szCs w:val="20"/>
        </w:rPr>
        <w:t>54.76</w:t>
      </w:r>
      <w:r w:rsidR="006B5EBE" w:rsidRPr="00CE1B5B">
        <w:rPr>
          <w:rFonts w:ascii="Tahoma" w:hAnsi="Tahoma" w:cs="Tahoma"/>
          <w:sz w:val="20"/>
          <w:szCs w:val="20"/>
        </w:rPr>
        <w:t>9</w:t>
      </w:r>
      <w:r w:rsidRPr="00CE1B5B">
        <w:rPr>
          <w:rFonts w:ascii="Tahoma" w:hAnsi="Tahoma" w:cs="Tahoma"/>
          <w:sz w:val="20"/>
          <w:szCs w:val="20"/>
        </w:rPr>
        <w:t xml:space="preserve"> tis. Kč) na akce spolufinancované z evropských finančních zdrojů. V rámci souhrnného dotačního vztahu státního rozpočtu k rozpočtu kraje byla poskytnuta Moravskoslezskému kraji z </w:t>
      </w:r>
      <w:r w:rsidRPr="00CE1B5B">
        <w:rPr>
          <w:rFonts w:ascii="Tahoma" w:hAnsi="Tahoma" w:cs="Tahoma"/>
          <w:b/>
          <w:sz w:val="20"/>
          <w:szCs w:val="20"/>
        </w:rPr>
        <w:t>Ministerstva financí</w:t>
      </w:r>
      <w:r w:rsidRPr="00CE1B5B">
        <w:rPr>
          <w:rFonts w:ascii="Tahoma" w:hAnsi="Tahoma" w:cs="Tahoma"/>
          <w:sz w:val="20"/>
          <w:szCs w:val="20"/>
        </w:rPr>
        <w:t xml:space="preserve"> neinvestiční dotace (</w:t>
      </w:r>
      <w:r w:rsidR="00D76307" w:rsidRPr="00CE1B5B">
        <w:rPr>
          <w:rFonts w:ascii="Tahoma" w:hAnsi="Tahoma" w:cs="Tahoma"/>
          <w:sz w:val="20"/>
          <w:szCs w:val="20"/>
        </w:rPr>
        <w:t>38.084</w:t>
      </w:r>
      <w:r w:rsidRPr="00CE1B5B">
        <w:rPr>
          <w:rFonts w:ascii="Tahoma" w:hAnsi="Tahoma" w:cs="Tahoma"/>
          <w:sz w:val="20"/>
          <w:szCs w:val="20"/>
        </w:rPr>
        <w:t> tis. Kč). Tuto dotaci poskytuje Ministerstvo financí z kapitoly Všeobecná pokladní sp</w:t>
      </w:r>
      <w:r w:rsidR="005F6F8A" w:rsidRPr="00CE1B5B">
        <w:rPr>
          <w:rFonts w:ascii="Tahoma" w:hAnsi="Tahoma" w:cs="Tahoma"/>
          <w:sz w:val="20"/>
          <w:szCs w:val="20"/>
        </w:rPr>
        <w:t>ráva měsíčně jednou dvanáctinou a</w:t>
      </w:r>
      <w:r w:rsidRPr="00CE1B5B">
        <w:rPr>
          <w:rFonts w:ascii="Tahoma" w:hAnsi="Tahoma" w:cs="Tahoma"/>
          <w:sz w:val="20"/>
          <w:szCs w:val="20"/>
        </w:rPr>
        <w:t> je určena jako příspěvek na výkon státní správy. Dále byla z této kapitoly poskytnuta dotace na Náhrady škod způsobených vybranými zvláště chráněnými živočichy (</w:t>
      </w:r>
      <w:r w:rsidR="00D76307" w:rsidRPr="00CE1B5B">
        <w:rPr>
          <w:rFonts w:ascii="Tahoma" w:hAnsi="Tahoma" w:cs="Tahoma"/>
          <w:sz w:val="20"/>
          <w:szCs w:val="20"/>
        </w:rPr>
        <w:t>107</w:t>
      </w:r>
      <w:r w:rsidRPr="00CE1B5B">
        <w:rPr>
          <w:rFonts w:ascii="Tahoma" w:hAnsi="Tahoma" w:cs="Tahoma"/>
          <w:sz w:val="20"/>
          <w:szCs w:val="20"/>
        </w:rPr>
        <w:t> tis. Kč)</w:t>
      </w:r>
      <w:r w:rsidR="00453BA1" w:rsidRPr="00CE1B5B">
        <w:rPr>
          <w:rFonts w:ascii="Tahoma" w:hAnsi="Tahoma" w:cs="Tahoma"/>
          <w:sz w:val="20"/>
          <w:szCs w:val="20"/>
        </w:rPr>
        <w:t xml:space="preserve"> a Účelová dotace krajům – TBC (</w:t>
      </w:r>
      <w:r w:rsidR="00D76307" w:rsidRPr="00CE1B5B">
        <w:rPr>
          <w:rFonts w:ascii="Tahoma" w:hAnsi="Tahoma" w:cs="Tahoma"/>
          <w:sz w:val="20"/>
          <w:szCs w:val="20"/>
        </w:rPr>
        <w:t>1.138</w:t>
      </w:r>
      <w:r w:rsidR="00453BA1" w:rsidRPr="00CE1B5B">
        <w:rPr>
          <w:rFonts w:ascii="Tahoma" w:hAnsi="Tahoma" w:cs="Tahoma"/>
          <w:sz w:val="20"/>
          <w:szCs w:val="20"/>
        </w:rPr>
        <w:t> tis. Kč)</w:t>
      </w:r>
      <w:r w:rsidRPr="00CE1B5B">
        <w:rPr>
          <w:rFonts w:ascii="Tahoma" w:hAnsi="Tahoma" w:cs="Tahoma"/>
          <w:sz w:val="20"/>
          <w:szCs w:val="20"/>
        </w:rPr>
        <w:t xml:space="preserve">. </w:t>
      </w:r>
      <w:r w:rsidR="00E61EC1" w:rsidRPr="00CE1B5B">
        <w:rPr>
          <w:rFonts w:ascii="Tahoma" w:hAnsi="Tahoma" w:cs="Tahoma"/>
          <w:b/>
          <w:sz w:val="20"/>
          <w:szCs w:val="20"/>
        </w:rPr>
        <w:t>Státní fond dopravní infrastruktury</w:t>
      </w:r>
      <w:r w:rsidR="00E61EC1" w:rsidRPr="00CE1B5B">
        <w:rPr>
          <w:rFonts w:ascii="Tahoma" w:hAnsi="Tahoma" w:cs="Tahoma"/>
          <w:sz w:val="20"/>
          <w:szCs w:val="20"/>
        </w:rPr>
        <w:t xml:space="preserve"> poskytl finanční prostředky na akce spolufinancované z evropských finančních zdrojů (</w:t>
      </w:r>
      <w:r w:rsidR="00D76307" w:rsidRPr="00CE1B5B">
        <w:rPr>
          <w:rFonts w:ascii="Tahoma" w:hAnsi="Tahoma" w:cs="Tahoma"/>
          <w:sz w:val="20"/>
          <w:szCs w:val="20"/>
        </w:rPr>
        <w:t>25.268</w:t>
      </w:r>
      <w:r w:rsidR="00E61EC1" w:rsidRPr="00CE1B5B">
        <w:rPr>
          <w:rFonts w:ascii="Tahoma" w:hAnsi="Tahoma" w:cs="Tahoma"/>
          <w:sz w:val="20"/>
          <w:szCs w:val="20"/>
        </w:rPr>
        <w:t xml:space="preserve"> tis. Kč). </w:t>
      </w:r>
      <w:r w:rsidRPr="00CE1B5B">
        <w:rPr>
          <w:rFonts w:ascii="Tahoma" w:hAnsi="Tahoma" w:cs="Tahoma"/>
          <w:b/>
          <w:sz w:val="20"/>
          <w:szCs w:val="20"/>
        </w:rPr>
        <w:t>Ministerstvo vnitra</w:t>
      </w:r>
      <w:r w:rsidRPr="00CE1B5B">
        <w:rPr>
          <w:rFonts w:ascii="Tahoma" w:hAnsi="Tahoma" w:cs="Tahoma"/>
          <w:sz w:val="20"/>
          <w:szCs w:val="20"/>
        </w:rPr>
        <w:t xml:space="preserve"> poskytlo neinvestiční transfer podle § 27 zákona č. 133/1985 Sb., o požární ochraně (8.283 tis. Kč). </w:t>
      </w:r>
      <w:r w:rsidR="00D76307" w:rsidRPr="00CE1B5B">
        <w:rPr>
          <w:rFonts w:ascii="Tahoma" w:hAnsi="Tahoma" w:cs="Tahoma"/>
          <w:sz w:val="20"/>
          <w:szCs w:val="20"/>
        </w:rPr>
        <w:t>Ministerstvo životního prostředí poskytlo finanční prostředky na akce spolufinancované z evropských finančních zdrojů (4.226 tis. Kč).</w:t>
      </w:r>
      <w:r w:rsidR="00D76307" w:rsidRPr="00CE1B5B">
        <w:rPr>
          <w:rFonts w:ascii="Tahoma" w:hAnsi="Tahoma" w:cs="Tahoma"/>
          <w:b/>
          <w:sz w:val="20"/>
          <w:szCs w:val="20"/>
        </w:rPr>
        <w:t xml:space="preserve"> Ministerstvo zdravotnictví</w:t>
      </w:r>
      <w:r w:rsidR="00D76307" w:rsidRPr="00CE1B5B">
        <w:rPr>
          <w:rFonts w:ascii="Tahoma" w:hAnsi="Tahoma" w:cs="Tahoma"/>
          <w:sz w:val="20"/>
          <w:szCs w:val="20"/>
        </w:rPr>
        <w:t xml:space="preserve"> poskytlo dotaci na Specializační vzdělávání zdravotnických pracovníků – rezidenční místa – neinvestice (391 tis. Kč). </w:t>
      </w:r>
      <w:r w:rsidR="00D76307" w:rsidRPr="00CE1B5B">
        <w:rPr>
          <w:rFonts w:ascii="Tahoma" w:hAnsi="Tahoma" w:cs="Tahoma"/>
          <w:b/>
          <w:sz w:val="20"/>
          <w:szCs w:val="20"/>
        </w:rPr>
        <w:t>Státní fond životního prostředí</w:t>
      </w:r>
      <w:r w:rsidR="00D76307" w:rsidRPr="00CE1B5B">
        <w:rPr>
          <w:rFonts w:ascii="Tahoma" w:hAnsi="Tahoma" w:cs="Tahoma"/>
          <w:sz w:val="20"/>
          <w:szCs w:val="20"/>
        </w:rPr>
        <w:t xml:space="preserve"> poskytl finanční prostředky na akce spolufinancované z evropských finančních zdrojů (40 tis. Kč). </w:t>
      </w:r>
    </w:p>
    <w:p w:rsidR="00F74C87" w:rsidRPr="00CE1B5B" w:rsidRDefault="00F74C87" w:rsidP="00F74C87">
      <w:pPr>
        <w:pStyle w:val="Zkladntext"/>
        <w:spacing w:before="0"/>
        <w:rPr>
          <w:rFonts w:ascii="Tahoma" w:hAnsi="Tahoma" w:cs="Tahoma"/>
          <w:sz w:val="20"/>
          <w:szCs w:val="20"/>
        </w:rPr>
      </w:pPr>
      <w:r w:rsidRPr="00CE1B5B">
        <w:rPr>
          <w:rFonts w:ascii="Tahoma" w:hAnsi="Tahoma" w:cs="Tahoma"/>
          <w:sz w:val="20"/>
          <w:szCs w:val="20"/>
        </w:rPr>
        <w:t>Mezi ostatními dotacemi jsou zahrnuty prostředky přijaté od obcí (1.600 tis. Kč), jednotlivých krajů ČR (201 tis. Kč) a dotace poskytnuté od ústřední úrovně (Dům zahraniční spolupráce) na akce spolufinancované z evropských finančních zdrojů v odvětví školství (892 tis. Kč).</w:t>
      </w:r>
    </w:p>
    <w:p w:rsidR="00F74C87" w:rsidRPr="00CE1B5B" w:rsidRDefault="00F74C87" w:rsidP="00D76307">
      <w:pPr>
        <w:jc w:val="both"/>
        <w:rPr>
          <w:rFonts w:ascii="Tahoma" w:hAnsi="Tahoma" w:cs="Tahoma"/>
          <w:sz w:val="20"/>
          <w:szCs w:val="20"/>
        </w:rPr>
      </w:pPr>
    </w:p>
    <w:p w:rsidR="00014B18" w:rsidRPr="00CE1B5B" w:rsidRDefault="00014B18" w:rsidP="00064FB3">
      <w:pPr>
        <w:jc w:val="both"/>
        <w:rPr>
          <w:rFonts w:ascii="Tahoma" w:hAnsi="Tahoma" w:cs="Tahoma"/>
          <w:sz w:val="20"/>
          <w:szCs w:val="20"/>
        </w:rPr>
      </w:pPr>
    </w:p>
    <w:p w:rsidR="00014B18" w:rsidRPr="00CE1B5B" w:rsidRDefault="00014B18" w:rsidP="00E44472">
      <w:pPr>
        <w:jc w:val="both"/>
        <w:rPr>
          <w:rFonts w:ascii="Tahoma" w:hAnsi="Tahoma" w:cs="Tahoma"/>
          <w:sz w:val="20"/>
          <w:szCs w:val="20"/>
        </w:rPr>
      </w:pPr>
    </w:p>
    <w:p w:rsidR="00014B18" w:rsidRPr="00CE1B5B" w:rsidRDefault="00014B18" w:rsidP="00F911E5">
      <w:pPr>
        <w:pStyle w:val="Zkladntext"/>
        <w:spacing w:before="0"/>
        <w:rPr>
          <w:rFonts w:ascii="Tahoma" w:hAnsi="Tahoma" w:cs="Tahoma"/>
          <w:sz w:val="20"/>
          <w:szCs w:val="20"/>
        </w:rPr>
      </w:pPr>
    </w:p>
    <w:p w:rsidR="00D10C8E" w:rsidRPr="00CE1B5B" w:rsidRDefault="00D10C8E">
      <w:pPr>
        <w:rPr>
          <w:rFonts w:ascii="Tahoma" w:hAnsi="Tahoma" w:cs="Tahoma"/>
          <w:sz w:val="20"/>
          <w:szCs w:val="20"/>
        </w:rPr>
      </w:pPr>
      <w:r w:rsidRPr="00CE1B5B">
        <w:rPr>
          <w:rFonts w:ascii="Tahoma" w:hAnsi="Tahoma" w:cs="Tahoma"/>
          <w:sz w:val="20"/>
          <w:szCs w:val="20"/>
        </w:rPr>
        <w:br w:type="page"/>
      </w:r>
    </w:p>
    <w:p w:rsidR="00014B18" w:rsidRPr="00CE1B5B" w:rsidRDefault="00014B18" w:rsidP="00C10B62">
      <w:pPr>
        <w:pStyle w:val="Zkladntext"/>
        <w:spacing w:before="0"/>
        <w:jc w:val="left"/>
        <w:rPr>
          <w:rFonts w:ascii="Tahoma" w:hAnsi="Tahoma" w:cs="Tahoma"/>
          <w:sz w:val="20"/>
          <w:szCs w:val="20"/>
        </w:rPr>
      </w:pPr>
      <w:r w:rsidRPr="00CE1B5B">
        <w:rPr>
          <w:rFonts w:ascii="Tahoma" w:hAnsi="Tahoma" w:cs="Tahoma"/>
          <w:sz w:val="20"/>
          <w:szCs w:val="20"/>
        </w:rPr>
        <w:lastRenderedPageBreak/>
        <w:t xml:space="preserve">Graf č. 2 zobrazuje procentuální přehled přijatých dotací </w:t>
      </w:r>
    </w:p>
    <w:p w:rsidR="006573E5" w:rsidRPr="00CE1B5B" w:rsidRDefault="006573E5" w:rsidP="00C10B62">
      <w:pPr>
        <w:pStyle w:val="Zkladntext"/>
        <w:spacing w:before="0"/>
        <w:jc w:val="left"/>
        <w:rPr>
          <w:rFonts w:ascii="Tahoma" w:hAnsi="Tahoma" w:cs="Tahoma"/>
          <w:sz w:val="20"/>
          <w:szCs w:val="20"/>
        </w:rPr>
      </w:pPr>
      <w:r w:rsidRPr="00CE1B5B">
        <w:rPr>
          <w:noProof/>
        </w:rPr>
        <w:drawing>
          <wp:inline distT="0" distB="0" distL="0" distR="0" wp14:anchorId="775B4C0A" wp14:editId="04810702">
            <wp:extent cx="5828030" cy="3414658"/>
            <wp:effectExtent l="0" t="0" r="20320" b="1460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573E5" w:rsidRPr="00CE1B5B" w:rsidRDefault="006573E5" w:rsidP="00C10B62">
      <w:pPr>
        <w:pStyle w:val="Zkladntext"/>
        <w:spacing w:before="0"/>
        <w:jc w:val="left"/>
        <w:rPr>
          <w:rFonts w:ascii="Tahoma" w:hAnsi="Tahoma" w:cs="Tahoma"/>
          <w:sz w:val="20"/>
          <w:szCs w:val="20"/>
        </w:rPr>
      </w:pPr>
    </w:p>
    <w:p w:rsidR="005E4A62" w:rsidRPr="00CE1B5B" w:rsidRDefault="005E4A62" w:rsidP="00C10B62">
      <w:pPr>
        <w:pStyle w:val="Zkladntext"/>
        <w:spacing w:before="0"/>
        <w:jc w:val="left"/>
        <w:rPr>
          <w:rFonts w:ascii="Tahoma" w:hAnsi="Tahoma" w:cs="Tahoma"/>
          <w:sz w:val="20"/>
          <w:szCs w:val="20"/>
        </w:rPr>
      </w:pPr>
    </w:p>
    <w:p w:rsidR="00014B18" w:rsidRPr="00CE1B5B" w:rsidRDefault="00014B18" w:rsidP="003B080A">
      <w:pPr>
        <w:pStyle w:val="Nadpis2"/>
        <w:numPr>
          <w:ilvl w:val="1"/>
          <w:numId w:val="47"/>
        </w:numPr>
        <w:spacing w:before="480"/>
        <w:rPr>
          <w:rFonts w:ascii="Tahoma" w:hAnsi="Tahoma" w:cs="Tahoma"/>
          <w:sz w:val="24"/>
        </w:rPr>
      </w:pPr>
      <w:r w:rsidRPr="00CE1B5B">
        <w:rPr>
          <w:rFonts w:ascii="Tahoma" w:hAnsi="Tahoma" w:cs="Tahoma"/>
          <w:sz w:val="24"/>
        </w:rPr>
        <w:t xml:space="preserve">Financování </w:t>
      </w:r>
    </w:p>
    <w:p w:rsidR="00014B18" w:rsidRPr="00CE1B5B" w:rsidRDefault="00014B18" w:rsidP="001B53A7">
      <w:pPr>
        <w:jc w:val="both"/>
        <w:rPr>
          <w:rFonts w:ascii="Tahoma" w:hAnsi="Tahoma" w:cs="Tahoma"/>
          <w:sz w:val="20"/>
          <w:szCs w:val="20"/>
        </w:rPr>
      </w:pPr>
    </w:p>
    <w:p w:rsidR="00D9338A" w:rsidRPr="00CE1B5B" w:rsidRDefault="00D9338A" w:rsidP="00D9338A">
      <w:pPr>
        <w:spacing w:after="120"/>
        <w:jc w:val="both"/>
        <w:rPr>
          <w:rFonts w:ascii="Tahoma" w:hAnsi="Tahoma" w:cs="Tahoma"/>
          <w:sz w:val="20"/>
          <w:szCs w:val="20"/>
        </w:rPr>
      </w:pPr>
      <w:r w:rsidRPr="00CE1B5B">
        <w:rPr>
          <w:rFonts w:ascii="Tahoma" w:hAnsi="Tahoma" w:cs="Tahoma"/>
          <w:sz w:val="20"/>
          <w:szCs w:val="20"/>
        </w:rPr>
        <w:t xml:space="preserve">Pro rok 2014 byl schválen rozpočet Moravskoslezského kraje jako schodkový (rozdíl příjmů a výdajů představuje částku 1.332.346 tis. Kč). Schválený rozpočet kraje na rok 2014, byl stejně jako v předešlých letech, částečně postaven na financování využitím části volných zdrojů roku 2013 v celkové výši 354.799 tis. Kč, dále na přijetí dlouhodobých půjčených prostředků v celkové výši 2.079.875 tis. Kč a rozpočtovaných splátek těchto půjčených prostředků ve výši 1.076.328 tis. Kč. Zapojením zdrojů roku 2013 a cizích návratných zdrojů financování byla však výše zdrojů a výdajů vyrovnaná. </w:t>
      </w:r>
    </w:p>
    <w:p w:rsidR="00D9338A" w:rsidRPr="00CE1B5B" w:rsidRDefault="00D9338A" w:rsidP="00F56FA2">
      <w:pPr>
        <w:pStyle w:val="Styltab"/>
      </w:pPr>
      <w:r w:rsidRPr="00CE1B5B">
        <w:rPr>
          <w:b/>
        </w:rPr>
        <w:t>Tabulka č. 7:</w:t>
      </w:r>
      <w:r w:rsidRPr="00CE1B5B">
        <w:t xml:space="preserve"> Struktura financování rozpočtu kraje na rok 2014</w:t>
      </w:r>
    </w:p>
    <w:p w:rsidR="00D9338A" w:rsidRPr="00CE1B5B" w:rsidRDefault="00D9338A" w:rsidP="00D9338A">
      <w:pPr>
        <w:spacing w:after="120"/>
        <w:jc w:val="both"/>
        <w:rPr>
          <w:rFonts w:ascii="Tahoma" w:hAnsi="Tahoma" w:cs="Tahoma"/>
          <w:sz w:val="20"/>
          <w:szCs w:val="20"/>
        </w:rPr>
      </w:pPr>
      <w:r w:rsidRPr="00CE1B5B">
        <w:rPr>
          <w:rFonts w:ascii="Tahoma" w:hAnsi="Tahoma" w:cs="Tahoma"/>
          <w:sz w:val="20"/>
          <w:szCs w:val="20"/>
        </w:rPr>
        <w:object w:dxaOrig="9027" w:dyaOrig="5384">
          <v:shape id="_x0000_i1031" type="#_x0000_t75" style="width:451.5pt;height:269.25pt" o:ole="">
            <v:imagedata r:id="rId23" o:title=""/>
          </v:shape>
          <o:OLEObject Type="Embed" ProgID="Excel.Sheet.12" ShapeID="_x0000_i1031" DrawAspect="Content" ObjectID="_1462796438" r:id="rId24"/>
        </w:object>
      </w:r>
    </w:p>
    <w:p w:rsidR="00D9338A" w:rsidRPr="00CE1B5B" w:rsidRDefault="00D9338A" w:rsidP="00D9338A">
      <w:pPr>
        <w:spacing w:after="120"/>
        <w:jc w:val="both"/>
        <w:rPr>
          <w:rFonts w:ascii="Tahoma" w:hAnsi="Tahoma" w:cs="Tahoma"/>
          <w:sz w:val="20"/>
          <w:szCs w:val="20"/>
        </w:rPr>
      </w:pPr>
      <w:r w:rsidRPr="00CE1B5B">
        <w:rPr>
          <w:rFonts w:ascii="Tahoma" w:hAnsi="Tahoma" w:cs="Tahoma"/>
          <w:sz w:val="20"/>
          <w:szCs w:val="20"/>
        </w:rPr>
        <w:lastRenderedPageBreak/>
        <w:t>Od počátku roku 2014 byly postupně realizovány rozpočtové úpravy týkající se oblasti financování, a to jak v souvislosti s přesným vyčíslením a následným zapojením kladného zůstatku rozpočtového hospodaření roku 2013, tak ve vztahu k objemu přijatých dlouhodobých půjčených prostředků.</w:t>
      </w:r>
    </w:p>
    <w:p w:rsidR="00D9338A" w:rsidRPr="00CE1B5B" w:rsidRDefault="00D9338A" w:rsidP="00D9338A">
      <w:pPr>
        <w:spacing w:after="120"/>
        <w:jc w:val="both"/>
        <w:rPr>
          <w:rFonts w:ascii="Tahoma" w:hAnsi="Tahoma" w:cs="Tahoma"/>
          <w:sz w:val="20"/>
          <w:szCs w:val="20"/>
        </w:rPr>
      </w:pPr>
      <w:r w:rsidRPr="00CE1B5B">
        <w:rPr>
          <w:rFonts w:ascii="Tahoma" w:hAnsi="Tahoma" w:cs="Tahoma"/>
          <w:sz w:val="20"/>
          <w:szCs w:val="20"/>
        </w:rPr>
        <w:t>K 30. 4. 2014 došlo k úpravě finančních prostředků, které představují zdroje roku 2013 a byly určeny ke krytí jednotlivých výdajů v rozpočtu roku 2014, z částky 354.799 tis. Kč na částku 1.657.927 tis. Kč, a to zejména z důvodu zapojení účelově vázaných finančních prostředků na akce spolufinancované z evropských finančních zdrojů a akce reprodukce majetku kraje, u kterých došlo k prodloužení či</w:t>
      </w:r>
      <w:r w:rsidR="00CE1B5B">
        <w:rPr>
          <w:rFonts w:ascii="Tahoma" w:hAnsi="Tahoma" w:cs="Tahoma"/>
          <w:sz w:val="20"/>
          <w:szCs w:val="20"/>
        </w:rPr>
        <w:t> </w:t>
      </w:r>
      <w:r w:rsidRPr="00CE1B5B">
        <w:rPr>
          <w:rFonts w:ascii="Tahoma" w:hAnsi="Tahoma" w:cs="Tahoma"/>
          <w:sz w:val="20"/>
          <w:szCs w:val="20"/>
        </w:rPr>
        <w:t xml:space="preserve">přesunu doby realizace a prostředků zapojených k úhradě ostatních závazků v oblasti samosprávných činností kraje, zejména souvisejících se smluvními závazky roku 2013. </w:t>
      </w:r>
    </w:p>
    <w:p w:rsidR="00D9338A" w:rsidRPr="00CE1B5B" w:rsidRDefault="00D9338A" w:rsidP="00D9338A">
      <w:pPr>
        <w:pStyle w:val="Zkladntext3"/>
        <w:rPr>
          <w:rFonts w:ascii="Tahoma" w:hAnsi="Tahoma" w:cs="Tahoma"/>
          <w:color w:val="auto"/>
          <w:sz w:val="20"/>
          <w:szCs w:val="20"/>
        </w:rPr>
      </w:pPr>
      <w:r w:rsidRPr="00CE1B5B">
        <w:rPr>
          <w:rFonts w:ascii="Tahoma" w:hAnsi="Tahoma" w:cs="Tahoma"/>
          <w:color w:val="auto"/>
          <w:sz w:val="20"/>
          <w:szCs w:val="20"/>
        </w:rPr>
        <w:t>V dubnu letošního roku došlo k souhrnné rozpočtové úpravě v rámci projektů financovaných z evropských finančních zdrojů. S ohledem na změny související s přípravou a uskutečněním jednotlivých projektů byl mimo jiné snížen rozpočet čerpání úvěrových rámců pro rok 2014, a to od</w:t>
      </w:r>
      <w:r w:rsidR="00CE1B5B">
        <w:rPr>
          <w:rFonts w:ascii="Tahoma" w:hAnsi="Tahoma" w:cs="Tahoma"/>
          <w:color w:val="auto"/>
          <w:sz w:val="20"/>
          <w:szCs w:val="20"/>
        </w:rPr>
        <w:t> </w:t>
      </w:r>
      <w:r w:rsidRPr="00CE1B5B">
        <w:rPr>
          <w:rFonts w:ascii="Tahoma" w:hAnsi="Tahoma" w:cs="Tahoma"/>
          <w:color w:val="auto"/>
          <w:sz w:val="20"/>
          <w:szCs w:val="20"/>
        </w:rPr>
        <w:t>České spořitelny, a.s. o částku 180.603 tis. Kč a Evropské investiční banky o částku 168.233 tis. Kč. A dále byl snížen rozpočet splátek úvěrových rámců pro rok 2014 od České spořitelny, a.s. a Československé obchodní banky, a.s. o celkovou částku 327.962 tis. Kč.</w:t>
      </w:r>
    </w:p>
    <w:p w:rsidR="00D9338A" w:rsidRPr="00CE1B5B" w:rsidRDefault="00D9338A" w:rsidP="00D9338A">
      <w:pPr>
        <w:spacing w:before="120" w:after="120"/>
        <w:jc w:val="both"/>
        <w:rPr>
          <w:rFonts w:ascii="Tahoma" w:hAnsi="Tahoma" w:cs="Tahoma"/>
          <w:sz w:val="20"/>
          <w:szCs w:val="20"/>
        </w:rPr>
      </w:pPr>
      <w:r w:rsidRPr="00CE1B5B">
        <w:rPr>
          <w:rFonts w:ascii="Tahoma" w:hAnsi="Tahoma" w:cs="Tahoma"/>
          <w:sz w:val="20"/>
          <w:szCs w:val="20"/>
        </w:rPr>
        <w:t>V rámci upraveného rozpočtu k 30. 4. 2014 dosáhlo saldo příjmů a výdajů výše -2.627.081 tis. Kč (upravený rozpočet financování tedy dosáhl celkové výše 2.627.081 tis. Kč). Podrobně jsou jednotlivé položky financování uvedeny v Tabulce č. 7.</w:t>
      </w:r>
    </w:p>
    <w:p w:rsidR="00D9338A" w:rsidRPr="00CE1B5B" w:rsidRDefault="00D9338A" w:rsidP="00D9338A">
      <w:pPr>
        <w:pStyle w:val="Zkladntext"/>
        <w:rPr>
          <w:rFonts w:ascii="Tahoma" w:hAnsi="Tahoma"/>
          <w:b/>
          <w:sz w:val="20"/>
          <w:u w:val="single"/>
        </w:rPr>
      </w:pPr>
      <w:bookmarkStart w:id="1" w:name="_Toc387388511"/>
    </w:p>
    <w:p w:rsidR="00D9338A" w:rsidRPr="00CE1B5B" w:rsidRDefault="00D9338A" w:rsidP="00D9338A">
      <w:pPr>
        <w:pStyle w:val="Zkladntext"/>
        <w:rPr>
          <w:rFonts w:ascii="Tahoma" w:hAnsi="Tahoma"/>
          <w:b/>
          <w:sz w:val="20"/>
          <w:u w:val="single"/>
        </w:rPr>
      </w:pPr>
      <w:r w:rsidRPr="00CE1B5B">
        <w:rPr>
          <w:rFonts w:ascii="Tahoma" w:hAnsi="Tahoma"/>
          <w:b/>
          <w:sz w:val="20"/>
          <w:u w:val="single"/>
        </w:rPr>
        <w:t>Financování prostřednictvím cizích zdrojů (úvěrů)</w:t>
      </w:r>
      <w:bookmarkEnd w:id="1"/>
    </w:p>
    <w:p w:rsidR="00D9338A" w:rsidRPr="00CE1B5B" w:rsidRDefault="00D9338A" w:rsidP="00D9338A">
      <w:pPr>
        <w:pStyle w:val="Mjtext"/>
        <w:rPr>
          <w:sz w:val="20"/>
          <w:szCs w:val="20"/>
        </w:rPr>
      </w:pPr>
      <w:r w:rsidRPr="00CE1B5B">
        <w:rPr>
          <w:sz w:val="20"/>
          <w:szCs w:val="20"/>
        </w:rPr>
        <w:t xml:space="preserve">Celková zadluženost (výše nesplacených úvěrů) Moravskoslezského kraje k 30. 4. 2014 dosáhla výše 2.265.407 tis. Kč. </w:t>
      </w:r>
    </w:p>
    <w:p w:rsidR="00D9338A" w:rsidRPr="00CE1B5B" w:rsidRDefault="00D9338A" w:rsidP="00F56FA2">
      <w:pPr>
        <w:pStyle w:val="Styltab"/>
      </w:pPr>
      <w:r w:rsidRPr="00CE1B5B">
        <w:rPr>
          <w:b/>
        </w:rPr>
        <w:t>Tabulka č. 8:</w:t>
      </w:r>
      <w:r w:rsidRPr="00CE1B5B">
        <w:t xml:space="preserve"> Nesplacená výše úvěrů k 30. 4. 2014</w:t>
      </w:r>
      <w:r w:rsidRPr="00CE1B5B">
        <w:tab/>
        <w:t>(v tis. Kč)</w:t>
      </w:r>
    </w:p>
    <w:p w:rsidR="00D9338A" w:rsidRPr="00CE1B5B" w:rsidRDefault="00F56FA2" w:rsidP="00D9338A">
      <w:pPr>
        <w:pStyle w:val="Mjtext"/>
        <w:spacing w:before="0" w:after="0"/>
        <w:rPr>
          <w:sz w:val="20"/>
          <w:szCs w:val="20"/>
        </w:rPr>
      </w:pPr>
      <w:r w:rsidRPr="00CE1B5B">
        <w:rPr>
          <w:sz w:val="16"/>
          <w:szCs w:val="16"/>
        </w:rPr>
        <w:object w:dxaOrig="8859" w:dyaOrig="3310">
          <v:shape id="_x0000_i1032" type="#_x0000_t75" style="width:456.75pt;height:171pt" o:ole="">
            <v:imagedata r:id="rId25" o:title=""/>
          </v:shape>
          <o:OLEObject Type="Embed" ProgID="Excel.Sheet.12" ShapeID="_x0000_i1032" DrawAspect="Content" ObjectID="_1462796439" r:id="rId26"/>
        </w:object>
      </w:r>
    </w:p>
    <w:p w:rsidR="00D9338A" w:rsidRPr="00CE1B5B" w:rsidRDefault="00D9338A" w:rsidP="00D9338A">
      <w:pPr>
        <w:pStyle w:val="Mjtext"/>
        <w:rPr>
          <w:sz w:val="20"/>
          <w:szCs w:val="20"/>
        </w:rPr>
      </w:pPr>
      <w:r w:rsidRPr="00CE1B5B">
        <w:rPr>
          <w:sz w:val="20"/>
          <w:szCs w:val="20"/>
        </w:rPr>
        <w:t>V následující části podkapitoly jsou popsány jednotlivé krajem využívané úvěry.</w:t>
      </w:r>
    </w:p>
    <w:p w:rsidR="00D9338A" w:rsidRPr="00CE1B5B" w:rsidRDefault="00D9338A" w:rsidP="00D9338A">
      <w:pPr>
        <w:pStyle w:val="Zkladntext"/>
      </w:pPr>
      <w:r w:rsidRPr="00CE1B5B">
        <w:rPr>
          <w:rFonts w:ascii="Tahoma" w:hAnsi="Tahoma"/>
          <w:i/>
          <w:sz w:val="20"/>
          <w:u w:val="single"/>
        </w:rPr>
        <w:t>Úvěrové rámce Evropské investiční banky</w:t>
      </w:r>
    </w:p>
    <w:p w:rsidR="00D9338A" w:rsidRPr="00CE1B5B" w:rsidRDefault="00D9338A" w:rsidP="00D9338A">
      <w:pPr>
        <w:pStyle w:val="Mjtext"/>
        <w:rPr>
          <w:sz w:val="20"/>
          <w:szCs w:val="20"/>
        </w:rPr>
      </w:pPr>
      <w:r w:rsidRPr="00CE1B5B">
        <w:rPr>
          <w:sz w:val="20"/>
          <w:szCs w:val="20"/>
        </w:rPr>
        <w:t xml:space="preserve">V roce 2005 uzavřel Moravskoslezský kraj s </w:t>
      </w:r>
      <w:r w:rsidRPr="00CE1B5B">
        <w:rPr>
          <w:b/>
          <w:sz w:val="20"/>
          <w:szCs w:val="20"/>
        </w:rPr>
        <w:t>Evropskou investiční bankou</w:t>
      </w:r>
      <w:r w:rsidRPr="00CE1B5B">
        <w:rPr>
          <w:sz w:val="20"/>
          <w:szCs w:val="20"/>
        </w:rPr>
        <w:t xml:space="preserve"> (dále jen EIB) smlouvu o financování projektu Česká republika </w:t>
      </w:r>
      <w:r w:rsidRPr="00CE1B5B">
        <w:rPr>
          <w:sz w:val="20"/>
          <w:szCs w:val="20"/>
        </w:rPr>
        <w:noBreakHyphen/>
        <w:t> Infrastruktura v Moravskoslezském kraji za účelem dlouhodobého financování investičních akcí především v odvětví dopravy, jejichž převážná část byla spolufinancována z evropských finančních zdrojů. Celý projekt byl v souladu se smlouvou dokončen k </w:t>
      </w:r>
      <w:smartTag w:uri="urn:schemas-microsoft-com:office:smarttags" w:element="date">
        <w:smartTagPr>
          <w:attr w:name="ls" w:val="trans"/>
          <w:attr w:name="Month" w:val="12"/>
          <w:attr w:name="Day" w:val="31"/>
          <w:attr w:name="Year" w:val="2009"/>
        </w:smartTagPr>
        <w:r w:rsidRPr="00CE1B5B">
          <w:rPr>
            <w:sz w:val="20"/>
            <w:szCs w:val="20"/>
          </w:rPr>
          <w:t>31. 12. 2009.</w:t>
        </w:r>
      </w:smartTag>
      <w:r w:rsidRPr="00CE1B5B">
        <w:rPr>
          <w:sz w:val="20"/>
          <w:szCs w:val="20"/>
        </w:rPr>
        <w:t xml:space="preserve"> V průběhu let 2005 </w:t>
      </w:r>
      <w:r w:rsidRPr="00CE1B5B">
        <w:rPr>
          <w:sz w:val="20"/>
          <w:szCs w:val="20"/>
        </w:rPr>
        <w:noBreakHyphen/>
        <w:t xml:space="preserve"> 2008 pak kraj načerpal ke krytí svých výdajů finanční prostředky ve výši </w:t>
      </w:r>
      <w:r w:rsidRPr="00CE1B5B">
        <w:rPr>
          <w:b/>
          <w:sz w:val="20"/>
          <w:szCs w:val="20"/>
        </w:rPr>
        <w:t>1.100.000 tis. Kč</w:t>
      </w:r>
      <w:r w:rsidRPr="00CE1B5B">
        <w:rPr>
          <w:sz w:val="20"/>
          <w:szCs w:val="20"/>
        </w:rPr>
        <w:t xml:space="preserve">. Tyto prostředky byly poskytnuty EIB prostřednictvím 6 tranší úvěrové linky. Splácení jistiny těchto 6 tranší je rozloženo rovnoměrně na léta 2009 až 2018. V roce 2014 kraj splatí </w:t>
      </w:r>
      <w:smartTag w:uri="urn:schemas-microsoft-com:office:smarttags" w:element="metricconverter">
        <w:smartTagPr>
          <w:attr w:name="ProductID" w:val="110ﾠmil"/>
        </w:smartTagPr>
        <w:r w:rsidRPr="00CE1B5B">
          <w:rPr>
            <w:sz w:val="20"/>
            <w:szCs w:val="20"/>
          </w:rPr>
          <w:t>110 mil</w:t>
        </w:r>
      </w:smartTag>
      <w:r w:rsidRPr="00CE1B5B">
        <w:rPr>
          <w:sz w:val="20"/>
          <w:szCs w:val="20"/>
        </w:rPr>
        <w:t xml:space="preserve">. Kč (v červnu </w:t>
      </w:r>
      <w:smartTag w:uri="urn:schemas-microsoft-com:office:smarttags" w:element="metricconverter">
        <w:smartTagPr>
          <w:attr w:name="ProductID" w:val="10ﾠmil"/>
        </w:smartTagPr>
        <w:r w:rsidRPr="00CE1B5B">
          <w:rPr>
            <w:sz w:val="20"/>
            <w:szCs w:val="20"/>
          </w:rPr>
          <w:t>10 mil</w:t>
        </w:r>
      </w:smartTag>
      <w:r w:rsidRPr="00CE1B5B">
        <w:rPr>
          <w:sz w:val="20"/>
          <w:szCs w:val="20"/>
        </w:rPr>
        <w:t xml:space="preserve">. Kč, září </w:t>
      </w:r>
      <w:smartTag w:uri="urn:schemas-microsoft-com:office:smarttags" w:element="metricconverter">
        <w:smartTagPr>
          <w:attr w:name="ProductID" w:val="20ﾠmil"/>
        </w:smartTagPr>
        <w:r w:rsidRPr="00CE1B5B">
          <w:rPr>
            <w:sz w:val="20"/>
            <w:szCs w:val="20"/>
          </w:rPr>
          <w:t>20 mil</w:t>
        </w:r>
      </w:smartTag>
      <w:r w:rsidRPr="00CE1B5B">
        <w:rPr>
          <w:sz w:val="20"/>
          <w:szCs w:val="20"/>
        </w:rPr>
        <w:t xml:space="preserve">. Kč, prosinci </w:t>
      </w:r>
      <w:smartTag w:uri="urn:schemas-microsoft-com:office:smarttags" w:element="metricconverter">
        <w:smartTagPr>
          <w:attr w:name="ProductID" w:val="80ﾠmil"/>
        </w:smartTagPr>
        <w:r w:rsidRPr="00CE1B5B">
          <w:rPr>
            <w:sz w:val="20"/>
            <w:szCs w:val="20"/>
          </w:rPr>
          <w:t>80 mil</w:t>
        </w:r>
      </w:smartTag>
      <w:r w:rsidRPr="00CE1B5B">
        <w:rPr>
          <w:sz w:val="20"/>
          <w:szCs w:val="20"/>
        </w:rPr>
        <w:t>. Kč). K 30. 4. 2014 činí objem nesplacených finančních prostředků 550.000 tis. Kč.</w:t>
      </w:r>
    </w:p>
    <w:p w:rsidR="00D9338A" w:rsidRPr="00CE1B5B" w:rsidRDefault="00D9338A" w:rsidP="00D9338A">
      <w:pPr>
        <w:pStyle w:val="FormtovanvHTML"/>
        <w:jc w:val="both"/>
        <w:rPr>
          <w:rFonts w:ascii="Tahoma" w:hAnsi="Tahoma" w:cs="Tahoma"/>
        </w:rPr>
      </w:pPr>
      <w:r w:rsidRPr="00CE1B5B">
        <w:rPr>
          <w:rFonts w:ascii="Tahoma" w:hAnsi="Tahoma" w:cs="Tahoma"/>
        </w:rPr>
        <w:t xml:space="preserve">Převážně na úhradu vlastního podílu u akcí spolufinancovaných z evropských finančních zdrojů je využíván od roku 2011 úvěrový rámec od </w:t>
      </w:r>
      <w:r w:rsidRPr="00CE1B5B">
        <w:rPr>
          <w:rFonts w:ascii="Tahoma" w:hAnsi="Tahoma" w:cs="Tahoma"/>
          <w:b/>
        </w:rPr>
        <w:t>EIB ve výši 2.000.000 tis. Kč</w:t>
      </w:r>
      <w:r w:rsidRPr="00CE1B5B">
        <w:rPr>
          <w:rFonts w:ascii="Tahoma" w:hAnsi="Tahoma" w:cs="Tahoma"/>
        </w:rPr>
        <w:t>. O uzavření smlouvy o financování projektu Moravia-</w:t>
      </w:r>
      <w:proofErr w:type="spellStart"/>
      <w:r w:rsidRPr="00CE1B5B">
        <w:rPr>
          <w:rFonts w:ascii="Tahoma" w:hAnsi="Tahoma" w:cs="Tahoma"/>
        </w:rPr>
        <w:t>Silesia</w:t>
      </w:r>
      <w:proofErr w:type="spellEnd"/>
      <w:r w:rsidRPr="00CE1B5B">
        <w:rPr>
          <w:rFonts w:ascii="Tahoma" w:hAnsi="Tahoma" w:cs="Tahoma"/>
        </w:rPr>
        <w:t xml:space="preserve"> Regional </w:t>
      </w:r>
      <w:proofErr w:type="spellStart"/>
      <w:r w:rsidRPr="00CE1B5B">
        <w:rPr>
          <w:rFonts w:ascii="Tahoma" w:hAnsi="Tahoma" w:cs="Tahoma"/>
        </w:rPr>
        <w:t>Infra</w:t>
      </w:r>
      <w:proofErr w:type="spellEnd"/>
      <w:r w:rsidRPr="00CE1B5B">
        <w:rPr>
          <w:rFonts w:ascii="Tahoma" w:hAnsi="Tahoma" w:cs="Tahoma"/>
        </w:rPr>
        <w:t xml:space="preserve"> II (CZ) mezi EIB a Moravskoslezským krajem rozhodlo zastupitelstvo kraje usnesením č. 15/1270 ze dne </w:t>
      </w:r>
      <w:smartTag w:uri="urn:schemas-microsoft-com:office:smarttags" w:element="date">
        <w:smartTagPr>
          <w:attr w:name="ls" w:val="trans"/>
          <w:attr w:name="Month" w:val="11"/>
          <w:attr w:name="Day" w:val="10"/>
          <w:attr w:name="Year" w:val="2010"/>
        </w:smartTagPr>
        <w:r w:rsidRPr="00CE1B5B">
          <w:rPr>
            <w:rFonts w:ascii="Tahoma" w:hAnsi="Tahoma" w:cs="Tahoma"/>
          </w:rPr>
          <w:t>10. 11. 2010.</w:t>
        </w:r>
      </w:smartTag>
      <w:r w:rsidRPr="00CE1B5B">
        <w:rPr>
          <w:rFonts w:ascii="Tahoma" w:hAnsi="Tahoma" w:cs="Tahoma"/>
        </w:rPr>
        <w:t xml:space="preserve"> Celý projekt musí být dokončen do </w:t>
      </w:r>
      <w:smartTag w:uri="urn:schemas-microsoft-com:office:smarttags" w:element="date">
        <w:smartTagPr>
          <w:attr w:name="ls" w:val="trans"/>
          <w:attr w:name="Month" w:val="12"/>
          <w:attr w:name="Day" w:val="31"/>
          <w:attr w:name="Year" w:val="2015"/>
        </w:smartTagPr>
        <w:r w:rsidRPr="00CE1B5B">
          <w:rPr>
            <w:rFonts w:ascii="Tahoma" w:hAnsi="Tahoma" w:cs="Tahoma"/>
          </w:rPr>
          <w:t>31. 12. 2015.</w:t>
        </w:r>
      </w:smartTag>
      <w:r w:rsidRPr="00CE1B5B">
        <w:rPr>
          <w:rFonts w:ascii="Tahoma" w:hAnsi="Tahoma" w:cs="Tahoma"/>
        </w:rPr>
        <w:t xml:space="preserve"> V prosinci 2011 byla čerpána 1. tranše úvěrového rámce ve výši 350.000 tis. Kč. Jistina této tranše bude splácena v letech 2016 až 2025 v rovnoměrných ročních </w:t>
      </w:r>
      <w:r w:rsidRPr="00CE1B5B">
        <w:rPr>
          <w:rFonts w:ascii="Tahoma" w:hAnsi="Tahoma" w:cs="Tahoma"/>
        </w:rPr>
        <w:lastRenderedPageBreak/>
        <w:t>splátkách ve výši 35.000 tis. Kč. V říjnu 2012 byla čerpána 2. tranše úvěrového rámce ve výši 600.000 tis. Kč. Jistina této tranše bude splácena rovněž v letech 2016 až 2025 v rovnoměrných ročních splátkách ve výši 60.000 tis. Kč. V srpnu 2013 byla čerpána 3. tranše úvěrového rámce ve výši 366.000 tis. Kč. Jistina 3. tranše bude splácena v letech 2019 až 2025 v rovnoměrných ročních splátkách ve výši 52.285,7 tis. Kč. Zbývající část úvěrového rámce má kraj možnost odčerpat do</w:t>
      </w:r>
      <w:r w:rsidR="00CE1B5B">
        <w:rPr>
          <w:rFonts w:ascii="Tahoma" w:hAnsi="Tahoma" w:cs="Tahoma"/>
        </w:rPr>
        <w:t> </w:t>
      </w:r>
      <w:r w:rsidRPr="00CE1B5B">
        <w:rPr>
          <w:rFonts w:ascii="Tahoma" w:hAnsi="Tahoma" w:cs="Tahoma"/>
        </w:rPr>
        <w:t>30.</w:t>
      </w:r>
      <w:r w:rsidR="00CE1B5B">
        <w:rPr>
          <w:rFonts w:ascii="Tahoma" w:hAnsi="Tahoma" w:cs="Tahoma"/>
        </w:rPr>
        <w:t> </w:t>
      </w:r>
      <w:r w:rsidRPr="00CE1B5B">
        <w:rPr>
          <w:rFonts w:ascii="Tahoma" w:hAnsi="Tahoma" w:cs="Tahoma"/>
        </w:rPr>
        <w:t>9.</w:t>
      </w:r>
      <w:r w:rsidR="00CE1B5B">
        <w:rPr>
          <w:rFonts w:ascii="Tahoma" w:hAnsi="Tahoma" w:cs="Tahoma"/>
        </w:rPr>
        <w:t> </w:t>
      </w:r>
      <w:r w:rsidRPr="00CE1B5B">
        <w:rPr>
          <w:rFonts w:ascii="Tahoma" w:hAnsi="Tahoma" w:cs="Tahoma"/>
        </w:rPr>
        <w:t>2015. V upraveném rozpočtu na rok 2014 je počítáno s odčerpáním další úvěrové tranše ve</w:t>
      </w:r>
      <w:r w:rsidR="00CE1B5B">
        <w:rPr>
          <w:rFonts w:ascii="Tahoma" w:hAnsi="Tahoma" w:cs="Tahoma"/>
        </w:rPr>
        <w:t> </w:t>
      </w:r>
      <w:r w:rsidRPr="00CE1B5B">
        <w:rPr>
          <w:rFonts w:ascii="Tahoma" w:hAnsi="Tahoma" w:cs="Tahoma"/>
        </w:rPr>
        <w:t>výši 351.767 tis. Kč.</w:t>
      </w:r>
    </w:p>
    <w:p w:rsidR="00D9338A" w:rsidRPr="00CE1B5B" w:rsidRDefault="00D9338A" w:rsidP="00D9338A">
      <w:pPr>
        <w:pStyle w:val="FormtovanvHTML"/>
        <w:jc w:val="both"/>
        <w:rPr>
          <w:rFonts w:ascii="Tahoma" w:hAnsi="Tahoma" w:cs="Tahoma"/>
        </w:rPr>
      </w:pPr>
      <w:r w:rsidRPr="00CE1B5B">
        <w:rPr>
          <w:rFonts w:ascii="Tahoma" w:hAnsi="Tahoma" w:cs="Tahoma"/>
        </w:rPr>
        <w:t>Aktuální nesplacený zůstatek dosud načerpaných úvěrových tranší k 30. 4. 2014 činí 1.316.000 tis. Kč.</w:t>
      </w:r>
    </w:p>
    <w:p w:rsidR="00D9338A" w:rsidRPr="00CE1B5B" w:rsidRDefault="00D9338A" w:rsidP="00D9338A">
      <w:pPr>
        <w:pStyle w:val="FormtovanvHTML"/>
        <w:jc w:val="both"/>
        <w:rPr>
          <w:rFonts w:ascii="Tahoma" w:hAnsi="Tahoma" w:cs="Tahoma"/>
        </w:rPr>
      </w:pPr>
    </w:p>
    <w:p w:rsidR="00D9338A" w:rsidRPr="00CE1B5B" w:rsidRDefault="00D9338A" w:rsidP="00F56FA2">
      <w:pPr>
        <w:pStyle w:val="Styltab"/>
      </w:pPr>
      <w:r w:rsidRPr="00CE1B5B">
        <w:rPr>
          <w:b/>
        </w:rPr>
        <w:t>Tabulka č. 9:</w:t>
      </w:r>
      <w:r w:rsidRPr="00CE1B5B">
        <w:t xml:space="preserve"> Přehled projektů z části financovaných 1., 2. a 3. tranší EIB </w:t>
      </w:r>
      <w:r w:rsidR="00F56FA2" w:rsidRPr="00CE1B5B">
        <w:t xml:space="preserve">                                                             </w:t>
      </w:r>
      <w:r w:rsidRPr="00CE1B5B">
        <w:t>(v tis. Kč)</w:t>
      </w:r>
    </w:p>
    <w:p w:rsidR="00D9338A" w:rsidRPr="00CE1B5B" w:rsidRDefault="00D9338A" w:rsidP="00D9338A">
      <w:pPr>
        <w:rPr>
          <w:rFonts w:ascii="Tahoma" w:hAnsi="Tahoma" w:cs="Tahoma"/>
          <w:b/>
          <w:sz w:val="20"/>
          <w:szCs w:val="20"/>
        </w:rPr>
      </w:pPr>
      <w:r w:rsidRPr="00CE1B5B">
        <w:rPr>
          <w:rFonts w:ascii="Tahoma" w:hAnsi="Tahoma" w:cs="Tahoma"/>
          <w:b/>
          <w:sz w:val="20"/>
          <w:szCs w:val="20"/>
        </w:rPr>
        <w:object w:dxaOrig="9160" w:dyaOrig="8715">
          <v:shape id="_x0000_i1033" type="#_x0000_t75" style="width:458.25pt;height:435.75pt" o:ole="">
            <v:imagedata r:id="rId27" o:title=""/>
          </v:shape>
          <o:OLEObject Type="Embed" ProgID="Excel.Sheet.8" ShapeID="_x0000_i1033" DrawAspect="Content" ObjectID="_1462796440" r:id="rId28"/>
        </w:object>
      </w:r>
    </w:p>
    <w:p w:rsidR="00D9338A" w:rsidRPr="00CE1B5B" w:rsidRDefault="00D9338A" w:rsidP="00D9338A">
      <w:pPr>
        <w:rPr>
          <w:rFonts w:ascii="Tahoma" w:hAnsi="Tahoma" w:cs="Tahoma"/>
          <w:sz w:val="16"/>
          <w:szCs w:val="16"/>
        </w:rPr>
      </w:pPr>
    </w:p>
    <w:p w:rsidR="00D9338A" w:rsidRPr="00CE1B5B" w:rsidRDefault="00D9338A" w:rsidP="00D9338A">
      <w:pPr>
        <w:rPr>
          <w:rFonts w:ascii="Tahoma" w:hAnsi="Tahoma" w:cs="Tahoma"/>
          <w:sz w:val="16"/>
          <w:szCs w:val="16"/>
        </w:rPr>
      </w:pPr>
      <w:r w:rsidRPr="00CE1B5B">
        <w:rPr>
          <w:rFonts w:ascii="Tahoma" w:hAnsi="Tahoma" w:cs="Tahoma"/>
          <w:sz w:val="16"/>
          <w:szCs w:val="16"/>
        </w:rPr>
        <w:object w:dxaOrig="9160" w:dyaOrig="11181">
          <v:shape id="_x0000_i1034" type="#_x0000_t75" style="width:458.25pt;height:558.75pt" o:ole="">
            <v:imagedata r:id="rId29" o:title=""/>
          </v:shape>
          <o:OLEObject Type="Embed" ProgID="Excel.Sheet.8" ShapeID="_x0000_i1034" DrawAspect="Content" ObjectID="_1462796441" r:id="rId30"/>
        </w:object>
      </w:r>
      <w:r w:rsidRPr="00CE1B5B">
        <w:rPr>
          <w:rFonts w:ascii="Tahoma" w:hAnsi="Tahoma" w:cs="Tahoma"/>
          <w:sz w:val="16"/>
          <w:szCs w:val="16"/>
        </w:rPr>
        <w:t>Pozn.: Nedočerpané finanční prostředky 3. tranše ve výši 29.774  tis.  Kč budou použity na financování výše uvedených akcí, které plynule pokračuje v roce 2014.</w:t>
      </w:r>
    </w:p>
    <w:p w:rsidR="00D9338A" w:rsidRPr="00CE1B5B" w:rsidRDefault="00D9338A" w:rsidP="00D9338A">
      <w:pPr>
        <w:pStyle w:val="Zkladntext"/>
        <w:rPr>
          <w:rFonts w:ascii="Tahoma" w:hAnsi="Tahoma"/>
          <w:i/>
          <w:sz w:val="20"/>
          <w:u w:val="single"/>
        </w:rPr>
      </w:pPr>
    </w:p>
    <w:p w:rsidR="00D9338A" w:rsidRPr="00CE1B5B" w:rsidRDefault="00D9338A" w:rsidP="00D9338A">
      <w:pPr>
        <w:pStyle w:val="Zkladntext"/>
      </w:pPr>
      <w:r w:rsidRPr="00CE1B5B">
        <w:rPr>
          <w:rFonts w:ascii="Tahoma" w:hAnsi="Tahoma"/>
          <w:i/>
          <w:sz w:val="20"/>
          <w:u w:val="single"/>
        </w:rPr>
        <w:t>Úvěrový rámec Československé obchodní banky a.s.</w:t>
      </w:r>
    </w:p>
    <w:p w:rsidR="00D9338A" w:rsidRPr="00CE1B5B" w:rsidRDefault="00D9338A" w:rsidP="00D9338A">
      <w:pPr>
        <w:pStyle w:val="FormtovanvHTML"/>
        <w:jc w:val="both"/>
        <w:rPr>
          <w:rFonts w:ascii="Tahoma" w:hAnsi="Tahoma" w:cs="Tahoma"/>
        </w:rPr>
      </w:pPr>
      <w:r w:rsidRPr="00CE1B5B">
        <w:rPr>
          <w:rFonts w:ascii="Tahoma" w:hAnsi="Tahoma" w:cs="Tahoma"/>
        </w:rPr>
        <w:t xml:space="preserve">Za účelem pokrytí zvýšených finančních potřeb kraje souvisejících s předfinancováním výdajů na realizaci konkrétních projektů spolufinancovaných z evropských finančních zdrojů v letech 2010 až 2013 rozhodlo zastupitelstvo kraje usnesením č. 8/729 ze dne </w:t>
      </w:r>
      <w:smartTag w:uri="urn:schemas-microsoft-com:office:smarttags" w:element="date">
        <w:smartTagPr>
          <w:attr w:name="ls" w:val="trans"/>
          <w:attr w:name="Month" w:val="11"/>
          <w:attr w:name="Day" w:val="18"/>
          <w:attr w:name="Year" w:val="2009"/>
        </w:smartTagPr>
        <w:r w:rsidRPr="00CE1B5B">
          <w:rPr>
            <w:rFonts w:ascii="Tahoma" w:hAnsi="Tahoma" w:cs="Tahoma"/>
          </w:rPr>
          <w:t>18. 11. 2009</w:t>
        </w:r>
      </w:smartTag>
      <w:r w:rsidRPr="00CE1B5B">
        <w:rPr>
          <w:rFonts w:ascii="Tahoma" w:hAnsi="Tahoma" w:cs="Tahoma"/>
        </w:rPr>
        <w:t xml:space="preserve"> o uzavření smlouvy o poskytnutí úvěrového rámce ve výši </w:t>
      </w:r>
      <w:r w:rsidRPr="00CE1B5B">
        <w:rPr>
          <w:rFonts w:ascii="Tahoma" w:hAnsi="Tahoma" w:cs="Tahoma"/>
          <w:b/>
        </w:rPr>
        <w:t>1.500.000 tis. Kč</w:t>
      </w:r>
      <w:r w:rsidRPr="00CE1B5B">
        <w:rPr>
          <w:rFonts w:ascii="Tahoma" w:hAnsi="Tahoma" w:cs="Tahoma"/>
        </w:rPr>
        <w:t xml:space="preserve"> mezi </w:t>
      </w:r>
      <w:r w:rsidRPr="00CE1B5B">
        <w:rPr>
          <w:rFonts w:ascii="Tahoma" w:hAnsi="Tahoma" w:cs="Tahoma"/>
          <w:b/>
        </w:rPr>
        <w:t xml:space="preserve">Československou obchodní bankou, a.s. </w:t>
      </w:r>
      <w:r w:rsidRPr="00CE1B5B">
        <w:rPr>
          <w:rFonts w:ascii="Tahoma" w:hAnsi="Tahoma" w:cs="Tahoma"/>
        </w:rPr>
        <w:t xml:space="preserve">a Moravskoslezským krajem. Čerpání celkové výše úvěrového rámce formou jednotlivých dílčích úvěrů probíhalo v období od 1. 1. 2010 do </w:t>
      </w:r>
      <w:smartTag w:uri="urn:schemas-microsoft-com:office:smarttags" w:element="date">
        <w:smartTagPr>
          <w:attr w:name="ls" w:val="trans"/>
          <w:attr w:name="Month" w:val="12"/>
          <w:attr w:name="Day" w:val="31"/>
          <w:attr w:name="Year" w:val="2013"/>
        </w:smartTagPr>
        <w:r w:rsidRPr="00CE1B5B">
          <w:rPr>
            <w:rFonts w:ascii="Tahoma" w:hAnsi="Tahoma" w:cs="Tahoma"/>
          </w:rPr>
          <w:t>31. 12. 2013</w:t>
        </w:r>
      </w:smartTag>
      <w:r w:rsidRPr="00CE1B5B">
        <w:rPr>
          <w:rFonts w:ascii="Tahoma" w:hAnsi="Tahoma" w:cs="Tahoma"/>
        </w:rPr>
        <w:t xml:space="preserve">, maximální doba splatnosti každého z těchto dílčích úvěrů je stanovena nejpozději k datu </w:t>
      </w:r>
      <w:smartTag w:uri="urn:schemas-microsoft-com:office:smarttags" w:element="date">
        <w:smartTagPr>
          <w:attr w:name="ls" w:val="trans"/>
          <w:attr w:name="Month" w:val="12"/>
          <w:attr w:name="Day" w:val="31"/>
          <w:attr w:name="Year" w:val="2015"/>
        </w:smartTagPr>
        <w:r w:rsidRPr="00CE1B5B">
          <w:rPr>
            <w:rFonts w:ascii="Tahoma" w:hAnsi="Tahoma" w:cs="Tahoma"/>
          </w:rPr>
          <w:t>31. 12. 2015.</w:t>
        </w:r>
      </w:smartTag>
      <w:r w:rsidRPr="00CE1B5B">
        <w:rPr>
          <w:rFonts w:ascii="Tahoma" w:hAnsi="Tahoma" w:cs="Tahoma"/>
        </w:rPr>
        <w:t xml:space="preserve"> Na splácení jednotlivých dílčích úvěrů budou použity prostředky, které kraj obdrží od jednotlivých řídících orgánů (poskytovatelů dotací) za akce, na jejichž předfinancování si půjčil. Usnesením č. 21/1726 dne </w:t>
      </w:r>
      <w:smartTag w:uri="urn:schemas-microsoft-com:office:smarttags" w:element="date">
        <w:smartTagPr>
          <w:attr w:name="ls" w:val="trans"/>
          <w:attr w:name="Month" w:val="9"/>
          <w:attr w:name="Day" w:val="21"/>
          <w:attr w:name="Year" w:val="2011"/>
        </w:smartTagPr>
        <w:r w:rsidRPr="00CE1B5B">
          <w:rPr>
            <w:rFonts w:ascii="Tahoma" w:hAnsi="Tahoma" w:cs="Tahoma"/>
          </w:rPr>
          <w:t>21. 9. 2011</w:t>
        </w:r>
      </w:smartTag>
      <w:r w:rsidRPr="00CE1B5B">
        <w:rPr>
          <w:rFonts w:ascii="Tahoma" w:hAnsi="Tahoma" w:cs="Tahoma"/>
        </w:rPr>
        <w:t xml:space="preserve"> rozhodlo zastupitelstvo kraje o uzavření Dodatku č. 1 ke Smlouvě o poskytnutí úvěrového rámce </w:t>
      </w:r>
      <w:r w:rsidRPr="00CE1B5B">
        <w:rPr>
          <w:rFonts w:ascii="Tahoma" w:hAnsi="Tahoma" w:cs="Tahoma"/>
        </w:rPr>
        <w:lastRenderedPageBreak/>
        <w:t xml:space="preserve">č. 2268/09/5255 ze dne </w:t>
      </w:r>
      <w:smartTag w:uri="urn:schemas-microsoft-com:office:smarttags" w:element="date">
        <w:smartTagPr>
          <w:attr w:name="ls" w:val="trans"/>
          <w:attr w:name="Month" w:val="11"/>
          <w:attr w:name="Day" w:val="30"/>
          <w:attr w:name="Year" w:val="2009"/>
        </w:smartTagPr>
        <w:r w:rsidRPr="00CE1B5B">
          <w:rPr>
            <w:rFonts w:ascii="Tahoma" w:hAnsi="Tahoma" w:cs="Tahoma"/>
          </w:rPr>
          <w:t>30. 11. 2009</w:t>
        </w:r>
      </w:smartTag>
      <w:r w:rsidRPr="00CE1B5B">
        <w:rPr>
          <w:rFonts w:ascii="Tahoma" w:hAnsi="Tahoma" w:cs="Tahoma"/>
        </w:rPr>
        <w:t xml:space="preserve"> mezi Československou obchodní bankou, a.s. a Moravskoslezským krajem. Obsahem předmětného dodatku bylo zpřesnění účelu smlouvy, kdy bylo umožněno použít část prostředků úvěrového rámce i na úhradu vlastního podílu kraje. K 31. 12. 2013, tj. k poslednímu možnému dni čerpání úvěru, činil celkový nesplacený zůstatek 321.179 tis. Kč. </w:t>
      </w:r>
    </w:p>
    <w:p w:rsidR="00D9338A" w:rsidRPr="00CE1B5B" w:rsidRDefault="00D9338A" w:rsidP="00D9338A">
      <w:pPr>
        <w:spacing w:before="120" w:after="120"/>
        <w:jc w:val="both"/>
        <w:rPr>
          <w:rFonts w:ascii="Tahoma" w:hAnsi="Tahoma" w:cs="Tahoma"/>
          <w:sz w:val="20"/>
          <w:szCs w:val="20"/>
        </w:rPr>
      </w:pPr>
      <w:r w:rsidRPr="00CE1B5B">
        <w:rPr>
          <w:rFonts w:ascii="Tahoma" w:hAnsi="Tahoma" w:cs="Tahoma"/>
          <w:sz w:val="20"/>
          <w:szCs w:val="20"/>
        </w:rPr>
        <w:t>V upraveném rozpočtu na rok 2014 je počítáno s celkovou splátkou tohoto úvěrového rámce ve výši 305.007 tis. Kč.</w:t>
      </w:r>
    </w:p>
    <w:p w:rsidR="00D9338A" w:rsidRPr="00CE1B5B" w:rsidRDefault="00D9338A" w:rsidP="00D9338A">
      <w:pPr>
        <w:spacing w:before="120" w:after="120"/>
        <w:jc w:val="both"/>
        <w:rPr>
          <w:rFonts w:ascii="Tahoma" w:hAnsi="Tahoma" w:cs="Tahoma"/>
          <w:sz w:val="20"/>
          <w:szCs w:val="20"/>
        </w:rPr>
      </w:pPr>
      <w:r w:rsidRPr="00CE1B5B">
        <w:rPr>
          <w:rFonts w:ascii="Tahoma" w:hAnsi="Tahoma" w:cs="Tahoma"/>
          <w:sz w:val="20"/>
          <w:szCs w:val="20"/>
        </w:rPr>
        <w:t>K 30. 4. 2014 činí celkový nesplacený zůstatek úvěru 291.617 tis. Kč, z toho nesplacená výše úvěru použitého na úhradu vlastního podílu kraje činí 59.266 tis. Kč a nesplacená výše úvěru na již neuznané výdaje činí 24.801 tis. Kč.</w:t>
      </w:r>
    </w:p>
    <w:p w:rsidR="00D9338A" w:rsidRPr="00CE1B5B" w:rsidRDefault="00D9338A" w:rsidP="00F56FA2">
      <w:pPr>
        <w:pStyle w:val="Styltab"/>
        <w:rPr>
          <w:b/>
          <w:sz w:val="20"/>
          <w:szCs w:val="20"/>
        </w:rPr>
      </w:pPr>
      <w:r w:rsidRPr="00CE1B5B">
        <w:rPr>
          <w:b/>
        </w:rPr>
        <w:t>Tabulka č. 10:</w:t>
      </w:r>
      <w:r w:rsidRPr="00CE1B5B">
        <w:t xml:space="preserve"> Přehled projektů financovaných z poskytnutého úvěrového rámce ČSOB, a.s.</w:t>
      </w:r>
      <w:r w:rsidR="00F56FA2" w:rsidRPr="00CE1B5B">
        <w:t xml:space="preserve">                       </w:t>
      </w:r>
      <w:r w:rsidRPr="00CE1B5B">
        <w:rPr>
          <w:sz w:val="20"/>
          <w:szCs w:val="20"/>
        </w:rPr>
        <w:t>(v tis. Kč)</w:t>
      </w:r>
      <w:r w:rsidRPr="00CE1B5B">
        <w:rPr>
          <w:b/>
          <w:sz w:val="20"/>
          <w:szCs w:val="20"/>
        </w:rPr>
        <w:t xml:space="preserve"> </w:t>
      </w:r>
    </w:p>
    <w:p w:rsidR="00D9338A" w:rsidRPr="00CE1B5B" w:rsidRDefault="00CE1B5B" w:rsidP="00D9338A">
      <w:pPr>
        <w:jc w:val="both"/>
      </w:pPr>
      <w:r w:rsidRPr="00CE1B5B">
        <w:object w:dxaOrig="8936" w:dyaOrig="10122">
          <v:shape id="_x0000_i1035" type="#_x0000_t75" style="width:455.25pt;height:516pt" o:ole="">
            <v:imagedata r:id="rId31" o:title=""/>
          </v:shape>
          <o:OLEObject Type="Embed" ProgID="Excel.Sheet.12" ShapeID="_x0000_i1035" DrawAspect="Content" ObjectID="_1462796442" r:id="rId32"/>
        </w:object>
      </w:r>
    </w:p>
    <w:p w:rsidR="00D9338A" w:rsidRPr="00CE1B5B" w:rsidRDefault="00D9338A" w:rsidP="00D9338A">
      <w:pPr>
        <w:jc w:val="both"/>
        <w:rPr>
          <w:rFonts w:ascii="Tahoma" w:hAnsi="Tahoma" w:cs="Tahoma"/>
          <w:sz w:val="20"/>
          <w:szCs w:val="20"/>
        </w:rPr>
      </w:pPr>
    </w:p>
    <w:p w:rsidR="00D9338A" w:rsidRPr="00CE1B5B" w:rsidRDefault="00CE1B5B" w:rsidP="00D9338A">
      <w:pPr>
        <w:pStyle w:val="Mjtext"/>
        <w:spacing w:after="120"/>
        <w:rPr>
          <w:i/>
          <w:sz w:val="20"/>
          <w:szCs w:val="20"/>
          <w:u w:val="single"/>
        </w:rPr>
      </w:pPr>
      <w:r w:rsidRPr="00CE1B5B">
        <w:rPr>
          <w:i/>
          <w:sz w:val="20"/>
          <w:szCs w:val="20"/>
          <w:u w:val="single"/>
        </w:rPr>
        <w:object w:dxaOrig="8936" w:dyaOrig="7800">
          <v:shape id="_x0000_i1036" type="#_x0000_t75" style="width:458.25pt;height:399.75pt" o:ole="">
            <v:imagedata r:id="rId33" o:title=""/>
          </v:shape>
          <o:OLEObject Type="Embed" ProgID="Excel.Sheet.12" ShapeID="_x0000_i1036" DrawAspect="Content" ObjectID="_1462796443" r:id="rId34"/>
        </w:object>
      </w:r>
    </w:p>
    <w:p w:rsidR="00D9338A" w:rsidRPr="00CE1B5B" w:rsidRDefault="00D9338A" w:rsidP="00D9338A">
      <w:pPr>
        <w:pStyle w:val="Mjtext"/>
        <w:spacing w:after="120"/>
        <w:rPr>
          <w:i/>
          <w:sz w:val="20"/>
          <w:szCs w:val="20"/>
          <w:u w:val="single"/>
        </w:rPr>
      </w:pPr>
    </w:p>
    <w:p w:rsidR="00D9338A" w:rsidRPr="00CE1B5B" w:rsidRDefault="00D9338A" w:rsidP="00D9338A">
      <w:pPr>
        <w:pStyle w:val="Mjtext"/>
        <w:spacing w:after="120"/>
        <w:rPr>
          <w:i/>
          <w:sz w:val="20"/>
          <w:szCs w:val="20"/>
          <w:u w:val="single"/>
        </w:rPr>
      </w:pPr>
      <w:r w:rsidRPr="00CE1B5B">
        <w:rPr>
          <w:i/>
          <w:sz w:val="20"/>
          <w:szCs w:val="20"/>
          <w:u w:val="single"/>
        </w:rPr>
        <w:t>Úvěrový rámec České spořitelny a.s.</w:t>
      </w:r>
    </w:p>
    <w:p w:rsidR="00D9338A" w:rsidRPr="00CE1B5B" w:rsidRDefault="00D9338A" w:rsidP="00D9338A">
      <w:pPr>
        <w:jc w:val="both"/>
        <w:rPr>
          <w:rFonts w:ascii="Tahoma" w:hAnsi="Tahoma" w:cs="Tahoma"/>
          <w:sz w:val="20"/>
          <w:szCs w:val="20"/>
        </w:rPr>
      </w:pPr>
      <w:r w:rsidRPr="00CE1B5B">
        <w:rPr>
          <w:rFonts w:ascii="Tahoma" w:hAnsi="Tahoma" w:cs="Tahoma"/>
          <w:sz w:val="20"/>
          <w:szCs w:val="20"/>
        </w:rPr>
        <w:t xml:space="preserve">Za účelem zajištění finančních prostředků na dofinancování stávajícího programového období a zahájení přípravy akcí spolufinancovaných z programového období na léta 2014 – 2020 rozhodlo zastupitelstvo kraje usnesením č. 6/413 ze dne </w:t>
      </w:r>
      <w:smartTag w:uri="urn:schemas-microsoft-com:office:smarttags" w:element="date">
        <w:smartTagPr>
          <w:attr w:name="ls" w:val="trans"/>
          <w:attr w:name="Month" w:val="9"/>
          <w:attr w:name="Day" w:val="19"/>
          <w:attr w:name="Year" w:val="2013"/>
        </w:smartTagPr>
        <w:r w:rsidRPr="00CE1B5B">
          <w:rPr>
            <w:rFonts w:ascii="Tahoma" w:hAnsi="Tahoma" w:cs="Tahoma"/>
            <w:sz w:val="20"/>
            <w:szCs w:val="20"/>
          </w:rPr>
          <w:t>19. 9. 2013</w:t>
        </w:r>
      </w:smartTag>
      <w:r w:rsidRPr="00CE1B5B">
        <w:rPr>
          <w:rFonts w:ascii="Tahoma" w:hAnsi="Tahoma" w:cs="Tahoma"/>
          <w:sz w:val="20"/>
          <w:szCs w:val="20"/>
        </w:rPr>
        <w:t xml:space="preserve"> uzavřít smlouvu o poskytnutí úvěrového rámce ve výši </w:t>
      </w:r>
      <w:r w:rsidRPr="00CE1B5B">
        <w:rPr>
          <w:rFonts w:ascii="Tahoma" w:hAnsi="Tahoma" w:cs="Tahoma"/>
          <w:b/>
          <w:sz w:val="20"/>
          <w:szCs w:val="20"/>
        </w:rPr>
        <w:t>1.200.000 tis. Kč</w:t>
      </w:r>
      <w:r w:rsidRPr="00CE1B5B">
        <w:rPr>
          <w:rFonts w:ascii="Tahoma" w:hAnsi="Tahoma" w:cs="Tahoma"/>
          <w:sz w:val="20"/>
          <w:szCs w:val="20"/>
        </w:rPr>
        <w:t xml:space="preserve"> mezi </w:t>
      </w:r>
      <w:r w:rsidRPr="00CE1B5B">
        <w:rPr>
          <w:rFonts w:ascii="Tahoma" w:hAnsi="Tahoma" w:cs="Tahoma"/>
          <w:b/>
          <w:sz w:val="20"/>
          <w:szCs w:val="20"/>
        </w:rPr>
        <w:t>Českou spořitelnou, a.s.</w:t>
      </w:r>
      <w:r w:rsidRPr="00CE1B5B">
        <w:rPr>
          <w:rFonts w:ascii="Tahoma" w:hAnsi="Tahoma" w:cs="Tahoma"/>
          <w:sz w:val="20"/>
          <w:szCs w:val="20"/>
        </w:rPr>
        <w:t xml:space="preserve"> a Moravskoslezským krajem. Smlouva byla uzavřena dne </w:t>
      </w:r>
      <w:smartTag w:uri="urn:schemas-microsoft-com:office:smarttags" w:element="date">
        <w:smartTagPr>
          <w:attr w:name="ls" w:val="trans"/>
          <w:attr w:name="Month" w:val="9"/>
          <w:attr w:name="Day" w:val="24"/>
          <w:attr w:name="Year" w:val="2013"/>
        </w:smartTagPr>
        <w:r w:rsidRPr="00CE1B5B">
          <w:rPr>
            <w:rFonts w:ascii="Tahoma" w:hAnsi="Tahoma" w:cs="Tahoma"/>
            <w:sz w:val="20"/>
            <w:szCs w:val="20"/>
          </w:rPr>
          <w:t>24. 9. 2013.</w:t>
        </w:r>
      </w:smartTag>
      <w:r w:rsidRPr="00CE1B5B">
        <w:rPr>
          <w:rFonts w:ascii="Tahoma" w:hAnsi="Tahoma" w:cs="Tahoma"/>
          <w:sz w:val="20"/>
          <w:szCs w:val="20"/>
        </w:rPr>
        <w:t xml:space="preserve"> Čerpání celkové výše úvěrového rámce formou jednotlivých dílčích úvěrů bude probíhat v období od 1. 1. 2014 do </w:t>
      </w:r>
      <w:smartTag w:uri="urn:schemas-microsoft-com:office:smarttags" w:element="date">
        <w:smartTagPr>
          <w:attr w:name="ls" w:val="trans"/>
          <w:attr w:name="Month" w:val="12"/>
          <w:attr w:name="Day" w:val="31"/>
          <w:attr w:name="Year" w:val="2015"/>
        </w:smartTagPr>
        <w:r w:rsidRPr="00CE1B5B">
          <w:rPr>
            <w:rFonts w:ascii="Tahoma" w:hAnsi="Tahoma" w:cs="Tahoma"/>
            <w:sz w:val="20"/>
            <w:szCs w:val="20"/>
          </w:rPr>
          <w:t>31. 12. 2015</w:t>
        </w:r>
      </w:smartTag>
      <w:r w:rsidRPr="00CE1B5B">
        <w:rPr>
          <w:rFonts w:ascii="Tahoma" w:hAnsi="Tahoma" w:cs="Tahoma"/>
          <w:sz w:val="20"/>
          <w:szCs w:val="20"/>
        </w:rPr>
        <w:t xml:space="preserve">, konečný termín splatnosti všech dílčích úvěrů je stanovena nejpozději k datu </w:t>
      </w:r>
      <w:smartTag w:uri="urn:schemas-microsoft-com:office:smarttags" w:element="date">
        <w:smartTagPr>
          <w:attr w:name="ls" w:val="trans"/>
          <w:attr w:name="Month" w:val="12"/>
          <w:attr w:name="Day" w:val="31"/>
          <w:attr w:name="Year" w:val="2018"/>
        </w:smartTagPr>
        <w:r w:rsidRPr="00CE1B5B">
          <w:rPr>
            <w:rFonts w:ascii="Tahoma" w:hAnsi="Tahoma" w:cs="Tahoma"/>
            <w:sz w:val="20"/>
            <w:szCs w:val="20"/>
          </w:rPr>
          <w:t>31. 12. 2018.</w:t>
        </w:r>
      </w:smartTag>
      <w:r w:rsidRPr="00CE1B5B">
        <w:rPr>
          <w:rFonts w:ascii="Tahoma" w:hAnsi="Tahoma" w:cs="Tahoma"/>
          <w:sz w:val="20"/>
          <w:szCs w:val="20"/>
        </w:rPr>
        <w:t xml:space="preserve"> Na splácení jednotlivých dílčích úvěrů budou použity zejména prostředky, které kraj obdrží od jednotlivých řídících orgánů (poskytovatelů dotací) za akce, na</w:t>
      </w:r>
      <w:r w:rsidR="00CE1B5B">
        <w:rPr>
          <w:rFonts w:ascii="Tahoma" w:hAnsi="Tahoma" w:cs="Tahoma"/>
          <w:sz w:val="20"/>
          <w:szCs w:val="20"/>
        </w:rPr>
        <w:t> </w:t>
      </w:r>
      <w:r w:rsidRPr="00CE1B5B">
        <w:rPr>
          <w:rFonts w:ascii="Tahoma" w:hAnsi="Tahoma" w:cs="Tahoma"/>
          <w:sz w:val="20"/>
          <w:szCs w:val="20"/>
        </w:rPr>
        <w:t>jejichž předfinancování si půjčí (splacené prostředky mohou být znovu načerpány až do výše poskytnutého rámce). V upraveném rozpočtu kraje na rok 2014 je počítáno s odčerpáním tohoto úvěrového rámce ve výši 1.379.272 tis. Kč a se splátkou ve výši 333.360 tis. Kč.</w:t>
      </w:r>
    </w:p>
    <w:p w:rsidR="00D9338A" w:rsidRPr="00CE1B5B" w:rsidRDefault="00D9338A" w:rsidP="00D9338A">
      <w:pPr>
        <w:spacing w:before="120" w:after="120"/>
        <w:jc w:val="both"/>
        <w:rPr>
          <w:rFonts w:ascii="Tahoma" w:hAnsi="Tahoma" w:cs="Tahoma"/>
          <w:sz w:val="20"/>
          <w:szCs w:val="20"/>
        </w:rPr>
      </w:pPr>
      <w:r w:rsidRPr="00CE1B5B">
        <w:rPr>
          <w:rFonts w:ascii="Tahoma" w:hAnsi="Tahoma" w:cs="Tahoma"/>
          <w:sz w:val="20"/>
          <w:szCs w:val="20"/>
        </w:rPr>
        <w:t>K 30. 4. 2014 činí celkový nesplacený zůstatek úvěru 107.790 tis. Kč</w:t>
      </w:r>
    </w:p>
    <w:p w:rsidR="00D9338A" w:rsidRPr="00CE1B5B" w:rsidRDefault="00D9338A" w:rsidP="00D9338A">
      <w:pPr>
        <w:jc w:val="both"/>
        <w:rPr>
          <w:rFonts w:ascii="Tahoma" w:hAnsi="Tahoma" w:cs="Tahoma"/>
          <w:sz w:val="20"/>
          <w:szCs w:val="20"/>
        </w:rPr>
      </w:pPr>
    </w:p>
    <w:p w:rsidR="00D9338A" w:rsidRPr="00CE1B5B" w:rsidRDefault="00D9338A" w:rsidP="00F56FA2">
      <w:pPr>
        <w:pStyle w:val="Styltab"/>
      </w:pPr>
      <w:r w:rsidRPr="00CE1B5B">
        <w:rPr>
          <w:b/>
        </w:rPr>
        <w:lastRenderedPageBreak/>
        <w:t>Tabulka č. 11</w:t>
      </w:r>
      <w:r w:rsidRPr="00CE1B5B">
        <w:t>: Přehled projektů financovaných v roce 2014 z poskytnutého úvěrového rámce ČS, a.s. (v tis. Kč)</w:t>
      </w:r>
    </w:p>
    <w:p w:rsidR="00D9338A" w:rsidRPr="00CE1B5B" w:rsidRDefault="00CE1B5B" w:rsidP="00D9338A">
      <w:pPr>
        <w:jc w:val="both"/>
        <w:rPr>
          <w:rFonts w:ascii="Tahoma" w:hAnsi="Tahoma" w:cs="Tahoma"/>
          <w:sz w:val="20"/>
          <w:szCs w:val="20"/>
        </w:rPr>
      </w:pPr>
      <w:r w:rsidRPr="00CE1B5B">
        <w:rPr>
          <w:rFonts w:ascii="Tahoma" w:hAnsi="Tahoma" w:cs="Tahoma"/>
          <w:sz w:val="20"/>
          <w:szCs w:val="20"/>
        </w:rPr>
        <w:object w:dxaOrig="8888" w:dyaOrig="11727">
          <v:shape id="_x0000_i1037" type="#_x0000_t75" style="width:454.5pt;height:599.25pt" o:ole="">
            <v:imagedata r:id="rId35" o:title=""/>
          </v:shape>
          <o:OLEObject Type="Embed" ProgID="Excel.Sheet.12" ShapeID="_x0000_i1037" DrawAspect="Content" ObjectID="_1462796444" r:id="rId36"/>
        </w:object>
      </w:r>
    </w:p>
    <w:p w:rsidR="00D9338A" w:rsidRPr="00CE1B5B" w:rsidRDefault="00D9338A" w:rsidP="00D9338A">
      <w:pPr>
        <w:pStyle w:val="Zkladntext"/>
        <w:spacing w:after="120"/>
        <w:rPr>
          <w:rFonts w:ascii="Tahoma" w:hAnsi="Tahoma"/>
          <w:i/>
          <w:sz w:val="20"/>
          <w:u w:val="single"/>
        </w:rPr>
      </w:pPr>
    </w:p>
    <w:p w:rsidR="00D9338A" w:rsidRPr="00CE1B5B" w:rsidRDefault="00D9338A" w:rsidP="00D9338A">
      <w:pPr>
        <w:pStyle w:val="Zkladntext"/>
        <w:rPr>
          <w:rFonts w:ascii="Tahoma" w:hAnsi="Tahoma"/>
          <w:i/>
          <w:sz w:val="20"/>
          <w:u w:val="single"/>
        </w:rPr>
      </w:pPr>
      <w:r w:rsidRPr="00CE1B5B">
        <w:rPr>
          <w:rFonts w:ascii="Tahoma" w:hAnsi="Tahoma"/>
          <w:i/>
          <w:sz w:val="20"/>
          <w:u w:val="single"/>
        </w:rPr>
        <w:t>Zůstatky finančních prostředků na účtech kraje</w:t>
      </w:r>
    </w:p>
    <w:p w:rsidR="00D9338A" w:rsidRPr="00CE1B5B" w:rsidRDefault="00D9338A" w:rsidP="00D9338A">
      <w:pPr>
        <w:jc w:val="both"/>
        <w:rPr>
          <w:rFonts w:ascii="Tahoma" w:hAnsi="Tahoma" w:cs="Tahoma"/>
          <w:sz w:val="20"/>
          <w:szCs w:val="20"/>
        </w:rPr>
      </w:pPr>
    </w:p>
    <w:p w:rsidR="00D9338A" w:rsidRPr="00CE1B5B" w:rsidRDefault="00D9338A" w:rsidP="00D9338A">
      <w:pPr>
        <w:jc w:val="both"/>
        <w:rPr>
          <w:rFonts w:ascii="Tahoma" w:hAnsi="Tahoma" w:cs="Tahoma"/>
          <w:sz w:val="20"/>
          <w:szCs w:val="20"/>
        </w:rPr>
      </w:pPr>
      <w:r w:rsidRPr="00CE1B5B">
        <w:rPr>
          <w:rFonts w:ascii="Tahoma" w:hAnsi="Tahoma" w:cs="Tahoma"/>
          <w:sz w:val="20"/>
          <w:szCs w:val="20"/>
        </w:rPr>
        <w:t>K datu 30. 4. 2014 činil celkový zůstatek finančních prostředků kraje, vyjma depozitního účtu, fondu mikropůjček (=účet sdružených prostředků) a účtu pro přenesenou daňovou povinnost DPH, 2.010,2 mil. Kč. Tyto finanční prostředky byly uloženy na celkem 81 aktivních bankovních účtech (z</w:t>
      </w:r>
      <w:r w:rsidR="00CE1B5B">
        <w:rPr>
          <w:rFonts w:ascii="Tahoma" w:hAnsi="Tahoma" w:cs="Tahoma"/>
          <w:sz w:val="20"/>
          <w:szCs w:val="20"/>
        </w:rPr>
        <w:t> </w:t>
      </w:r>
      <w:r w:rsidRPr="00CE1B5B">
        <w:rPr>
          <w:rFonts w:ascii="Tahoma" w:hAnsi="Tahoma" w:cs="Tahoma"/>
          <w:sz w:val="20"/>
          <w:szCs w:val="20"/>
        </w:rPr>
        <w:t xml:space="preserve">toho 4 účtech termínovaných vkladů) vedených u 8 bank (Česká spořitelna, a.s., Komerční banka, a.s., </w:t>
      </w:r>
      <w:proofErr w:type="spellStart"/>
      <w:r w:rsidRPr="00CE1B5B">
        <w:rPr>
          <w:rFonts w:ascii="Tahoma" w:hAnsi="Tahoma" w:cs="Tahoma"/>
          <w:sz w:val="20"/>
          <w:szCs w:val="20"/>
        </w:rPr>
        <w:t>UnicreditBank</w:t>
      </w:r>
      <w:proofErr w:type="spellEnd"/>
      <w:r w:rsidRPr="00CE1B5B">
        <w:rPr>
          <w:rFonts w:ascii="Tahoma" w:hAnsi="Tahoma" w:cs="Tahoma"/>
          <w:sz w:val="20"/>
          <w:szCs w:val="20"/>
        </w:rPr>
        <w:t xml:space="preserve"> Czech Republic and Slovakia, a.s., Československá obchodní banka, a.s., Česká národní banka, Raiffeisenbank, a.s., PPF Banka, a.s. a J&amp;T Banky, a.s.). </w:t>
      </w:r>
    </w:p>
    <w:p w:rsidR="00D9338A" w:rsidRPr="00CE1B5B" w:rsidRDefault="00D9338A" w:rsidP="00D9338A">
      <w:pPr>
        <w:jc w:val="both"/>
        <w:rPr>
          <w:rFonts w:ascii="Tahoma" w:hAnsi="Tahoma" w:cs="Tahoma"/>
          <w:sz w:val="20"/>
          <w:szCs w:val="20"/>
        </w:rPr>
      </w:pPr>
    </w:p>
    <w:p w:rsidR="00D9338A" w:rsidRPr="00CE1B5B" w:rsidRDefault="00D9338A" w:rsidP="00D9338A">
      <w:pPr>
        <w:jc w:val="both"/>
        <w:rPr>
          <w:rFonts w:ascii="Tahoma" w:hAnsi="Tahoma" w:cs="Tahoma"/>
          <w:sz w:val="20"/>
          <w:szCs w:val="20"/>
        </w:rPr>
      </w:pPr>
      <w:r w:rsidRPr="00CE1B5B">
        <w:rPr>
          <w:rFonts w:ascii="Tahoma" w:hAnsi="Tahoma" w:cs="Tahoma"/>
          <w:sz w:val="20"/>
          <w:szCs w:val="20"/>
        </w:rPr>
        <w:t>Výše uvedené prostředky ve výši 2.010,2 mil. Kč byly rozmístěny takto:</w:t>
      </w:r>
    </w:p>
    <w:p w:rsidR="00D9338A" w:rsidRPr="00CE1B5B" w:rsidRDefault="00D9338A" w:rsidP="00D9338A">
      <w:pPr>
        <w:numPr>
          <w:ilvl w:val="0"/>
          <w:numId w:val="45"/>
        </w:numPr>
        <w:tabs>
          <w:tab w:val="clear" w:pos="720"/>
        </w:tabs>
        <w:ind w:left="360"/>
        <w:jc w:val="both"/>
        <w:rPr>
          <w:rFonts w:ascii="Tahoma" w:hAnsi="Tahoma" w:cs="Tahoma"/>
          <w:sz w:val="20"/>
          <w:szCs w:val="20"/>
        </w:rPr>
      </w:pPr>
      <w:r w:rsidRPr="00CE1B5B">
        <w:rPr>
          <w:rFonts w:ascii="Tahoma" w:hAnsi="Tahoma" w:cs="Tahoma"/>
          <w:sz w:val="20"/>
          <w:szCs w:val="20"/>
        </w:rPr>
        <w:t>165,7 mil. Kč na účtech peněžních fondů (fond životního prostředí – napojen do systému cash-</w:t>
      </w:r>
      <w:proofErr w:type="spellStart"/>
      <w:r w:rsidRPr="00CE1B5B">
        <w:rPr>
          <w:rFonts w:ascii="Tahoma" w:hAnsi="Tahoma" w:cs="Tahoma"/>
          <w:sz w:val="20"/>
          <w:szCs w:val="20"/>
        </w:rPr>
        <w:t>poolingu</w:t>
      </w:r>
      <w:proofErr w:type="spellEnd"/>
      <w:r w:rsidRPr="00CE1B5B">
        <w:rPr>
          <w:rFonts w:ascii="Tahoma" w:hAnsi="Tahoma" w:cs="Tahoma"/>
          <w:sz w:val="20"/>
          <w:szCs w:val="20"/>
        </w:rPr>
        <w:t xml:space="preserve"> s vyšším úrokovým zhodnocením, fond zajišťovací, sociální fond a fond regionální rozvojový s nastaveným fixním zvýhodněným úročením),</w:t>
      </w:r>
    </w:p>
    <w:p w:rsidR="00D9338A" w:rsidRPr="00CE1B5B" w:rsidRDefault="00CE1B5B" w:rsidP="00D9338A">
      <w:pPr>
        <w:numPr>
          <w:ilvl w:val="0"/>
          <w:numId w:val="45"/>
        </w:numPr>
        <w:tabs>
          <w:tab w:val="clear" w:pos="720"/>
        </w:tabs>
        <w:ind w:left="360"/>
        <w:jc w:val="both"/>
        <w:rPr>
          <w:rFonts w:ascii="Tahoma" w:hAnsi="Tahoma" w:cs="Tahoma"/>
          <w:sz w:val="20"/>
          <w:szCs w:val="20"/>
        </w:rPr>
      </w:pPr>
      <w:r>
        <w:rPr>
          <w:rFonts w:ascii="Tahoma" w:hAnsi="Tahoma" w:cs="Tahoma"/>
          <w:sz w:val="20"/>
          <w:szCs w:val="20"/>
        </w:rPr>
        <w:t>550</w:t>
      </w:r>
      <w:r w:rsidR="00D9338A" w:rsidRPr="00CE1B5B">
        <w:rPr>
          <w:rFonts w:ascii="Tahoma" w:hAnsi="Tahoma" w:cs="Tahoma"/>
          <w:sz w:val="20"/>
          <w:szCs w:val="20"/>
        </w:rPr>
        <w:t xml:space="preserve"> mil. Kč na 4 termínovaných účtech:</w:t>
      </w:r>
    </w:p>
    <w:p w:rsidR="00D9338A" w:rsidRPr="00CE1B5B" w:rsidRDefault="00CE1B5B" w:rsidP="00D9338A">
      <w:pPr>
        <w:numPr>
          <w:ilvl w:val="0"/>
          <w:numId w:val="49"/>
        </w:numPr>
        <w:tabs>
          <w:tab w:val="left" w:pos="720"/>
          <w:tab w:val="left" w:pos="1080"/>
        </w:tabs>
        <w:jc w:val="both"/>
        <w:rPr>
          <w:rFonts w:ascii="Tahoma" w:hAnsi="Tahoma" w:cs="Tahoma"/>
          <w:sz w:val="20"/>
          <w:szCs w:val="20"/>
        </w:rPr>
      </w:pPr>
      <w:r>
        <w:rPr>
          <w:rFonts w:ascii="Tahoma" w:hAnsi="Tahoma" w:cs="Tahoma"/>
          <w:sz w:val="20"/>
          <w:szCs w:val="20"/>
        </w:rPr>
        <w:t>150</w:t>
      </w:r>
      <w:r w:rsidR="00D9338A" w:rsidRPr="00CE1B5B">
        <w:rPr>
          <w:rFonts w:ascii="Tahoma" w:hAnsi="Tahoma" w:cs="Tahoma"/>
          <w:sz w:val="20"/>
          <w:szCs w:val="20"/>
        </w:rPr>
        <w:t xml:space="preserve"> mil. Kč na dlouhodobém (tříletém) termínovaném vkladu u RFB s 3-měsíční výpovědní  lhůtou a měsíčním připisováním úroků na účet kraje, </w:t>
      </w:r>
    </w:p>
    <w:p w:rsidR="00D9338A" w:rsidRPr="00CE1B5B" w:rsidRDefault="00CE1B5B" w:rsidP="00D9338A">
      <w:pPr>
        <w:numPr>
          <w:ilvl w:val="0"/>
          <w:numId w:val="49"/>
        </w:numPr>
        <w:tabs>
          <w:tab w:val="left" w:pos="720"/>
          <w:tab w:val="left" w:pos="1080"/>
        </w:tabs>
        <w:jc w:val="both"/>
        <w:rPr>
          <w:rFonts w:ascii="Tahoma" w:hAnsi="Tahoma" w:cs="Tahoma"/>
          <w:sz w:val="20"/>
          <w:szCs w:val="20"/>
        </w:rPr>
      </w:pPr>
      <w:r>
        <w:rPr>
          <w:rFonts w:ascii="Tahoma" w:hAnsi="Tahoma" w:cs="Tahoma"/>
          <w:sz w:val="20"/>
          <w:szCs w:val="20"/>
        </w:rPr>
        <w:t>350</w:t>
      </w:r>
      <w:r w:rsidR="00D9338A" w:rsidRPr="00CE1B5B">
        <w:rPr>
          <w:rFonts w:ascii="Tahoma" w:hAnsi="Tahoma" w:cs="Tahoma"/>
          <w:sz w:val="20"/>
          <w:szCs w:val="20"/>
        </w:rPr>
        <w:t xml:space="preserve"> mil. Kč na 2 speciálních zhodnocovacích účtech s 3-měsíční výpovědní lhůtou u J&amp;T Banky, a.s., které jsou založeny na principu krátkodobých termínovaných vkladů a čtvrtletním připisováním úroků,</w:t>
      </w:r>
    </w:p>
    <w:p w:rsidR="00D9338A" w:rsidRPr="00CE1B5B" w:rsidRDefault="00CE1B5B" w:rsidP="00D9338A">
      <w:pPr>
        <w:numPr>
          <w:ilvl w:val="0"/>
          <w:numId w:val="49"/>
        </w:numPr>
        <w:tabs>
          <w:tab w:val="left" w:pos="720"/>
          <w:tab w:val="left" w:pos="1080"/>
        </w:tabs>
        <w:jc w:val="both"/>
        <w:rPr>
          <w:rFonts w:ascii="Tahoma" w:hAnsi="Tahoma" w:cs="Tahoma"/>
          <w:sz w:val="20"/>
          <w:szCs w:val="20"/>
        </w:rPr>
      </w:pPr>
      <w:r>
        <w:rPr>
          <w:rFonts w:ascii="Tahoma" w:hAnsi="Tahoma" w:cs="Tahoma"/>
          <w:sz w:val="20"/>
          <w:szCs w:val="20"/>
        </w:rPr>
        <w:t>50</w:t>
      </w:r>
      <w:r w:rsidR="00D9338A" w:rsidRPr="00CE1B5B">
        <w:rPr>
          <w:rFonts w:ascii="Tahoma" w:hAnsi="Tahoma" w:cs="Tahoma"/>
          <w:sz w:val="20"/>
          <w:szCs w:val="20"/>
        </w:rPr>
        <w:t xml:space="preserve"> mil. na spořícím vkladu s 33 denní výpovědní lhůtou, rovněž u J&amp;T Banky, a.s.,</w:t>
      </w:r>
    </w:p>
    <w:p w:rsidR="00D9338A" w:rsidRPr="00CE1B5B" w:rsidRDefault="00D9338A" w:rsidP="00D9338A">
      <w:pPr>
        <w:numPr>
          <w:ilvl w:val="0"/>
          <w:numId w:val="45"/>
        </w:numPr>
        <w:tabs>
          <w:tab w:val="clear" w:pos="720"/>
        </w:tabs>
        <w:ind w:left="360"/>
        <w:jc w:val="both"/>
        <w:rPr>
          <w:rFonts w:ascii="Tahoma" w:hAnsi="Tahoma" w:cs="Tahoma"/>
        </w:rPr>
      </w:pPr>
      <w:r w:rsidRPr="00CE1B5B">
        <w:rPr>
          <w:rFonts w:ascii="Tahoma" w:hAnsi="Tahoma" w:cs="Tahoma"/>
          <w:sz w:val="20"/>
          <w:szCs w:val="20"/>
        </w:rPr>
        <w:t>397,7 mil. Kč na zhodnocovacích spořících účtech u PPF Banky, a.s. bez výpovědní lhůty,</w:t>
      </w:r>
    </w:p>
    <w:p w:rsidR="00D9338A" w:rsidRPr="00CE1B5B" w:rsidRDefault="00D9338A" w:rsidP="00D9338A">
      <w:pPr>
        <w:numPr>
          <w:ilvl w:val="0"/>
          <w:numId w:val="45"/>
        </w:numPr>
        <w:tabs>
          <w:tab w:val="clear" w:pos="720"/>
        </w:tabs>
        <w:ind w:left="360"/>
        <w:jc w:val="both"/>
      </w:pPr>
      <w:r w:rsidRPr="00CE1B5B">
        <w:rPr>
          <w:rFonts w:ascii="Tahoma" w:hAnsi="Tahoma" w:cs="Tahoma"/>
          <w:sz w:val="20"/>
          <w:szCs w:val="20"/>
        </w:rPr>
        <w:t>684,9 mil. Kč na účtech napojených do systému tzv. cash-</w:t>
      </w:r>
      <w:proofErr w:type="spellStart"/>
      <w:r w:rsidRPr="00CE1B5B">
        <w:rPr>
          <w:rFonts w:ascii="Tahoma" w:hAnsi="Tahoma" w:cs="Tahoma"/>
          <w:sz w:val="20"/>
          <w:szCs w:val="20"/>
        </w:rPr>
        <w:t>poolingu</w:t>
      </w:r>
      <w:proofErr w:type="spellEnd"/>
      <w:r w:rsidRPr="00CE1B5B">
        <w:rPr>
          <w:rFonts w:ascii="Tahoma" w:hAnsi="Tahoma" w:cs="Tahoma"/>
          <w:sz w:val="20"/>
          <w:szCs w:val="20"/>
        </w:rPr>
        <w:t xml:space="preserve">, který umožňuje dosáhnout i na klasických běžných účtech vyššího úrokového zhodnocení bez jakéhokoli omezení. Z </w:t>
      </w:r>
      <w:r w:rsidRPr="00CE1B5B">
        <w:rPr>
          <w:rFonts w:ascii="Arial" w:hAnsi="Arial" w:cs="Arial"/>
          <w:sz w:val="20"/>
          <w:szCs w:val="20"/>
        </w:rPr>
        <w:t>uvedené částky</w:t>
      </w:r>
      <w:r w:rsidRPr="00CE1B5B">
        <w:rPr>
          <w:rFonts w:ascii="Tahoma" w:hAnsi="Tahoma" w:cs="Tahoma"/>
          <w:sz w:val="20"/>
          <w:szCs w:val="20"/>
        </w:rPr>
        <w:t xml:space="preserve"> tvoří 274,3 mil. Kč prostředky, které jsou uloženy na účtech globálních grantů. Do tohoto systému jsou dále napojeny i účty 71 příspěvkových organizací kraje, které měly v tomto systému uloženy k 30. 4. 2014 prostředky ve výši 815,1 mil. Kč,</w:t>
      </w:r>
    </w:p>
    <w:p w:rsidR="00D9338A" w:rsidRPr="00CE1B5B" w:rsidRDefault="00D9338A" w:rsidP="00D9338A">
      <w:pPr>
        <w:numPr>
          <w:ilvl w:val="0"/>
          <w:numId w:val="45"/>
        </w:numPr>
        <w:tabs>
          <w:tab w:val="clear" w:pos="720"/>
        </w:tabs>
        <w:ind w:left="360"/>
        <w:jc w:val="both"/>
      </w:pPr>
      <w:r w:rsidRPr="00CE1B5B">
        <w:rPr>
          <w:rFonts w:ascii="Tahoma" w:hAnsi="Tahoma" w:cs="Tahoma"/>
          <w:sz w:val="20"/>
          <w:szCs w:val="20"/>
        </w:rPr>
        <w:t>29,6 mil. Kč na účtech školských prostředků,</w:t>
      </w:r>
    </w:p>
    <w:p w:rsidR="00D9338A" w:rsidRPr="00CE1B5B" w:rsidRDefault="00D9338A" w:rsidP="00D9338A">
      <w:pPr>
        <w:numPr>
          <w:ilvl w:val="0"/>
          <w:numId w:val="45"/>
        </w:numPr>
        <w:tabs>
          <w:tab w:val="clear" w:pos="720"/>
        </w:tabs>
        <w:ind w:left="360"/>
        <w:jc w:val="both"/>
        <w:rPr>
          <w:rFonts w:ascii="Tahoma" w:hAnsi="Tahoma" w:cs="Tahoma"/>
          <w:sz w:val="20"/>
          <w:szCs w:val="20"/>
          <w:u w:val="single"/>
        </w:rPr>
      </w:pPr>
      <w:r w:rsidRPr="00CE1B5B">
        <w:rPr>
          <w:rFonts w:ascii="Tahoma" w:hAnsi="Tahoma" w:cs="Tahoma"/>
          <w:sz w:val="20"/>
          <w:szCs w:val="20"/>
        </w:rPr>
        <w:t xml:space="preserve">180,2 mil. Kč na ostatních účtech určených pro projekty EU a účtech určených pro běžný platební styk, </w:t>
      </w:r>
    </w:p>
    <w:p w:rsidR="00D9338A" w:rsidRPr="00CE1B5B" w:rsidRDefault="00D9338A" w:rsidP="00D9338A">
      <w:pPr>
        <w:numPr>
          <w:ilvl w:val="0"/>
          <w:numId w:val="45"/>
        </w:numPr>
        <w:tabs>
          <w:tab w:val="clear" w:pos="720"/>
        </w:tabs>
        <w:ind w:left="360"/>
        <w:jc w:val="both"/>
        <w:rPr>
          <w:rFonts w:ascii="Tahoma" w:hAnsi="Tahoma" w:cs="Tahoma"/>
          <w:sz w:val="20"/>
          <w:szCs w:val="20"/>
          <w:u w:val="single"/>
        </w:rPr>
      </w:pPr>
      <w:r w:rsidRPr="00CE1B5B">
        <w:rPr>
          <w:rFonts w:ascii="Tahoma" w:hAnsi="Tahoma" w:cs="Tahoma"/>
          <w:sz w:val="20"/>
          <w:szCs w:val="20"/>
        </w:rPr>
        <w:t xml:space="preserve">2,1 mil. Kč na devizových účtech. </w:t>
      </w:r>
    </w:p>
    <w:p w:rsidR="00D9338A" w:rsidRPr="00CE1B5B" w:rsidRDefault="00D9338A" w:rsidP="00D9338A"/>
    <w:p w:rsidR="00D9338A" w:rsidRPr="00CE1B5B" w:rsidRDefault="00D9338A" w:rsidP="00D9338A"/>
    <w:p w:rsidR="00D9338A" w:rsidRPr="00CE1B5B" w:rsidRDefault="00D9338A" w:rsidP="00D9338A">
      <w:r w:rsidRPr="00CE1B5B">
        <w:rPr>
          <w:noProof/>
        </w:rPr>
        <w:drawing>
          <wp:inline distT="0" distB="0" distL="0" distR="0" wp14:anchorId="7B97E93E" wp14:editId="0DDBE10B">
            <wp:extent cx="5991225" cy="2333625"/>
            <wp:effectExtent l="0" t="0" r="9525" b="9525"/>
            <wp:docPr id="6" name="Graf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9338A" w:rsidRPr="00CE1B5B" w:rsidRDefault="00D9338A" w:rsidP="00D9338A">
      <w:pPr>
        <w:jc w:val="both"/>
        <w:rPr>
          <w:rFonts w:ascii="Tahoma" w:hAnsi="Tahoma" w:cs="Tahoma"/>
          <w:sz w:val="20"/>
          <w:szCs w:val="20"/>
        </w:rPr>
      </w:pPr>
    </w:p>
    <w:p w:rsidR="00D9338A" w:rsidRPr="00CE1B5B" w:rsidRDefault="00D9338A" w:rsidP="00D9338A"/>
    <w:p w:rsidR="00D9338A" w:rsidRPr="00CE1B5B" w:rsidRDefault="00D9338A" w:rsidP="00D9338A"/>
    <w:p w:rsidR="00D9338A" w:rsidRPr="00CE1B5B" w:rsidRDefault="00F56FA2" w:rsidP="00D9338A">
      <w:r w:rsidRPr="00CE1B5B">
        <w:rPr>
          <w:noProof/>
        </w:rPr>
        <w:drawing>
          <wp:inline distT="0" distB="0" distL="0" distR="0" wp14:anchorId="0939B60C" wp14:editId="060998E5">
            <wp:extent cx="6048375" cy="2495550"/>
            <wp:effectExtent l="0" t="0" r="9525" b="19050"/>
            <wp:docPr id="1" name="Graf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56FA2" w:rsidRPr="00CE1B5B" w:rsidRDefault="00F56FA2" w:rsidP="007D29FE">
      <w:pPr>
        <w:pStyle w:val="Nadpis2"/>
        <w:rPr>
          <w:rFonts w:ascii="Tahoma" w:hAnsi="Tahoma" w:cs="Tahoma"/>
          <w:sz w:val="24"/>
        </w:rPr>
      </w:pPr>
    </w:p>
    <w:p w:rsidR="00014B18" w:rsidRPr="00CE1B5B" w:rsidRDefault="00014B18" w:rsidP="007D29FE">
      <w:pPr>
        <w:pStyle w:val="Nadpis2"/>
        <w:rPr>
          <w:rFonts w:ascii="Tahoma" w:hAnsi="Tahoma" w:cs="Tahoma"/>
          <w:sz w:val="24"/>
        </w:rPr>
      </w:pPr>
      <w:r w:rsidRPr="00CE1B5B">
        <w:rPr>
          <w:rFonts w:ascii="Tahoma" w:hAnsi="Tahoma" w:cs="Tahoma"/>
          <w:sz w:val="24"/>
        </w:rPr>
        <w:t>Výdajová část rozpočtu</w:t>
      </w:r>
    </w:p>
    <w:p w:rsidR="00014B18" w:rsidRPr="00CE1B5B" w:rsidRDefault="00014B18" w:rsidP="00652DAB">
      <w:pPr>
        <w:jc w:val="both"/>
        <w:rPr>
          <w:rFonts w:ascii="Tahoma" w:hAnsi="Tahoma" w:cs="Tahoma"/>
          <w:sz w:val="20"/>
          <w:szCs w:val="20"/>
        </w:rPr>
      </w:pPr>
    </w:p>
    <w:p w:rsidR="00014B18" w:rsidRPr="00CE1B5B" w:rsidRDefault="00014B18" w:rsidP="00652DAB">
      <w:pPr>
        <w:jc w:val="both"/>
        <w:rPr>
          <w:rFonts w:ascii="Tahoma" w:hAnsi="Tahoma" w:cs="Tahoma"/>
          <w:sz w:val="20"/>
          <w:szCs w:val="20"/>
        </w:rPr>
      </w:pPr>
      <w:r w:rsidRPr="00CE1B5B">
        <w:rPr>
          <w:rFonts w:ascii="Tahoma" w:hAnsi="Tahoma" w:cs="Tahoma"/>
          <w:sz w:val="20"/>
          <w:szCs w:val="20"/>
        </w:rPr>
        <w:t>Výdaje kraje jsou celkem čerpány k </w:t>
      </w:r>
      <w:r w:rsidR="00061E36" w:rsidRPr="00CE1B5B">
        <w:rPr>
          <w:rFonts w:ascii="Tahoma" w:hAnsi="Tahoma" w:cs="Tahoma"/>
          <w:sz w:val="20"/>
          <w:szCs w:val="20"/>
        </w:rPr>
        <w:t>30. 4. 2014</w:t>
      </w:r>
      <w:r w:rsidRPr="00CE1B5B">
        <w:rPr>
          <w:rFonts w:ascii="Tahoma" w:hAnsi="Tahoma" w:cs="Tahoma"/>
          <w:sz w:val="20"/>
          <w:szCs w:val="20"/>
        </w:rPr>
        <w:t xml:space="preserve"> ve výši </w:t>
      </w:r>
      <w:r w:rsidR="00CE1B5B">
        <w:rPr>
          <w:rFonts w:ascii="Tahoma" w:hAnsi="Tahoma" w:cs="Tahoma"/>
          <w:sz w:val="20"/>
          <w:szCs w:val="20"/>
        </w:rPr>
        <w:t>5.203.151</w:t>
      </w:r>
      <w:r w:rsidRPr="00CE1B5B">
        <w:rPr>
          <w:rFonts w:ascii="Tahoma" w:hAnsi="Tahoma" w:cs="Tahoma"/>
          <w:sz w:val="20"/>
          <w:szCs w:val="20"/>
        </w:rPr>
        <w:t xml:space="preserve"> tis. Kč, což činí </w:t>
      </w:r>
      <w:r w:rsidR="00CE1B5B">
        <w:rPr>
          <w:rFonts w:ascii="Tahoma" w:hAnsi="Tahoma" w:cs="Tahoma"/>
          <w:sz w:val="20"/>
          <w:szCs w:val="20"/>
        </w:rPr>
        <w:t>27,6</w:t>
      </w:r>
      <w:r w:rsidRPr="00CE1B5B">
        <w:rPr>
          <w:rFonts w:ascii="Tahoma" w:hAnsi="Tahoma" w:cs="Tahoma"/>
          <w:sz w:val="20"/>
          <w:szCs w:val="20"/>
        </w:rPr>
        <w:t> % upraveného rozpočtu.</w:t>
      </w:r>
    </w:p>
    <w:p w:rsidR="00014B18" w:rsidRPr="00CE1B5B" w:rsidRDefault="00014B18" w:rsidP="00652DAB">
      <w:pPr>
        <w:jc w:val="both"/>
        <w:rPr>
          <w:rFonts w:ascii="Tahoma" w:hAnsi="Tahoma" w:cs="Tahoma"/>
          <w:sz w:val="20"/>
          <w:szCs w:val="20"/>
        </w:rPr>
      </w:pPr>
    </w:p>
    <w:p w:rsidR="00014B18" w:rsidRPr="00CE1B5B" w:rsidRDefault="00021E0B" w:rsidP="00652DAB">
      <w:pPr>
        <w:jc w:val="both"/>
        <w:rPr>
          <w:rFonts w:ascii="Tahoma" w:hAnsi="Tahoma" w:cs="Tahoma"/>
          <w:sz w:val="20"/>
          <w:szCs w:val="20"/>
        </w:rPr>
      </w:pPr>
      <w:r w:rsidRPr="00CE1B5B">
        <w:rPr>
          <w:rFonts w:ascii="Tahoma" w:hAnsi="Tahoma" w:cs="Tahoma"/>
          <w:sz w:val="20"/>
          <w:szCs w:val="20"/>
        </w:rPr>
        <w:object w:dxaOrig="9112" w:dyaOrig="1563">
          <v:shape id="_x0000_i1038" type="#_x0000_t75" style="width:455.25pt;height:78pt" o:ole="">
            <v:imagedata r:id="rId39" o:title=""/>
          </v:shape>
          <o:OLEObject Type="Embed" ProgID="Excel.Sheet.8" ShapeID="_x0000_i1038" DrawAspect="Content" ObjectID="_1462796445" r:id="rId40"/>
        </w:object>
      </w:r>
    </w:p>
    <w:p w:rsidR="00D33C79" w:rsidRPr="00CE1B5B" w:rsidRDefault="00D33C79" w:rsidP="00652DAB">
      <w:pPr>
        <w:jc w:val="both"/>
        <w:rPr>
          <w:rFonts w:ascii="Tahoma" w:hAnsi="Tahoma" w:cs="Tahoma"/>
          <w:sz w:val="20"/>
          <w:szCs w:val="20"/>
        </w:rPr>
      </w:pPr>
    </w:p>
    <w:p w:rsidR="00D33C79" w:rsidRPr="00CE1B5B" w:rsidRDefault="00D33C79" w:rsidP="00652DAB">
      <w:pPr>
        <w:jc w:val="both"/>
        <w:rPr>
          <w:rFonts w:ascii="Tahoma" w:hAnsi="Tahoma" w:cs="Tahoma"/>
          <w:sz w:val="20"/>
          <w:szCs w:val="20"/>
        </w:rPr>
      </w:pPr>
    </w:p>
    <w:p w:rsidR="00014B18" w:rsidRPr="00CE1B5B" w:rsidRDefault="00CE1B5B" w:rsidP="00E477E2">
      <w:pPr>
        <w:jc w:val="both"/>
        <w:rPr>
          <w:rFonts w:ascii="Tahoma" w:hAnsi="Tahoma" w:cs="Tahoma"/>
          <w:sz w:val="20"/>
          <w:szCs w:val="20"/>
        </w:rPr>
      </w:pPr>
      <w:r w:rsidRPr="00CE1B5B">
        <w:rPr>
          <w:rFonts w:ascii="Tahoma" w:hAnsi="Tahoma" w:cs="Tahoma"/>
          <w:sz w:val="20"/>
          <w:szCs w:val="20"/>
        </w:rPr>
        <w:object w:dxaOrig="8731" w:dyaOrig="4393">
          <v:shape id="_x0000_i1039" type="#_x0000_t75" style="width:455.25pt;height:229.5pt" o:ole="">
            <v:imagedata r:id="rId41" o:title=""/>
          </v:shape>
          <o:OLEObject Type="Embed" ProgID="Excel.Sheet.8" ShapeID="_x0000_i1039" DrawAspect="Content" ObjectID="_1462796446" r:id="rId42"/>
        </w:object>
      </w:r>
    </w:p>
    <w:p w:rsidR="00014B18" w:rsidRPr="00CE1B5B" w:rsidRDefault="00014B18" w:rsidP="00147D37">
      <w:pPr>
        <w:jc w:val="both"/>
        <w:rPr>
          <w:rFonts w:ascii="Tahoma" w:hAnsi="Tahoma" w:cs="Tahoma"/>
          <w:sz w:val="20"/>
          <w:szCs w:val="20"/>
        </w:rPr>
      </w:pPr>
    </w:p>
    <w:p w:rsidR="00014B18" w:rsidRPr="00CE1B5B" w:rsidRDefault="00014B18" w:rsidP="00822A28">
      <w:pPr>
        <w:pStyle w:val="Zkladntext"/>
        <w:rPr>
          <w:rFonts w:ascii="Tahoma" w:hAnsi="Tahoma" w:cs="Tahoma"/>
          <w:b/>
          <w:sz w:val="20"/>
        </w:rPr>
      </w:pPr>
    </w:p>
    <w:p w:rsidR="00014B18" w:rsidRPr="00CE1B5B" w:rsidRDefault="00014B18" w:rsidP="00822A28">
      <w:pPr>
        <w:pStyle w:val="Zkladntext"/>
        <w:rPr>
          <w:rFonts w:ascii="Tahoma" w:hAnsi="Tahoma" w:cs="Tahoma"/>
          <w:b/>
          <w:sz w:val="20"/>
        </w:rPr>
      </w:pPr>
      <w:r w:rsidRPr="00CE1B5B">
        <w:rPr>
          <w:rFonts w:ascii="Tahoma" w:hAnsi="Tahoma" w:cs="Tahoma"/>
          <w:b/>
          <w:sz w:val="20"/>
        </w:rPr>
        <w:t>Vlastní správní činnost kraje</w:t>
      </w:r>
    </w:p>
    <w:p w:rsidR="00014B18" w:rsidRPr="00CE1B5B" w:rsidRDefault="00014B18" w:rsidP="00822A28">
      <w:pPr>
        <w:jc w:val="both"/>
        <w:rPr>
          <w:rFonts w:ascii="Tahoma" w:hAnsi="Tahoma" w:cs="Tahoma"/>
          <w:sz w:val="20"/>
          <w:szCs w:val="20"/>
        </w:rPr>
      </w:pPr>
    </w:p>
    <w:p w:rsidR="00962325" w:rsidRPr="00CE1B5B" w:rsidRDefault="00962325" w:rsidP="00962325">
      <w:pPr>
        <w:jc w:val="both"/>
        <w:rPr>
          <w:rFonts w:ascii="Tahoma" w:hAnsi="Tahoma" w:cs="Tahoma"/>
          <w:sz w:val="20"/>
          <w:szCs w:val="20"/>
        </w:rPr>
      </w:pPr>
      <w:r w:rsidRPr="00CE1B5B">
        <w:rPr>
          <w:rFonts w:ascii="Tahoma" w:hAnsi="Tahoma" w:cs="Tahoma"/>
          <w:sz w:val="20"/>
          <w:szCs w:val="20"/>
        </w:rPr>
        <w:t>Schválený rozpočet výdajů ve výši 503.449 tis. Kč v odvětví vlastní správní činnost kraje byl celkově upraven na částku 489.060 tis. Kč. U samosprávných činností a jiných činnosti zajišťovaných prostřednictvím krajského úřadu byl navýšen rozpočet o 6.435 tis. Kč, z toho 1.710 tis. Kč představuje zapojení části zůstatku finančních prostředků rozpočtového hospodaření roku 2013 do rozpočtu kraje na rok 2014 určených na provedení bezpečnostního auditu a na administraci zadávacích řízení a dále na výplatu odstupného zaměstnancům, se kterými byl z důvodu organizačních změn k 1. 1. 2014 ukončen pracovní poměr. Částka 3.621 tis. Kč byla převedena z odvětví regionálního rozvoje z prostředků vyhrazených na přípravné práce na projektech a bude použita na zvýšené mzdové výdaje v souvislosti s navýšením pracovníků podílejících se na přípravě a realizaci projektů. Na zajištění konzultačních, poradenských a bezpečnostních služeb v oblasti ochrany osob, majetku a informací kraje byly vyčleněny prostředky ve výši 1.000 tis. Kč. V souvislosti se zabezpečením předškolního vzdělávání dětí zaměstnanců kraje byla uzavřena dohoda s Mateřskou školou Na Jízdárně Ostrava. Na úhradu finančních závazků vyplývajících z této dohody budou v roce 2014 použity prostředky ve výši 219 tis. Kč původně rozpočtované na odvody za neplnění povinnosti zaměstnávat zdravotně postižené, kde se na</w:t>
      </w:r>
      <w:r w:rsidR="00CE1B5B">
        <w:rPr>
          <w:rFonts w:ascii="Tahoma" w:hAnsi="Tahoma" w:cs="Tahoma"/>
          <w:sz w:val="20"/>
          <w:szCs w:val="20"/>
        </w:rPr>
        <w:t> </w:t>
      </w:r>
      <w:r w:rsidRPr="00CE1B5B">
        <w:rPr>
          <w:rFonts w:ascii="Tahoma" w:hAnsi="Tahoma" w:cs="Tahoma"/>
          <w:sz w:val="20"/>
          <w:szCs w:val="20"/>
        </w:rPr>
        <w:t>základě kvalifikovaného odhadu předpokládá úspora.</w:t>
      </w:r>
    </w:p>
    <w:p w:rsidR="00014B18" w:rsidRPr="00CE1B5B" w:rsidRDefault="00014B18" w:rsidP="00E90F6D">
      <w:pPr>
        <w:jc w:val="both"/>
        <w:rPr>
          <w:rFonts w:ascii="Tahoma" w:hAnsi="Tahoma" w:cs="Tahoma"/>
          <w:sz w:val="20"/>
          <w:szCs w:val="20"/>
        </w:rPr>
      </w:pPr>
      <w:r w:rsidRPr="00CE1B5B">
        <w:rPr>
          <w:rFonts w:ascii="Tahoma" w:hAnsi="Tahoma" w:cs="Tahoma"/>
          <w:sz w:val="20"/>
          <w:szCs w:val="20"/>
        </w:rPr>
        <w:t>Na reprodukci majetku kraje v tomto odvětví bylo k </w:t>
      </w:r>
      <w:r w:rsidR="00061E36" w:rsidRPr="00CE1B5B">
        <w:rPr>
          <w:rFonts w:ascii="Tahoma" w:hAnsi="Tahoma" w:cs="Tahoma"/>
          <w:sz w:val="20"/>
          <w:szCs w:val="20"/>
        </w:rPr>
        <w:t>30. 4. 2014</w:t>
      </w:r>
      <w:r w:rsidRPr="00CE1B5B">
        <w:rPr>
          <w:rFonts w:ascii="Tahoma" w:hAnsi="Tahoma" w:cs="Tahoma"/>
          <w:sz w:val="20"/>
          <w:szCs w:val="20"/>
        </w:rPr>
        <w:t xml:space="preserve"> vyčleněno 11.654 tis. Kč. Tyto finanční prostředky byly čerpány v celkové výši 1.972 tis. Kč (více viz příloha č. 4 materiálu). </w:t>
      </w:r>
    </w:p>
    <w:p w:rsidR="00014B18" w:rsidRPr="00CE1B5B" w:rsidRDefault="00014B18" w:rsidP="00822A28">
      <w:pPr>
        <w:jc w:val="both"/>
        <w:rPr>
          <w:rFonts w:ascii="Tahoma" w:hAnsi="Tahoma" w:cs="Tahoma"/>
          <w:sz w:val="20"/>
          <w:szCs w:val="20"/>
        </w:rPr>
      </w:pPr>
      <w:r w:rsidRPr="00CE1B5B">
        <w:rPr>
          <w:rFonts w:ascii="Tahoma" w:hAnsi="Tahoma" w:cs="Tahoma"/>
          <w:sz w:val="20"/>
        </w:rPr>
        <w:t xml:space="preserve">Úprava rozpočtu byla také u akcí spolufinancovaných z evropských finančních zdrojů. </w:t>
      </w:r>
      <w:r w:rsidRPr="00CE1B5B">
        <w:rPr>
          <w:rFonts w:ascii="Tahoma" w:hAnsi="Tahoma" w:cs="Tahoma"/>
          <w:sz w:val="20"/>
          <w:szCs w:val="20"/>
        </w:rPr>
        <w:t>K </w:t>
      </w:r>
      <w:r w:rsidR="00061E36" w:rsidRPr="00CE1B5B">
        <w:rPr>
          <w:rFonts w:ascii="Tahoma" w:hAnsi="Tahoma" w:cs="Tahoma"/>
          <w:sz w:val="20"/>
          <w:szCs w:val="20"/>
        </w:rPr>
        <w:t>30. 4. 2014</w:t>
      </w:r>
      <w:r w:rsidRPr="00CE1B5B">
        <w:rPr>
          <w:rFonts w:ascii="Tahoma" w:hAnsi="Tahoma" w:cs="Tahoma"/>
          <w:sz w:val="20"/>
          <w:szCs w:val="20"/>
        </w:rPr>
        <w:t xml:space="preserve"> činil upravený rozpočet na akce spolufinancované z evropských finančních zdrojů </w:t>
      </w:r>
      <w:r w:rsidR="00BD397C" w:rsidRPr="00CE1B5B">
        <w:rPr>
          <w:rFonts w:ascii="Tahoma" w:hAnsi="Tahoma" w:cs="Tahoma"/>
          <w:sz w:val="20"/>
          <w:szCs w:val="20"/>
        </w:rPr>
        <w:t>83.664</w:t>
      </w:r>
      <w:r w:rsidRPr="00CE1B5B">
        <w:rPr>
          <w:rFonts w:ascii="Tahoma" w:hAnsi="Tahoma" w:cs="Tahoma"/>
          <w:sz w:val="20"/>
          <w:szCs w:val="20"/>
        </w:rPr>
        <w:t> tis. Kč, čerpáno bylo celkem 2.</w:t>
      </w:r>
      <w:r w:rsidR="00BD397C" w:rsidRPr="00CE1B5B">
        <w:rPr>
          <w:rFonts w:ascii="Tahoma" w:hAnsi="Tahoma" w:cs="Tahoma"/>
          <w:sz w:val="20"/>
          <w:szCs w:val="20"/>
        </w:rPr>
        <w:t>717</w:t>
      </w:r>
      <w:r w:rsidRPr="00CE1B5B">
        <w:rPr>
          <w:rFonts w:ascii="Tahoma" w:hAnsi="Tahoma" w:cs="Tahoma"/>
          <w:sz w:val="20"/>
          <w:szCs w:val="20"/>
        </w:rPr>
        <w:t> tis. Kč (více viz příloha č. 5 materiálu).</w:t>
      </w:r>
    </w:p>
    <w:p w:rsidR="00014B18" w:rsidRPr="00CE1B5B" w:rsidRDefault="00014B18" w:rsidP="00822A28">
      <w:pPr>
        <w:jc w:val="both"/>
        <w:rPr>
          <w:rFonts w:ascii="Tahoma" w:hAnsi="Tahoma" w:cs="Tahoma"/>
          <w:sz w:val="20"/>
          <w:szCs w:val="20"/>
        </w:rPr>
      </w:pPr>
    </w:p>
    <w:p w:rsidR="00014B18" w:rsidRPr="00CE1B5B" w:rsidRDefault="00CA247F" w:rsidP="00822A28">
      <w:pPr>
        <w:jc w:val="both"/>
        <w:rPr>
          <w:rFonts w:ascii="Tahoma" w:hAnsi="Tahoma" w:cs="Tahoma"/>
          <w:sz w:val="20"/>
          <w:szCs w:val="20"/>
        </w:rPr>
      </w:pPr>
      <w:r w:rsidRPr="00CE1B5B">
        <w:rPr>
          <w:rFonts w:ascii="Tahoma" w:hAnsi="Tahoma" w:cs="Tahoma"/>
          <w:sz w:val="20"/>
          <w:szCs w:val="20"/>
        </w:rPr>
        <w:object w:dxaOrig="9143" w:dyaOrig="2436">
          <v:shape id="_x0000_i1040" type="#_x0000_t75" style="width:450pt;height:119.25pt" o:ole="">
            <v:imagedata r:id="rId43" o:title=""/>
          </v:shape>
          <o:OLEObject Type="Embed" ProgID="Excel.Sheet.8" ShapeID="_x0000_i1040" DrawAspect="Content" ObjectID="_1462796447" r:id="rId44"/>
        </w:object>
      </w:r>
    </w:p>
    <w:p w:rsidR="00BD397C" w:rsidRPr="00CE1B5B" w:rsidRDefault="00BD397C" w:rsidP="00822A28">
      <w:pPr>
        <w:jc w:val="both"/>
        <w:rPr>
          <w:rFonts w:ascii="Tahoma" w:hAnsi="Tahoma" w:cs="Tahoma"/>
          <w:sz w:val="20"/>
          <w:szCs w:val="20"/>
        </w:rPr>
      </w:pPr>
    </w:p>
    <w:p w:rsidR="00E56B17" w:rsidRPr="00CE1B5B" w:rsidRDefault="00021E0B" w:rsidP="00822A28">
      <w:pPr>
        <w:jc w:val="both"/>
        <w:rPr>
          <w:rFonts w:ascii="Tahoma" w:hAnsi="Tahoma" w:cs="Tahoma"/>
          <w:sz w:val="20"/>
          <w:szCs w:val="20"/>
        </w:rPr>
      </w:pPr>
      <w:r w:rsidRPr="00CE1B5B">
        <w:rPr>
          <w:rFonts w:ascii="Tahoma" w:hAnsi="Tahoma" w:cs="Tahoma"/>
          <w:sz w:val="20"/>
          <w:szCs w:val="20"/>
        </w:rPr>
        <w:object w:dxaOrig="9287" w:dyaOrig="12480">
          <v:shape id="_x0000_i1041" type="#_x0000_t75" style="width:451.5pt;height:598.5pt" o:ole="">
            <v:imagedata r:id="rId45" o:title=""/>
          </v:shape>
          <o:OLEObject Type="Embed" ProgID="Excel.Sheet.8" ShapeID="_x0000_i1041" DrawAspect="Content" ObjectID="_1462796448" r:id="rId46"/>
        </w:object>
      </w:r>
    </w:p>
    <w:p w:rsidR="00014B18" w:rsidRPr="00CE1B5B" w:rsidRDefault="00014B18" w:rsidP="00822A28">
      <w:pPr>
        <w:pStyle w:val="Zkladntext"/>
        <w:spacing w:before="360"/>
        <w:rPr>
          <w:rFonts w:ascii="Tahoma" w:hAnsi="Tahoma" w:cs="Tahoma"/>
          <w:b/>
          <w:sz w:val="20"/>
        </w:rPr>
      </w:pPr>
      <w:r w:rsidRPr="00CE1B5B">
        <w:rPr>
          <w:rFonts w:ascii="Tahoma" w:hAnsi="Tahoma" w:cs="Tahoma"/>
          <w:b/>
          <w:sz w:val="20"/>
        </w:rPr>
        <w:lastRenderedPageBreak/>
        <w:t>Činnost zastupitelstva kraje</w:t>
      </w:r>
    </w:p>
    <w:p w:rsidR="00014B18" w:rsidRPr="00CE1B5B" w:rsidRDefault="00014B18" w:rsidP="00822A28">
      <w:pPr>
        <w:jc w:val="both"/>
        <w:rPr>
          <w:rFonts w:ascii="Tahoma" w:hAnsi="Tahoma" w:cs="Tahoma"/>
          <w:sz w:val="20"/>
          <w:szCs w:val="20"/>
        </w:rPr>
      </w:pPr>
    </w:p>
    <w:p w:rsidR="00014B18" w:rsidRPr="00CE1B5B" w:rsidRDefault="00014B18" w:rsidP="00822A28">
      <w:pPr>
        <w:jc w:val="both"/>
        <w:rPr>
          <w:rFonts w:ascii="Tahoma" w:hAnsi="Tahoma" w:cs="Tahoma"/>
          <w:sz w:val="20"/>
          <w:szCs w:val="20"/>
        </w:rPr>
      </w:pPr>
      <w:r w:rsidRPr="00CE1B5B">
        <w:rPr>
          <w:rFonts w:ascii="Tahoma" w:hAnsi="Tahoma" w:cs="Tahoma"/>
          <w:sz w:val="20"/>
          <w:szCs w:val="20"/>
        </w:rPr>
        <w:t>Schválený rozpočet výdajů na činnost zastupitelstva kraje ve výši 49.420 tis. Kč byl k </w:t>
      </w:r>
      <w:r w:rsidR="00061E36" w:rsidRPr="00CE1B5B">
        <w:rPr>
          <w:rFonts w:ascii="Tahoma" w:hAnsi="Tahoma" w:cs="Tahoma"/>
          <w:sz w:val="20"/>
          <w:szCs w:val="20"/>
        </w:rPr>
        <w:t>30. 4. 2014</w:t>
      </w:r>
      <w:r w:rsidRPr="00CE1B5B">
        <w:rPr>
          <w:rFonts w:ascii="Tahoma" w:hAnsi="Tahoma" w:cs="Tahoma"/>
          <w:sz w:val="20"/>
          <w:szCs w:val="20"/>
        </w:rPr>
        <w:t xml:space="preserve"> upraven na částku </w:t>
      </w:r>
      <w:r w:rsidR="00BD397C" w:rsidRPr="00CE1B5B">
        <w:rPr>
          <w:rFonts w:ascii="Tahoma" w:hAnsi="Tahoma" w:cs="Tahoma"/>
          <w:sz w:val="20"/>
          <w:szCs w:val="20"/>
        </w:rPr>
        <w:t>44.141</w:t>
      </w:r>
      <w:r w:rsidRPr="00CE1B5B">
        <w:rPr>
          <w:rFonts w:ascii="Tahoma" w:hAnsi="Tahoma" w:cs="Tahoma"/>
          <w:sz w:val="20"/>
          <w:szCs w:val="20"/>
        </w:rPr>
        <w:t xml:space="preserve"> tis. Kč. </w:t>
      </w:r>
      <w:r w:rsidR="009A7E6D" w:rsidRPr="00CE1B5B">
        <w:rPr>
          <w:rFonts w:ascii="Tahoma" w:hAnsi="Tahoma" w:cs="Tahoma"/>
          <w:sz w:val="20"/>
          <w:szCs w:val="20"/>
        </w:rPr>
        <w:t>V souvislosti s nižší úhradou členského příspěvku Moravskoslezského kraje na rok 2014 Asociaci krajů České republiky došlo k úspoře ve výši 300 tis. Kč. Prostředky byly použity k navýšení objemu rozpočtu potřebného na nákup materiálu v rámci propagace kraje a pořízení prezentačních předmětů. Dále došlo v souvislosti s pojistnou událostí z břez</w:t>
      </w:r>
      <w:r w:rsidR="00CE1B5B" w:rsidRPr="00CE1B5B">
        <w:rPr>
          <w:rFonts w:ascii="Tahoma" w:hAnsi="Tahoma" w:cs="Tahoma"/>
          <w:sz w:val="20"/>
          <w:szCs w:val="20"/>
        </w:rPr>
        <w:t xml:space="preserve">na 2014 (havárie vozidla) </w:t>
      </w:r>
      <w:r w:rsidR="009A7E6D" w:rsidRPr="00CE1B5B">
        <w:rPr>
          <w:rFonts w:ascii="Tahoma" w:hAnsi="Tahoma" w:cs="Tahoma"/>
          <w:sz w:val="20"/>
          <w:szCs w:val="20"/>
        </w:rPr>
        <w:t>ze</w:t>
      </w:r>
      <w:r w:rsidR="00CE1B5B" w:rsidRPr="00CE1B5B">
        <w:rPr>
          <w:rFonts w:ascii="Tahoma" w:hAnsi="Tahoma" w:cs="Tahoma"/>
          <w:sz w:val="20"/>
          <w:szCs w:val="20"/>
        </w:rPr>
        <w:t> </w:t>
      </w:r>
      <w:r w:rsidR="009A7E6D" w:rsidRPr="00CE1B5B">
        <w:rPr>
          <w:rFonts w:ascii="Tahoma" w:hAnsi="Tahoma" w:cs="Tahoma"/>
          <w:sz w:val="20"/>
          <w:szCs w:val="20"/>
        </w:rPr>
        <w:t>strany České pojišťovny, a.s. k pojistnému plnění ve výši 212 tis. Kč. Prostředky byly zapojeny na</w:t>
      </w:r>
      <w:r w:rsidR="00CE1B5B" w:rsidRPr="00CE1B5B">
        <w:rPr>
          <w:rFonts w:ascii="Tahoma" w:hAnsi="Tahoma" w:cs="Tahoma"/>
          <w:sz w:val="20"/>
          <w:szCs w:val="20"/>
        </w:rPr>
        <w:t> </w:t>
      </w:r>
      <w:r w:rsidR="009A7E6D" w:rsidRPr="00CE1B5B">
        <w:rPr>
          <w:rFonts w:ascii="Tahoma" w:hAnsi="Tahoma" w:cs="Tahoma"/>
          <w:sz w:val="20"/>
          <w:szCs w:val="20"/>
        </w:rPr>
        <w:t>nutnou opravu a údržbu poškozeného vozidla.</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Na reprodukci majetku kraje v tomto odvětví bylo k </w:t>
      </w:r>
      <w:r w:rsidR="00061E36" w:rsidRPr="00CE1B5B">
        <w:rPr>
          <w:rFonts w:ascii="Tahoma" w:hAnsi="Tahoma" w:cs="Tahoma"/>
          <w:sz w:val="20"/>
          <w:szCs w:val="20"/>
        </w:rPr>
        <w:t>30. 4. 2014</w:t>
      </w:r>
      <w:r w:rsidRPr="00CE1B5B">
        <w:rPr>
          <w:rFonts w:ascii="Tahoma" w:hAnsi="Tahoma" w:cs="Tahoma"/>
          <w:sz w:val="20"/>
          <w:szCs w:val="20"/>
        </w:rPr>
        <w:t xml:space="preserve"> vyčleněno ve schváleném rozpočtu 2.839 tis. Kč. Prostředky byly čerpány ve výši 289 tis. Kč (více viz příloha č. 4 materiálu).</w:t>
      </w:r>
    </w:p>
    <w:p w:rsidR="00014B18" w:rsidRPr="00CE1B5B" w:rsidRDefault="00014B18" w:rsidP="00822A28">
      <w:pPr>
        <w:jc w:val="both"/>
        <w:rPr>
          <w:rFonts w:ascii="Tahoma" w:hAnsi="Tahoma" w:cs="Tahoma"/>
          <w:sz w:val="20"/>
          <w:szCs w:val="20"/>
        </w:rPr>
      </w:pPr>
    </w:p>
    <w:p w:rsidR="00014B18" w:rsidRPr="00CE1B5B" w:rsidRDefault="00021E0B" w:rsidP="00822A28">
      <w:pPr>
        <w:jc w:val="both"/>
        <w:rPr>
          <w:rFonts w:ascii="Tahoma" w:hAnsi="Tahoma" w:cs="Tahoma"/>
          <w:sz w:val="20"/>
          <w:szCs w:val="20"/>
        </w:rPr>
      </w:pPr>
      <w:r w:rsidRPr="00CE1B5B">
        <w:rPr>
          <w:rFonts w:ascii="Tahoma" w:hAnsi="Tahoma" w:cs="Tahoma"/>
          <w:sz w:val="20"/>
          <w:szCs w:val="20"/>
        </w:rPr>
        <w:object w:dxaOrig="9225" w:dyaOrig="2364">
          <v:shape id="_x0000_i1042" type="#_x0000_t75" style="width:455.25pt;height:117pt" o:ole="">
            <v:imagedata r:id="rId47" o:title=""/>
          </v:shape>
          <o:OLEObject Type="Embed" ProgID="Excel.Sheet.8" ShapeID="_x0000_i1042" DrawAspect="Content" ObjectID="_1462796449" r:id="rId48"/>
        </w:object>
      </w:r>
    </w:p>
    <w:p w:rsidR="00014B18" w:rsidRPr="00CE1B5B" w:rsidRDefault="00021E0B" w:rsidP="00822A28">
      <w:pPr>
        <w:jc w:val="both"/>
        <w:rPr>
          <w:rFonts w:ascii="Tahoma" w:hAnsi="Tahoma" w:cs="Tahoma"/>
        </w:rPr>
      </w:pPr>
      <w:r w:rsidRPr="00CE1B5B">
        <w:rPr>
          <w:rFonts w:ascii="Tahoma" w:hAnsi="Tahoma" w:cs="Tahoma"/>
        </w:rPr>
        <w:object w:dxaOrig="9494" w:dyaOrig="10408">
          <v:shape id="_x0000_i1043" type="#_x0000_t75" style="width:456pt;height:520.5pt" o:ole="">
            <v:imagedata r:id="rId49" o:title=""/>
          </v:shape>
          <o:OLEObject Type="Embed" ProgID="Excel.Sheet.8" ShapeID="_x0000_i1043" DrawAspect="Content" ObjectID="_1462796450" r:id="rId50"/>
        </w:object>
      </w:r>
    </w:p>
    <w:p w:rsidR="00622C12" w:rsidRDefault="00622C12" w:rsidP="00822A28">
      <w:pPr>
        <w:pStyle w:val="Zkladntext"/>
        <w:spacing w:before="360"/>
        <w:rPr>
          <w:rFonts w:ascii="Tahoma" w:hAnsi="Tahoma" w:cs="Tahoma"/>
          <w:b/>
          <w:sz w:val="20"/>
        </w:rPr>
      </w:pPr>
    </w:p>
    <w:p w:rsidR="00014B18" w:rsidRPr="00CE1B5B" w:rsidRDefault="00014B18" w:rsidP="00822A28">
      <w:pPr>
        <w:pStyle w:val="Zkladntext"/>
        <w:spacing w:before="360"/>
        <w:rPr>
          <w:rFonts w:ascii="Tahoma" w:hAnsi="Tahoma" w:cs="Tahoma"/>
          <w:b/>
          <w:vanish/>
          <w:sz w:val="20"/>
          <w:specVanish/>
        </w:rPr>
      </w:pPr>
      <w:r w:rsidRPr="00CE1B5B">
        <w:rPr>
          <w:rFonts w:ascii="Tahoma" w:hAnsi="Tahoma" w:cs="Tahoma"/>
          <w:b/>
          <w:sz w:val="20"/>
        </w:rPr>
        <w:t>Odvětví financí a správy majetku</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 </w:t>
      </w:r>
    </w:p>
    <w:p w:rsidR="00014B18" w:rsidRPr="00CE1B5B" w:rsidRDefault="00014B18" w:rsidP="00822A28">
      <w:pPr>
        <w:jc w:val="both"/>
        <w:rPr>
          <w:rFonts w:ascii="Tahoma" w:hAnsi="Tahoma" w:cs="Tahoma"/>
          <w:sz w:val="20"/>
          <w:szCs w:val="20"/>
        </w:rPr>
      </w:pPr>
    </w:p>
    <w:p w:rsidR="00622C12" w:rsidRDefault="00014B18" w:rsidP="00BD397C">
      <w:pPr>
        <w:pStyle w:val="FormtovanvHTML"/>
        <w:jc w:val="both"/>
        <w:rPr>
          <w:rFonts w:ascii="Tahoma" w:hAnsi="Tahoma" w:cs="Tahoma"/>
        </w:rPr>
      </w:pPr>
      <w:r w:rsidRPr="00CE1B5B">
        <w:rPr>
          <w:rFonts w:ascii="Tahoma" w:hAnsi="Tahoma" w:cs="Tahoma"/>
        </w:rPr>
        <w:t>Schválený rozpočet výdajů v odvětví finance a správa majetku ve výši 218.601 tis. Kč byl k</w:t>
      </w:r>
      <w:r w:rsidR="00D10C8E" w:rsidRPr="00CE1B5B">
        <w:rPr>
          <w:rFonts w:ascii="Tahoma" w:hAnsi="Tahoma" w:cs="Tahoma"/>
        </w:rPr>
        <w:t> </w:t>
      </w:r>
      <w:r w:rsidR="00061E36" w:rsidRPr="00CE1B5B">
        <w:rPr>
          <w:rFonts w:ascii="Tahoma" w:hAnsi="Tahoma" w:cs="Tahoma"/>
        </w:rPr>
        <w:t>30. 4. 2014</w:t>
      </w:r>
      <w:r w:rsidRPr="00CE1B5B">
        <w:rPr>
          <w:rFonts w:ascii="Tahoma" w:hAnsi="Tahoma" w:cs="Tahoma"/>
        </w:rPr>
        <w:t xml:space="preserve"> upraven na částku </w:t>
      </w:r>
      <w:r w:rsidR="00BD397C" w:rsidRPr="00CE1B5B">
        <w:rPr>
          <w:rFonts w:ascii="Tahoma" w:hAnsi="Tahoma" w:cs="Tahoma"/>
        </w:rPr>
        <w:t>566.760</w:t>
      </w:r>
      <w:r w:rsidRPr="00CE1B5B">
        <w:rPr>
          <w:rFonts w:ascii="Tahoma" w:hAnsi="Tahoma" w:cs="Tahoma"/>
        </w:rPr>
        <w:t xml:space="preserve"> tis. Kč. </w:t>
      </w:r>
      <w:r w:rsidR="00BD397C" w:rsidRPr="00CE1B5B">
        <w:rPr>
          <w:rFonts w:ascii="Tahoma" w:hAnsi="Tahoma" w:cs="Tahoma"/>
        </w:rPr>
        <w:t>K významnému navýšení rozpočtu v daném odvětví došlo zapojením části zůstatku finančních prostředků rozpočtového hospodaření roku 2013 do rozpočtu kraje roku 2014</w:t>
      </w:r>
      <w:r w:rsidR="007B63C0" w:rsidRPr="00CE1B5B">
        <w:rPr>
          <w:rFonts w:ascii="Tahoma" w:hAnsi="Tahoma" w:cs="Tahoma"/>
        </w:rPr>
        <w:t>. Tyto prostředky v celkové výši 352.330 tis. Kč jsou vyčleněny jako rezervní v rámci odvětví finance a správa majetku (Rezerva na akce EU a na Projekty připravované k dočerpání finanční alokace Regionálního operačního programu NUTS II Moravskoslezsko), a to v souvislosti s realizací projektů spolufinancovaných z evropských finančních zdrojů.</w:t>
      </w:r>
      <w:r w:rsidR="00BD397C" w:rsidRPr="00CE1B5B">
        <w:rPr>
          <w:rFonts w:ascii="Tahoma" w:hAnsi="Tahoma" w:cs="Tahoma"/>
        </w:rPr>
        <w:t xml:space="preserve"> </w:t>
      </w:r>
      <w:r w:rsidR="007B63C0" w:rsidRPr="00CE1B5B">
        <w:rPr>
          <w:rFonts w:ascii="Tahoma" w:hAnsi="Tahoma" w:cs="Tahoma"/>
        </w:rPr>
        <w:t xml:space="preserve">Část z výše uvedených finančních prostředků </w:t>
      </w:r>
      <w:r w:rsidR="00BD397C" w:rsidRPr="00CE1B5B">
        <w:rPr>
          <w:rFonts w:ascii="Tahoma" w:hAnsi="Tahoma" w:cs="Tahoma"/>
        </w:rPr>
        <w:t>ve</w:t>
      </w:r>
      <w:r w:rsidR="007B63C0" w:rsidRPr="00CE1B5B">
        <w:rPr>
          <w:rFonts w:ascii="Tahoma" w:hAnsi="Tahoma" w:cs="Tahoma"/>
        </w:rPr>
        <w:t> </w:t>
      </w:r>
      <w:r w:rsidR="00BD397C" w:rsidRPr="00CE1B5B">
        <w:rPr>
          <w:rFonts w:ascii="Tahoma" w:hAnsi="Tahoma" w:cs="Tahoma"/>
        </w:rPr>
        <w:t>výši 111.600</w:t>
      </w:r>
      <w:r w:rsidR="007B63C0" w:rsidRPr="00CE1B5B">
        <w:rPr>
          <w:rFonts w:ascii="Tahoma" w:hAnsi="Tahoma" w:cs="Tahoma"/>
        </w:rPr>
        <w:t> </w:t>
      </w:r>
      <w:r w:rsidR="00BD397C" w:rsidRPr="00CE1B5B">
        <w:rPr>
          <w:rFonts w:ascii="Tahoma" w:hAnsi="Tahoma" w:cs="Tahoma"/>
        </w:rPr>
        <w:t>tis. Kč</w:t>
      </w:r>
      <w:r w:rsidR="007B63C0" w:rsidRPr="00CE1B5B">
        <w:rPr>
          <w:rFonts w:ascii="Tahoma" w:hAnsi="Tahoma" w:cs="Tahoma"/>
        </w:rPr>
        <w:t xml:space="preserve"> je vyčleněna</w:t>
      </w:r>
      <w:r w:rsidR="00BD397C" w:rsidRPr="00CE1B5B">
        <w:rPr>
          <w:rFonts w:ascii="Tahoma" w:hAnsi="Tahoma" w:cs="Tahoma"/>
        </w:rPr>
        <w:t xml:space="preserve"> na úhradu Sankce za stanovení technického kvalifikačního kritéria pro obalovny v rámci procesu veřejných zakázek (korekce-krácení poskytnutých dotací v rámci akcí spolufinancovaných z evropských finančních zdrojů).</w:t>
      </w:r>
    </w:p>
    <w:p w:rsidR="00622C12" w:rsidRDefault="00622C12">
      <w:pPr>
        <w:rPr>
          <w:rFonts w:ascii="Tahoma" w:hAnsi="Tahoma" w:cs="Tahoma"/>
          <w:sz w:val="20"/>
          <w:szCs w:val="20"/>
        </w:rPr>
      </w:pPr>
      <w:r>
        <w:rPr>
          <w:rFonts w:ascii="Tahoma" w:hAnsi="Tahoma" w:cs="Tahoma"/>
        </w:rPr>
        <w:br w:type="page"/>
      </w:r>
    </w:p>
    <w:p w:rsidR="00BD397C" w:rsidRPr="00CE1B5B" w:rsidRDefault="00BD397C" w:rsidP="00BD397C">
      <w:pPr>
        <w:pStyle w:val="FormtovanvHTML"/>
        <w:jc w:val="both"/>
        <w:rPr>
          <w:rFonts w:ascii="Tahoma" w:hAnsi="Tahoma" w:cs="Tahoma"/>
        </w:rPr>
      </w:pPr>
    </w:p>
    <w:p w:rsidR="007B63C0" w:rsidRPr="00CE1B5B" w:rsidRDefault="004C1A5B" w:rsidP="00822A28">
      <w:pPr>
        <w:pStyle w:val="FormtovanvHTML"/>
        <w:jc w:val="both"/>
        <w:rPr>
          <w:rFonts w:ascii="Tahoma" w:hAnsi="Tahoma" w:cs="Tahoma"/>
        </w:rPr>
      </w:pPr>
      <w:r w:rsidRPr="00CE1B5B">
        <w:rPr>
          <w:rFonts w:ascii="Tahoma" w:hAnsi="Tahoma" w:cs="Tahoma"/>
        </w:rPr>
        <w:t xml:space="preserve">K úpravě rozpočtu v daném odvětví </w:t>
      </w:r>
      <w:r w:rsidR="007B63C0" w:rsidRPr="00CE1B5B">
        <w:rPr>
          <w:rFonts w:ascii="Tahoma" w:hAnsi="Tahoma" w:cs="Tahoma"/>
        </w:rPr>
        <w:t>dochází průběžně</w:t>
      </w:r>
      <w:r w:rsidRPr="00CE1B5B">
        <w:rPr>
          <w:rFonts w:ascii="Tahoma" w:hAnsi="Tahoma" w:cs="Tahoma"/>
        </w:rPr>
        <w:t xml:space="preserve"> </w:t>
      </w:r>
      <w:r w:rsidR="00BD397C" w:rsidRPr="00CE1B5B">
        <w:rPr>
          <w:rFonts w:ascii="Tahoma" w:hAnsi="Tahoma" w:cs="Tahoma"/>
        </w:rPr>
        <w:t xml:space="preserve">také </w:t>
      </w:r>
      <w:r w:rsidRPr="00CE1B5B">
        <w:rPr>
          <w:rFonts w:ascii="Tahoma" w:hAnsi="Tahoma" w:cs="Tahoma"/>
        </w:rPr>
        <w:t>přeplněný</w:t>
      </w:r>
      <w:r w:rsidR="005F6F8A" w:rsidRPr="00CE1B5B">
        <w:rPr>
          <w:rFonts w:ascii="Tahoma" w:hAnsi="Tahoma" w:cs="Tahoma"/>
        </w:rPr>
        <w:t>mi</w:t>
      </w:r>
      <w:r w:rsidRPr="00CE1B5B">
        <w:rPr>
          <w:rFonts w:ascii="Tahoma" w:hAnsi="Tahoma" w:cs="Tahoma"/>
        </w:rPr>
        <w:t xml:space="preserve"> příjm</w:t>
      </w:r>
      <w:r w:rsidR="005F6F8A" w:rsidRPr="00CE1B5B">
        <w:rPr>
          <w:rFonts w:ascii="Tahoma" w:hAnsi="Tahoma" w:cs="Tahoma"/>
        </w:rPr>
        <w:t>y</w:t>
      </w:r>
      <w:r w:rsidRPr="00CE1B5B">
        <w:rPr>
          <w:rFonts w:ascii="Tahoma" w:hAnsi="Tahoma" w:cs="Tahoma"/>
        </w:rPr>
        <w:t xml:space="preserve"> související</w:t>
      </w:r>
      <w:r w:rsidR="005F6F8A" w:rsidRPr="00CE1B5B">
        <w:rPr>
          <w:rFonts w:ascii="Tahoma" w:hAnsi="Tahoma" w:cs="Tahoma"/>
        </w:rPr>
        <w:t>mi</w:t>
      </w:r>
      <w:r w:rsidRPr="00CE1B5B">
        <w:rPr>
          <w:rFonts w:ascii="Tahoma" w:hAnsi="Tahoma" w:cs="Tahoma"/>
        </w:rPr>
        <w:t xml:space="preserve"> s vlastní činností kraje, které nejsou vázány na výdaje. Tyto</w:t>
      </w:r>
      <w:r w:rsidR="00D10C8E" w:rsidRPr="00CE1B5B">
        <w:rPr>
          <w:rFonts w:ascii="Tahoma" w:hAnsi="Tahoma" w:cs="Tahoma"/>
        </w:rPr>
        <w:t> </w:t>
      </w:r>
      <w:r w:rsidRPr="00CE1B5B">
        <w:rPr>
          <w:rFonts w:ascii="Tahoma" w:hAnsi="Tahoma" w:cs="Tahoma"/>
        </w:rPr>
        <w:t>prostředky jsou vyčleněny jako rezervní zdroje (rozpočtová rezerva na mimořádné akce a akc</w:t>
      </w:r>
      <w:r w:rsidR="00D33C79" w:rsidRPr="00CE1B5B">
        <w:rPr>
          <w:rFonts w:ascii="Tahoma" w:hAnsi="Tahoma" w:cs="Tahoma"/>
        </w:rPr>
        <w:t>e s nedořešeným financováním) a </w:t>
      </w:r>
      <w:r w:rsidRPr="00CE1B5B">
        <w:rPr>
          <w:rFonts w:ascii="Tahoma" w:hAnsi="Tahoma" w:cs="Tahoma"/>
        </w:rPr>
        <w:t>následně použity k</w:t>
      </w:r>
      <w:r w:rsidR="007B63C0" w:rsidRPr="00CE1B5B">
        <w:rPr>
          <w:rFonts w:ascii="Tahoma" w:hAnsi="Tahoma" w:cs="Tahoma"/>
        </w:rPr>
        <w:t> </w:t>
      </w:r>
      <w:r w:rsidRPr="00CE1B5B">
        <w:rPr>
          <w:rFonts w:ascii="Tahoma" w:hAnsi="Tahoma" w:cs="Tahoma"/>
        </w:rPr>
        <w:t>financování aktuálních potřeb kraje v jednotlivých odvětvích. V průběhu měsíce března 2014 došlo k</w:t>
      </w:r>
      <w:r w:rsidR="00622C12">
        <w:rPr>
          <w:rFonts w:ascii="Tahoma" w:hAnsi="Tahoma" w:cs="Tahoma"/>
        </w:rPr>
        <w:t> </w:t>
      </w:r>
      <w:r w:rsidR="00014B18" w:rsidRPr="00CE1B5B">
        <w:rPr>
          <w:rFonts w:ascii="Tahoma" w:hAnsi="Tahoma" w:cs="Tahoma"/>
        </w:rPr>
        <w:t xml:space="preserve">zapojení </w:t>
      </w:r>
      <w:r w:rsidRPr="00CE1B5B">
        <w:rPr>
          <w:rFonts w:ascii="Tahoma" w:hAnsi="Tahoma" w:cs="Tahoma"/>
        </w:rPr>
        <w:t xml:space="preserve">těchto </w:t>
      </w:r>
      <w:r w:rsidR="00014B18" w:rsidRPr="00CE1B5B">
        <w:rPr>
          <w:rFonts w:ascii="Tahoma" w:hAnsi="Tahoma" w:cs="Tahoma"/>
        </w:rPr>
        <w:t xml:space="preserve">prostředků, </w:t>
      </w:r>
      <w:r w:rsidRPr="00CE1B5B">
        <w:rPr>
          <w:rFonts w:ascii="Tahoma" w:hAnsi="Tahoma" w:cs="Tahoma"/>
        </w:rPr>
        <w:t xml:space="preserve">a to </w:t>
      </w:r>
      <w:r w:rsidR="007C53E0" w:rsidRPr="00CE1B5B">
        <w:rPr>
          <w:rFonts w:ascii="Tahoma" w:hAnsi="Tahoma" w:cs="Tahoma"/>
        </w:rPr>
        <w:t>v souvislosti s</w:t>
      </w:r>
      <w:r w:rsidR="00D10C8E" w:rsidRPr="00CE1B5B">
        <w:rPr>
          <w:rFonts w:ascii="Tahoma" w:hAnsi="Tahoma" w:cs="Tahoma"/>
        </w:rPr>
        <w:t> </w:t>
      </w:r>
      <w:r w:rsidR="00A53944" w:rsidRPr="00CE1B5B">
        <w:rPr>
          <w:rFonts w:ascii="Tahoma" w:hAnsi="Tahoma" w:cs="Tahoma"/>
        </w:rPr>
        <w:t>kompenzací</w:t>
      </w:r>
      <w:r w:rsidR="00014B18" w:rsidRPr="00CE1B5B">
        <w:rPr>
          <w:rFonts w:ascii="Tahoma" w:hAnsi="Tahoma" w:cs="Tahoma"/>
        </w:rPr>
        <w:t xml:space="preserve"> 2. splátky nájemného za pronájem podniku Letiště Ostrava – Mošnov za rok 2012.</w:t>
      </w:r>
      <w:r w:rsidRPr="00CE1B5B">
        <w:rPr>
          <w:rFonts w:ascii="Tahoma" w:hAnsi="Tahoma" w:cs="Tahoma"/>
        </w:rPr>
        <w:t xml:space="preserve"> </w:t>
      </w:r>
    </w:p>
    <w:p w:rsidR="00014B18" w:rsidRPr="00CE1B5B" w:rsidRDefault="00F450E9" w:rsidP="00822A28">
      <w:pPr>
        <w:pStyle w:val="FormtovanvHTML"/>
        <w:jc w:val="both"/>
        <w:rPr>
          <w:rFonts w:ascii="Tahoma" w:hAnsi="Tahoma" w:cs="Tahoma"/>
        </w:rPr>
      </w:pPr>
      <w:r w:rsidRPr="00CE1B5B">
        <w:rPr>
          <w:rFonts w:ascii="Tahoma" w:hAnsi="Tahoma" w:cs="Tahoma"/>
        </w:rPr>
        <w:t xml:space="preserve">V souvislosti s uplatněním režimu přenesené daňové povinnosti u úhrady faktury k technickému zhodnocení majetku vystavené společnosti Letiště Ostrava, a.s. byly do rozpočtu roku 2014 přijaty prostředky od této společnosti a provedena úhrada DPH správci daně ve výši 7.616 tis. Kč (plátce je Moravskoslezský kraj). </w:t>
      </w:r>
      <w:r w:rsidR="004C1A5B" w:rsidRPr="00CE1B5B">
        <w:rPr>
          <w:rFonts w:ascii="Tahoma" w:hAnsi="Tahoma" w:cs="Tahoma"/>
        </w:rPr>
        <w:t xml:space="preserve">Dále </w:t>
      </w:r>
      <w:r w:rsidR="007C53E0" w:rsidRPr="00CE1B5B">
        <w:rPr>
          <w:rFonts w:ascii="Tahoma" w:hAnsi="Tahoma" w:cs="Tahoma"/>
        </w:rPr>
        <w:t>byl rozpočet v daném odvětví upraven v souvislosti se zajištěním finančního vypořádání dotací a příspěvků poskytnutých kraji z veřejných rozpočtů v předešlých letech o prostředky ve výši 11.088</w:t>
      </w:r>
      <w:r w:rsidR="00D10C8E" w:rsidRPr="00CE1B5B">
        <w:rPr>
          <w:rFonts w:ascii="Tahoma" w:hAnsi="Tahoma" w:cs="Tahoma"/>
        </w:rPr>
        <w:t> </w:t>
      </w:r>
      <w:r w:rsidR="007C53E0" w:rsidRPr="00CE1B5B">
        <w:rPr>
          <w:rFonts w:ascii="Tahoma" w:hAnsi="Tahoma" w:cs="Tahoma"/>
        </w:rPr>
        <w:t>tis. Kč.</w:t>
      </w:r>
      <w:r w:rsidR="009443B3" w:rsidRPr="00CE1B5B">
        <w:rPr>
          <w:rFonts w:ascii="Tahoma" w:hAnsi="Tahoma" w:cs="Tahoma"/>
        </w:rPr>
        <w:t xml:space="preserve"> K navýšení rozpočtu došlo také zapojením části zůstatku finančních prostředků rozpočtového hospodaření roku 2013 do rozpočtu kraje na rok 2014 (ve výši 593 tis. Kč), a</w:t>
      </w:r>
      <w:r w:rsidR="00D10C8E" w:rsidRPr="00CE1B5B">
        <w:rPr>
          <w:rFonts w:ascii="Tahoma" w:hAnsi="Tahoma" w:cs="Tahoma"/>
        </w:rPr>
        <w:t> </w:t>
      </w:r>
      <w:r w:rsidR="009443B3" w:rsidRPr="00CE1B5B">
        <w:rPr>
          <w:rFonts w:ascii="Tahoma" w:hAnsi="Tahoma" w:cs="Tahoma"/>
        </w:rPr>
        <w:t>to v souvislosti se zpracováním analytického dokumentu, jehož cílem je návrh změny procentního zastoupení jednotlivých krajů na příjmech ze sdílených daní.</w:t>
      </w:r>
      <w:r w:rsidR="00A353E6" w:rsidRPr="00CE1B5B">
        <w:rPr>
          <w:rFonts w:ascii="Tahoma" w:hAnsi="Tahoma" w:cs="Tahoma"/>
        </w:rPr>
        <w:t xml:space="preserve"> </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Ve sledovaném období byly finanční prostředky v odvětví čerpány v celkové výši </w:t>
      </w:r>
      <w:r w:rsidR="007B63C0" w:rsidRPr="00CE1B5B">
        <w:rPr>
          <w:rFonts w:ascii="Tahoma" w:hAnsi="Tahoma" w:cs="Tahoma"/>
          <w:sz w:val="20"/>
          <w:szCs w:val="20"/>
        </w:rPr>
        <w:t>48.543</w:t>
      </w:r>
      <w:r w:rsidRPr="00CE1B5B">
        <w:rPr>
          <w:rFonts w:ascii="Tahoma" w:hAnsi="Tahoma" w:cs="Tahoma"/>
          <w:sz w:val="20"/>
          <w:szCs w:val="20"/>
        </w:rPr>
        <w:t> tis. Kč, tj. </w:t>
      </w:r>
      <w:r w:rsidR="007B63C0" w:rsidRPr="00CE1B5B">
        <w:rPr>
          <w:rFonts w:ascii="Tahoma" w:hAnsi="Tahoma" w:cs="Tahoma"/>
          <w:sz w:val="20"/>
          <w:szCs w:val="20"/>
        </w:rPr>
        <w:t>8,6</w:t>
      </w:r>
      <w:r w:rsidRPr="00CE1B5B">
        <w:rPr>
          <w:rFonts w:ascii="Tahoma" w:hAnsi="Tahoma" w:cs="Tahoma"/>
          <w:sz w:val="20"/>
          <w:szCs w:val="20"/>
        </w:rPr>
        <w:t xml:space="preserve"> % upraveného rozpočtu. Z toho podstatnou část představuje vyplácená dotace ve výši </w:t>
      </w:r>
      <w:r w:rsidR="007B63C0" w:rsidRPr="00CE1B5B">
        <w:rPr>
          <w:rFonts w:ascii="Tahoma" w:hAnsi="Tahoma" w:cs="Tahoma"/>
          <w:sz w:val="20"/>
          <w:szCs w:val="20"/>
        </w:rPr>
        <w:t>7.887 </w:t>
      </w:r>
      <w:r w:rsidRPr="00CE1B5B">
        <w:rPr>
          <w:rFonts w:ascii="Tahoma" w:hAnsi="Tahoma" w:cs="Tahoma"/>
          <w:sz w:val="20"/>
          <w:szCs w:val="20"/>
        </w:rPr>
        <w:t>tis.</w:t>
      </w:r>
      <w:r w:rsidR="007B63C0" w:rsidRPr="00CE1B5B">
        <w:rPr>
          <w:rFonts w:ascii="Tahoma" w:hAnsi="Tahoma" w:cs="Tahoma"/>
          <w:sz w:val="20"/>
          <w:szCs w:val="20"/>
        </w:rPr>
        <w:t> </w:t>
      </w:r>
      <w:r w:rsidRPr="00CE1B5B">
        <w:rPr>
          <w:rFonts w:ascii="Tahoma" w:hAnsi="Tahoma" w:cs="Tahoma"/>
          <w:sz w:val="20"/>
          <w:szCs w:val="20"/>
        </w:rPr>
        <w:t xml:space="preserve">Kč na spolufinancování projektů Technické pomoci a nezpůsobilých výdajů Regionální radě regionu soudržnosti Moravskoslezsko, dále výdaje v rámci pojištění majetku kraje ve výši </w:t>
      </w:r>
      <w:r w:rsidR="007C53E0" w:rsidRPr="00CE1B5B">
        <w:rPr>
          <w:rFonts w:ascii="Tahoma" w:hAnsi="Tahoma" w:cs="Tahoma"/>
          <w:sz w:val="20"/>
          <w:szCs w:val="20"/>
        </w:rPr>
        <w:t>12.537 </w:t>
      </w:r>
      <w:r w:rsidRPr="00CE1B5B">
        <w:rPr>
          <w:rFonts w:ascii="Tahoma" w:hAnsi="Tahoma" w:cs="Tahoma"/>
          <w:sz w:val="20"/>
          <w:szCs w:val="20"/>
        </w:rPr>
        <w:t>tis.</w:t>
      </w:r>
      <w:r w:rsidR="007C53E0" w:rsidRPr="00CE1B5B">
        <w:rPr>
          <w:rFonts w:ascii="Tahoma" w:hAnsi="Tahoma" w:cs="Tahoma"/>
          <w:sz w:val="20"/>
          <w:szCs w:val="20"/>
        </w:rPr>
        <w:t> </w:t>
      </w:r>
      <w:r w:rsidRPr="00CE1B5B">
        <w:rPr>
          <w:rFonts w:ascii="Tahoma" w:hAnsi="Tahoma" w:cs="Tahoma"/>
          <w:sz w:val="20"/>
          <w:szCs w:val="20"/>
        </w:rPr>
        <w:t xml:space="preserve">Kč, </w:t>
      </w:r>
      <w:r w:rsidR="007C53E0" w:rsidRPr="00CE1B5B">
        <w:rPr>
          <w:rFonts w:ascii="Tahoma" w:hAnsi="Tahoma" w:cs="Tahoma"/>
          <w:sz w:val="20"/>
          <w:szCs w:val="20"/>
        </w:rPr>
        <w:t xml:space="preserve">hrazené úroky z úvěrů ve výši </w:t>
      </w:r>
      <w:r w:rsidR="007B63C0" w:rsidRPr="00CE1B5B">
        <w:rPr>
          <w:rFonts w:ascii="Tahoma" w:hAnsi="Tahoma" w:cs="Tahoma"/>
          <w:sz w:val="20"/>
          <w:szCs w:val="20"/>
        </w:rPr>
        <w:t>8.315</w:t>
      </w:r>
      <w:r w:rsidR="007C53E0" w:rsidRPr="00CE1B5B">
        <w:rPr>
          <w:rFonts w:ascii="Tahoma" w:hAnsi="Tahoma" w:cs="Tahoma"/>
          <w:sz w:val="20"/>
          <w:szCs w:val="20"/>
        </w:rPr>
        <w:t xml:space="preserve"> tis. Kč, </w:t>
      </w:r>
      <w:r w:rsidRPr="00CE1B5B">
        <w:rPr>
          <w:rFonts w:ascii="Tahoma" w:hAnsi="Tahoma" w:cs="Tahoma"/>
          <w:sz w:val="20"/>
          <w:szCs w:val="20"/>
        </w:rPr>
        <w:t xml:space="preserve">výdaje určené na platbu daní ve výši </w:t>
      </w:r>
      <w:r w:rsidR="007B63C0" w:rsidRPr="00CE1B5B">
        <w:rPr>
          <w:rFonts w:ascii="Tahoma" w:hAnsi="Tahoma" w:cs="Tahoma"/>
          <w:sz w:val="20"/>
          <w:szCs w:val="20"/>
        </w:rPr>
        <w:t>6.491</w:t>
      </w:r>
      <w:r w:rsidRPr="00CE1B5B">
        <w:rPr>
          <w:rFonts w:ascii="Tahoma" w:hAnsi="Tahoma" w:cs="Tahoma"/>
          <w:sz w:val="20"/>
          <w:szCs w:val="20"/>
        </w:rPr>
        <w:t> tis. Kč</w:t>
      </w:r>
      <w:r w:rsidR="007C53E0" w:rsidRPr="00CE1B5B">
        <w:rPr>
          <w:rFonts w:ascii="Tahoma" w:hAnsi="Tahoma" w:cs="Tahoma"/>
          <w:sz w:val="20"/>
          <w:szCs w:val="20"/>
        </w:rPr>
        <w:t xml:space="preserve"> a</w:t>
      </w:r>
      <w:r w:rsidRPr="00CE1B5B">
        <w:rPr>
          <w:rFonts w:ascii="Tahoma" w:hAnsi="Tahoma" w:cs="Tahoma"/>
          <w:sz w:val="20"/>
          <w:szCs w:val="20"/>
        </w:rPr>
        <w:t xml:space="preserve"> výdaje související s finančním vypořádáním ve výši 2.</w:t>
      </w:r>
      <w:r w:rsidR="007C53E0" w:rsidRPr="00CE1B5B">
        <w:rPr>
          <w:rFonts w:ascii="Tahoma" w:hAnsi="Tahoma" w:cs="Tahoma"/>
          <w:sz w:val="20"/>
          <w:szCs w:val="20"/>
        </w:rPr>
        <w:t>1</w:t>
      </w:r>
      <w:r w:rsidR="007B63C0" w:rsidRPr="00CE1B5B">
        <w:rPr>
          <w:rFonts w:ascii="Tahoma" w:hAnsi="Tahoma" w:cs="Tahoma"/>
          <w:sz w:val="20"/>
          <w:szCs w:val="20"/>
        </w:rPr>
        <w:t>78</w:t>
      </w:r>
      <w:r w:rsidRPr="00CE1B5B">
        <w:rPr>
          <w:rFonts w:ascii="Tahoma" w:hAnsi="Tahoma" w:cs="Tahoma"/>
          <w:sz w:val="20"/>
          <w:szCs w:val="20"/>
        </w:rPr>
        <w:t> tis. Kč.</w:t>
      </w:r>
    </w:p>
    <w:p w:rsidR="00014B18" w:rsidRPr="00CE1B5B" w:rsidRDefault="00014B18" w:rsidP="00423FC1">
      <w:pPr>
        <w:jc w:val="both"/>
        <w:rPr>
          <w:rFonts w:ascii="Tahoma" w:hAnsi="Tahoma" w:cs="Tahoma"/>
          <w:sz w:val="20"/>
          <w:szCs w:val="20"/>
        </w:rPr>
      </w:pPr>
      <w:r w:rsidRPr="00CE1B5B">
        <w:rPr>
          <w:rFonts w:ascii="Tahoma" w:hAnsi="Tahoma" w:cs="Tahoma"/>
          <w:sz w:val="20"/>
          <w:szCs w:val="20"/>
        </w:rPr>
        <w:t>Na reprodukci majetku kraje v odvětví finance a správa majetku bylo k </w:t>
      </w:r>
      <w:r w:rsidR="00061E36" w:rsidRPr="00CE1B5B">
        <w:rPr>
          <w:rFonts w:ascii="Tahoma" w:hAnsi="Tahoma" w:cs="Tahoma"/>
          <w:sz w:val="20"/>
          <w:szCs w:val="20"/>
        </w:rPr>
        <w:t>30. 4. 2014</w:t>
      </w:r>
      <w:r w:rsidRPr="00CE1B5B">
        <w:rPr>
          <w:rFonts w:ascii="Tahoma" w:hAnsi="Tahoma" w:cs="Tahoma"/>
          <w:sz w:val="20"/>
          <w:szCs w:val="20"/>
        </w:rPr>
        <w:t xml:space="preserve"> z vyčleněných prostředků ve výši 20.904 tis. Kč vyčerpáno 9.784 tis. Kč (více viz příloha č. 4 materiálu). Jedná se o akci Realizace energetických úspor metodou EPC ve vybraných objektech Moravskoslezského kraje, která je realizována napříč odvětvími a v důsledku toho je pro přehlednost načtena a sloučena pod jedno odvětví.</w:t>
      </w:r>
    </w:p>
    <w:p w:rsidR="00014B18" w:rsidRPr="00CE1B5B" w:rsidRDefault="00014B18" w:rsidP="00822A28">
      <w:pPr>
        <w:jc w:val="both"/>
        <w:rPr>
          <w:rFonts w:ascii="Tahoma" w:hAnsi="Tahoma" w:cs="Tahoma"/>
          <w:sz w:val="20"/>
          <w:szCs w:val="20"/>
        </w:rPr>
      </w:pPr>
    </w:p>
    <w:p w:rsidR="00014B18" w:rsidRPr="00CE1B5B" w:rsidRDefault="00622C12" w:rsidP="00822A28">
      <w:pPr>
        <w:jc w:val="both"/>
        <w:rPr>
          <w:rFonts w:ascii="Tahoma" w:hAnsi="Tahoma" w:cs="Tahoma"/>
          <w:sz w:val="20"/>
          <w:szCs w:val="20"/>
        </w:rPr>
      </w:pPr>
      <w:r w:rsidRPr="00CE1B5B">
        <w:rPr>
          <w:rFonts w:ascii="Tahoma" w:hAnsi="Tahoma" w:cs="Tahoma"/>
          <w:sz w:val="20"/>
          <w:szCs w:val="20"/>
        </w:rPr>
        <w:object w:dxaOrig="9189" w:dyaOrig="2390">
          <v:shape id="_x0000_i1044" type="#_x0000_t75" style="width:456.75pt;height:118.5pt" o:ole="">
            <v:imagedata r:id="rId51" o:title=""/>
          </v:shape>
          <o:OLEObject Type="Embed" ProgID="Excel.Sheet.8" ShapeID="_x0000_i1044" DrawAspect="Content" ObjectID="_1462796451" r:id="rId52"/>
        </w:object>
      </w:r>
    </w:p>
    <w:p w:rsidR="00014B18" w:rsidRPr="00CE1B5B" w:rsidRDefault="00014B18" w:rsidP="00822A28">
      <w:pPr>
        <w:jc w:val="both"/>
        <w:rPr>
          <w:rFonts w:ascii="Tahoma" w:hAnsi="Tahoma" w:cs="Tahoma"/>
          <w:sz w:val="18"/>
          <w:szCs w:val="18"/>
        </w:rPr>
      </w:pPr>
    </w:p>
    <w:p w:rsidR="00014B18" w:rsidRPr="00CE1B5B" w:rsidRDefault="00CA247F" w:rsidP="00822A28">
      <w:pPr>
        <w:pStyle w:val="Zkladntext"/>
        <w:spacing w:before="0"/>
        <w:rPr>
          <w:rFonts w:ascii="Tahoma" w:hAnsi="Tahoma" w:cs="Tahoma"/>
          <w:b/>
          <w:sz w:val="20"/>
        </w:rPr>
      </w:pPr>
      <w:r w:rsidRPr="00CE1B5B">
        <w:rPr>
          <w:rFonts w:ascii="Tahoma" w:hAnsi="Tahoma" w:cs="Tahoma"/>
          <w:sz w:val="20"/>
          <w:szCs w:val="20"/>
        </w:rPr>
        <w:object w:dxaOrig="9319" w:dyaOrig="7203">
          <v:shape id="_x0000_i1045" type="#_x0000_t75" style="width:456.75pt;height:352.5pt" o:ole="">
            <v:imagedata r:id="rId53" o:title=""/>
          </v:shape>
          <o:OLEObject Type="Embed" ProgID="Excel.Sheet.8" ShapeID="_x0000_i1045" DrawAspect="Content" ObjectID="_1462796452" r:id="rId54"/>
        </w:object>
      </w:r>
    </w:p>
    <w:p w:rsidR="00014B18" w:rsidRPr="00CE1B5B" w:rsidRDefault="00014B18" w:rsidP="00822A28">
      <w:pPr>
        <w:pStyle w:val="Zkladntext"/>
        <w:spacing w:before="0"/>
        <w:rPr>
          <w:rFonts w:ascii="Tahoma" w:hAnsi="Tahoma" w:cs="Tahoma"/>
          <w:b/>
          <w:sz w:val="20"/>
        </w:rPr>
      </w:pPr>
    </w:p>
    <w:p w:rsidR="00D10C8E" w:rsidRPr="00CE1B5B" w:rsidRDefault="00D10C8E" w:rsidP="00822A28">
      <w:pPr>
        <w:pStyle w:val="Zkladntext"/>
        <w:spacing w:before="0"/>
        <w:rPr>
          <w:rFonts w:ascii="Tahoma" w:hAnsi="Tahoma" w:cs="Tahoma"/>
          <w:b/>
          <w:sz w:val="20"/>
        </w:rPr>
      </w:pPr>
    </w:p>
    <w:p w:rsidR="00014B18" w:rsidRPr="00CE1B5B" w:rsidRDefault="00014B18" w:rsidP="00822A28">
      <w:pPr>
        <w:pStyle w:val="Zkladntext"/>
        <w:spacing w:before="0"/>
        <w:rPr>
          <w:rFonts w:ascii="Tahoma" w:hAnsi="Tahoma" w:cs="Tahoma"/>
          <w:b/>
          <w:sz w:val="20"/>
        </w:rPr>
      </w:pPr>
      <w:r w:rsidRPr="00CE1B5B">
        <w:rPr>
          <w:rFonts w:ascii="Tahoma" w:hAnsi="Tahoma" w:cs="Tahoma"/>
          <w:b/>
          <w:sz w:val="20"/>
        </w:rPr>
        <w:t xml:space="preserve">Odvětví dopravy  </w:t>
      </w:r>
    </w:p>
    <w:p w:rsidR="00014B18" w:rsidRPr="00CE1B5B" w:rsidRDefault="00014B18" w:rsidP="00822A28">
      <w:pPr>
        <w:jc w:val="both"/>
        <w:rPr>
          <w:rFonts w:ascii="Tahoma" w:hAnsi="Tahoma" w:cs="Tahoma"/>
          <w:sz w:val="20"/>
          <w:szCs w:val="20"/>
        </w:rPr>
      </w:pPr>
    </w:p>
    <w:p w:rsidR="00435F4A" w:rsidRPr="00CE1B5B" w:rsidRDefault="00435F4A" w:rsidP="00435F4A">
      <w:pPr>
        <w:jc w:val="both"/>
        <w:rPr>
          <w:rFonts w:ascii="Tahoma" w:hAnsi="Tahoma" w:cs="Tahoma"/>
          <w:sz w:val="20"/>
          <w:szCs w:val="20"/>
        </w:rPr>
      </w:pPr>
      <w:r w:rsidRPr="00CE1B5B">
        <w:rPr>
          <w:rFonts w:ascii="Tahoma" w:hAnsi="Tahoma" w:cs="Tahoma"/>
          <w:sz w:val="20"/>
          <w:szCs w:val="20"/>
        </w:rPr>
        <w:t xml:space="preserve">Během sledovaného období byl schválený rozpočet v odvětví dopravy upraven z 4.113.476 tis. Kč na 4.061.488 tis. Kč. </w:t>
      </w:r>
    </w:p>
    <w:p w:rsidR="00435F4A" w:rsidRPr="00CE1B5B" w:rsidRDefault="00435F4A" w:rsidP="00435F4A">
      <w:pPr>
        <w:pStyle w:val="FormtovanvHTML"/>
        <w:jc w:val="both"/>
        <w:rPr>
          <w:rFonts w:ascii="Tahoma" w:hAnsi="Tahoma" w:cs="Tahoma"/>
        </w:rPr>
      </w:pPr>
      <w:r w:rsidRPr="00CE1B5B">
        <w:rPr>
          <w:rFonts w:ascii="Tahoma" w:hAnsi="Tahoma" w:cs="Tahoma"/>
        </w:rPr>
        <w:t>K navýšení došlo především zapojením části zůstatku finančních prostředků rozpočtového hospodaření roku 2013 do rozpočtu kraje na rok 2014, a to zejména u akcí reprodukce majetku kraje (navýšení o 27.525 tis. Kč - v souvislosti s nezbytnými opravami silnic II. a III. tříd byl navýšen příspěvek na</w:t>
      </w:r>
      <w:r w:rsidR="00622C12">
        <w:rPr>
          <w:rFonts w:ascii="Tahoma" w:hAnsi="Tahoma" w:cs="Tahoma"/>
        </w:rPr>
        <w:t> </w:t>
      </w:r>
      <w:r w:rsidRPr="00CE1B5B">
        <w:rPr>
          <w:rFonts w:ascii="Tahoma" w:hAnsi="Tahoma" w:cs="Tahoma"/>
        </w:rPr>
        <w:t>provoz o 20.000 tis. Kč určený Správě silnic Moravskoslezského kraje, příspěvkové organizace; této organizaci byl taktéž navýšen závazný ukazatel Rekonstrukce mostů 480-001 a 480-002 vč. ramp, Kopřivnice o finanční prostředky ve výši 7.525 tis. Kč). U samosprávných činností došlo k převodu prostředků z roku 2013 do roku 2014 ve výši 7.700 tis. Kč, a to na úhradu prokazatelné ztráty jednotlivých dopravců v rámci dopravní obslužnosti v kraji. Dále byly navýšeny prostředky ve výši 2.750</w:t>
      </w:r>
      <w:r w:rsidR="00622C12">
        <w:rPr>
          <w:rFonts w:ascii="Tahoma" w:hAnsi="Tahoma" w:cs="Tahoma"/>
        </w:rPr>
        <w:t> </w:t>
      </w:r>
      <w:r w:rsidRPr="00CE1B5B">
        <w:rPr>
          <w:rFonts w:ascii="Tahoma" w:hAnsi="Tahoma" w:cs="Tahoma"/>
        </w:rPr>
        <w:t>tis. Kč určené k zajištění závazků souvisejících s poskytnutím dotací obchodní společnosti Koordinátor ODIS, s.r.o. Rozpočet v odvětví dopravy byl také navýšen o prostředky ve výši 2.250 tis. Kč potřebné pro úhradu nákladů souvisejících s předložením žádosti o poskytnutí příspěvku z rozpočtu Státního fondu dopravní infrastruktury pro rok 2014 k projektu Diagnostika stavu bezpečnosti stávajících morálně zastaralých záchytných ocelových systémů na pozemních komunikacích v MSK. Dále byl organizaci Správa silnic Moravskoslezského kraje, příspěvková organizace navýšen neúčelový příspěvek na provoz o 8.300 tis. Kč v souvislosti se zajištěním nadlimitního čistění silnic II. a III. tříd.</w:t>
      </w:r>
    </w:p>
    <w:p w:rsidR="00014B18" w:rsidRPr="00CE1B5B" w:rsidRDefault="00BD397C" w:rsidP="00364838">
      <w:pPr>
        <w:pStyle w:val="FormtovanvHTML"/>
        <w:jc w:val="both"/>
        <w:rPr>
          <w:rFonts w:ascii="Tahoma" w:hAnsi="Tahoma" w:cs="Tahoma"/>
        </w:rPr>
      </w:pPr>
      <w:r w:rsidRPr="00CE1B5B">
        <w:rPr>
          <w:rFonts w:ascii="Tahoma" w:hAnsi="Tahoma" w:cs="Tahoma"/>
        </w:rPr>
        <w:t>Naopak u akcí spolufinancovaných z evropských finančních zdrojů došlo v měsíci dubnu 2014 k rozsáhlé rozpočtové úpravě, kdy</w:t>
      </w:r>
      <w:r w:rsidR="00924CE4" w:rsidRPr="00CE1B5B">
        <w:rPr>
          <w:rFonts w:ascii="Tahoma" w:hAnsi="Tahoma" w:cs="Tahoma"/>
        </w:rPr>
        <w:t xml:space="preserve"> s</w:t>
      </w:r>
      <w:r w:rsidR="00924CE4" w:rsidRPr="00CE1B5B">
        <w:rPr>
          <w:rFonts w:ascii="Tahoma" w:hAnsi="Tahoma" w:cs="Tahoma"/>
          <w:snapToGrid w:val="0"/>
        </w:rPr>
        <w:t> ohledem na </w:t>
      </w:r>
      <w:r w:rsidR="00966986" w:rsidRPr="00CE1B5B">
        <w:rPr>
          <w:rFonts w:ascii="Tahoma" w:hAnsi="Tahoma" w:cs="Tahoma"/>
          <w:snapToGrid w:val="0"/>
        </w:rPr>
        <w:t xml:space="preserve">úspory a </w:t>
      </w:r>
      <w:r w:rsidR="00924CE4" w:rsidRPr="00CE1B5B">
        <w:rPr>
          <w:rFonts w:ascii="Tahoma" w:hAnsi="Tahoma" w:cs="Tahoma"/>
          <w:snapToGrid w:val="0"/>
        </w:rPr>
        <w:t>změny v harmonogramech jednotlivých projektů došlo ke snížení objemu výdajů u jednotlivých projektů a také k časovému přesunu realizací a tomu odpovídajících výdajů do roku 2015 (rozpočet snížen o 101.884 tis. Kč).</w:t>
      </w:r>
    </w:p>
    <w:p w:rsidR="00014B18" w:rsidRPr="00CE1B5B" w:rsidRDefault="00014B18" w:rsidP="00364838">
      <w:pPr>
        <w:jc w:val="both"/>
        <w:rPr>
          <w:rFonts w:ascii="Tahoma" w:hAnsi="Tahoma" w:cs="Tahoma"/>
          <w:sz w:val="20"/>
          <w:szCs w:val="20"/>
        </w:rPr>
      </w:pPr>
      <w:r w:rsidRPr="00CE1B5B">
        <w:rPr>
          <w:rFonts w:ascii="Tahoma" w:hAnsi="Tahoma" w:cs="Tahoma"/>
          <w:sz w:val="20"/>
          <w:szCs w:val="20"/>
        </w:rPr>
        <w:t>Skutečné výdaje v odvětví dopravy činily k </w:t>
      </w:r>
      <w:r w:rsidR="00061E36" w:rsidRPr="00CE1B5B">
        <w:rPr>
          <w:rFonts w:ascii="Tahoma" w:hAnsi="Tahoma" w:cs="Tahoma"/>
          <w:sz w:val="20"/>
          <w:szCs w:val="20"/>
        </w:rPr>
        <w:t>30. 4. 2014</w:t>
      </w:r>
      <w:r w:rsidRPr="00CE1B5B">
        <w:rPr>
          <w:rFonts w:ascii="Tahoma" w:hAnsi="Tahoma" w:cs="Tahoma"/>
          <w:sz w:val="20"/>
          <w:szCs w:val="20"/>
        </w:rPr>
        <w:t xml:space="preserve"> celkem </w:t>
      </w:r>
      <w:r w:rsidR="00924CE4" w:rsidRPr="00CE1B5B">
        <w:rPr>
          <w:rFonts w:ascii="Tahoma" w:hAnsi="Tahoma" w:cs="Tahoma"/>
          <w:sz w:val="20"/>
          <w:szCs w:val="20"/>
        </w:rPr>
        <w:t>707.455</w:t>
      </w:r>
      <w:r w:rsidR="00966986" w:rsidRPr="00CE1B5B">
        <w:rPr>
          <w:rFonts w:ascii="Tahoma" w:hAnsi="Tahoma" w:cs="Tahoma"/>
          <w:sz w:val="20"/>
          <w:szCs w:val="20"/>
        </w:rPr>
        <w:t xml:space="preserve"> </w:t>
      </w:r>
      <w:r w:rsidRPr="00CE1B5B">
        <w:rPr>
          <w:rFonts w:ascii="Tahoma" w:hAnsi="Tahoma" w:cs="Tahoma"/>
          <w:sz w:val="20"/>
          <w:szCs w:val="20"/>
        </w:rPr>
        <w:t xml:space="preserve">tis. Kč, tj. čerpání ve výši </w:t>
      </w:r>
      <w:r w:rsidR="00924CE4" w:rsidRPr="00CE1B5B">
        <w:rPr>
          <w:rFonts w:ascii="Tahoma" w:hAnsi="Tahoma" w:cs="Tahoma"/>
          <w:sz w:val="20"/>
          <w:szCs w:val="20"/>
        </w:rPr>
        <w:t>17,4</w:t>
      </w:r>
      <w:r w:rsidR="00FD318D" w:rsidRPr="00CE1B5B">
        <w:rPr>
          <w:rFonts w:ascii="Tahoma" w:hAnsi="Tahoma" w:cs="Tahoma"/>
          <w:sz w:val="20"/>
          <w:szCs w:val="20"/>
        </w:rPr>
        <w:t> </w:t>
      </w:r>
      <w:r w:rsidRPr="00CE1B5B">
        <w:rPr>
          <w:rFonts w:ascii="Tahoma" w:hAnsi="Tahoma" w:cs="Tahoma"/>
          <w:sz w:val="20"/>
          <w:szCs w:val="20"/>
        </w:rPr>
        <w:t>% upraveného rozpočtu.</w:t>
      </w:r>
    </w:p>
    <w:p w:rsidR="00014B18" w:rsidRPr="00CE1B5B" w:rsidRDefault="00014B18" w:rsidP="00364838">
      <w:pPr>
        <w:jc w:val="both"/>
        <w:rPr>
          <w:rFonts w:ascii="Tahoma" w:hAnsi="Tahoma" w:cs="Tahoma"/>
          <w:sz w:val="20"/>
          <w:szCs w:val="20"/>
        </w:rPr>
      </w:pPr>
      <w:r w:rsidRPr="00CE1B5B">
        <w:rPr>
          <w:rFonts w:ascii="Tahoma" w:hAnsi="Tahoma" w:cs="Tahoma"/>
          <w:sz w:val="20"/>
          <w:szCs w:val="20"/>
        </w:rPr>
        <w:t xml:space="preserve">V odvětví dopravy nejsou pro letošní rok vyčleněny finanční prostředky na nově vyhlašovaný dotační program, ale pouze na doplatky dotačního programu vyhlášeného v roce </w:t>
      </w:r>
      <w:smartTag w:uri="urn:schemas-microsoft-com:office:smarttags" w:element="metricconverter">
        <w:smartTagPr>
          <w:attr w:name="ProductID" w:val="2012, a"/>
        </w:smartTagPr>
        <w:r w:rsidRPr="00CE1B5B">
          <w:rPr>
            <w:rFonts w:ascii="Tahoma" w:hAnsi="Tahoma" w:cs="Tahoma"/>
            <w:sz w:val="20"/>
            <w:szCs w:val="20"/>
          </w:rPr>
          <w:t>2012, a</w:t>
        </w:r>
      </w:smartTag>
      <w:r w:rsidRPr="00CE1B5B">
        <w:rPr>
          <w:rFonts w:ascii="Tahoma" w:hAnsi="Tahoma" w:cs="Tahoma"/>
          <w:sz w:val="20"/>
          <w:szCs w:val="20"/>
        </w:rPr>
        <w:t xml:space="preserve"> to ve výši 642 tis. Kč. Čerpány dosud nebyly.</w:t>
      </w:r>
    </w:p>
    <w:p w:rsidR="00014B18" w:rsidRPr="00CE1B5B" w:rsidRDefault="00014B18" w:rsidP="00364838">
      <w:pPr>
        <w:jc w:val="both"/>
        <w:rPr>
          <w:rFonts w:ascii="Tahoma" w:hAnsi="Tahoma" w:cs="Tahoma"/>
          <w:sz w:val="20"/>
          <w:szCs w:val="20"/>
        </w:rPr>
      </w:pPr>
      <w:r w:rsidRPr="00CE1B5B">
        <w:rPr>
          <w:rFonts w:ascii="Tahoma" w:hAnsi="Tahoma" w:cs="Tahoma"/>
          <w:bCs/>
          <w:sz w:val="20"/>
          <w:szCs w:val="20"/>
        </w:rPr>
        <w:t xml:space="preserve">Příspěvková organizace Správa silnic Moravskoslezského kraje </w:t>
      </w:r>
      <w:r w:rsidRPr="00CE1B5B">
        <w:rPr>
          <w:rFonts w:ascii="Tahoma" w:hAnsi="Tahoma" w:cs="Tahoma"/>
          <w:sz w:val="20"/>
          <w:szCs w:val="20"/>
        </w:rPr>
        <w:t>k </w:t>
      </w:r>
      <w:r w:rsidR="00061E36" w:rsidRPr="00CE1B5B">
        <w:rPr>
          <w:rFonts w:ascii="Tahoma" w:hAnsi="Tahoma" w:cs="Tahoma"/>
          <w:sz w:val="20"/>
          <w:szCs w:val="20"/>
        </w:rPr>
        <w:t>30. 4. 2014</w:t>
      </w:r>
      <w:r w:rsidRPr="00CE1B5B">
        <w:rPr>
          <w:rFonts w:ascii="Tahoma" w:hAnsi="Tahoma" w:cs="Tahoma"/>
          <w:sz w:val="20"/>
          <w:szCs w:val="20"/>
        </w:rPr>
        <w:t xml:space="preserve"> </w:t>
      </w:r>
      <w:r w:rsidRPr="00CE1B5B">
        <w:rPr>
          <w:rFonts w:ascii="Tahoma" w:hAnsi="Tahoma" w:cs="Tahoma"/>
          <w:bCs/>
          <w:sz w:val="20"/>
          <w:szCs w:val="20"/>
        </w:rPr>
        <w:t xml:space="preserve">obdržela </w:t>
      </w:r>
      <w:r w:rsidR="00924CE4" w:rsidRPr="00CE1B5B">
        <w:rPr>
          <w:rFonts w:ascii="Tahoma" w:hAnsi="Tahoma" w:cs="Tahoma"/>
          <w:bCs/>
          <w:sz w:val="20"/>
          <w:szCs w:val="20"/>
        </w:rPr>
        <w:t>186.439</w:t>
      </w:r>
      <w:r w:rsidRPr="00CE1B5B">
        <w:rPr>
          <w:rFonts w:ascii="Tahoma" w:hAnsi="Tahoma" w:cs="Tahoma"/>
          <w:sz w:val="20"/>
          <w:szCs w:val="20"/>
        </w:rPr>
        <w:t xml:space="preserve"> tis. Kč. </w:t>
      </w:r>
    </w:p>
    <w:p w:rsidR="00014B18" w:rsidRPr="00CE1B5B" w:rsidRDefault="00014B18" w:rsidP="00364838">
      <w:pPr>
        <w:jc w:val="both"/>
        <w:rPr>
          <w:rFonts w:ascii="Tahoma" w:hAnsi="Tahoma" w:cs="Tahoma"/>
          <w:sz w:val="20"/>
          <w:szCs w:val="20"/>
        </w:rPr>
      </w:pPr>
      <w:r w:rsidRPr="00CE1B5B">
        <w:rPr>
          <w:rFonts w:ascii="Tahoma" w:hAnsi="Tahoma" w:cs="Tahoma"/>
          <w:sz w:val="20"/>
          <w:szCs w:val="20"/>
        </w:rPr>
        <w:lastRenderedPageBreak/>
        <w:t>Na reprodukci majetku kraje v odvětví dopravy byly k </w:t>
      </w:r>
      <w:r w:rsidR="00061E36" w:rsidRPr="00CE1B5B">
        <w:rPr>
          <w:rFonts w:ascii="Tahoma" w:hAnsi="Tahoma" w:cs="Tahoma"/>
          <w:sz w:val="20"/>
          <w:szCs w:val="20"/>
        </w:rPr>
        <w:t>30. 4. 2014</w:t>
      </w:r>
      <w:r w:rsidRPr="00CE1B5B">
        <w:rPr>
          <w:rFonts w:ascii="Tahoma" w:hAnsi="Tahoma" w:cs="Tahoma"/>
          <w:sz w:val="20"/>
          <w:szCs w:val="20"/>
        </w:rPr>
        <w:t xml:space="preserve"> vyčleněny prostředky ve výši </w:t>
      </w:r>
      <w:r w:rsidR="00924CE4" w:rsidRPr="00CE1B5B">
        <w:rPr>
          <w:rFonts w:ascii="Tahoma" w:hAnsi="Tahoma" w:cs="Tahoma"/>
          <w:sz w:val="20"/>
          <w:szCs w:val="20"/>
        </w:rPr>
        <w:t>84.025</w:t>
      </w:r>
      <w:r w:rsidRPr="00CE1B5B">
        <w:rPr>
          <w:rFonts w:ascii="Tahoma" w:hAnsi="Tahoma" w:cs="Tahoma"/>
          <w:sz w:val="20"/>
          <w:szCs w:val="20"/>
        </w:rPr>
        <w:t xml:space="preserve"> tis. Kč, které dosud nebyly čerpány. (více viz příloha č. 4 materiálu). </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V rámci akcí spolufinancovaných z evropských finančních zdrojů byly v tomto odvětví čerpány finanční prostředky v částce </w:t>
      </w:r>
      <w:r w:rsidR="00924CE4" w:rsidRPr="00CE1B5B">
        <w:rPr>
          <w:rFonts w:ascii="Tahoma" w:hAnsi="Tahoma" w:cs="Tahoma"/>
          <w:sz w:val="20"/>
          <w:szCs w:val="20"/>
        </w:rPr>
        <w:t>59.722</w:t>
      </w:r>
      <w:r w:rsidRPr="00CE1B5B">
        <w:rPr>
          <w:rFonts w:ascii="Tahoma" w:hAnsi="Tahoma" w:cs="Tahoma"/>
          <w:sz w:val="20"/>
          <w:szCs w:val="20"/>
        </w:rPr>
        <w:t xml:space="preserve"> tis. Kč (více viz příloha č. 5 materiálu). </w:t>
      </w:r>
    </w:p>
    <w:p w:rsidR="00014B18" w:rsidRPr="00CE1B5B" w:rsidRDefault="00014B18" w:rsidP="00822A28">
      <w:pPr>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112" w:dyaOrig="2376">
          <v:shape id="_x0000_i1046" type="#_x0000_t75" style="width:455.25pt;height:118.5pt" o:ole="">
            <v:imagedata r:id="rId55" o:title=""/>
          </v:shape>
          <o:OLEObject Type="Embed" ProgID="Excel.Sheet.8" ShapeID="_x0000_i1046" DrawAspect="Content" ObjectID="_1462796453" r:id="rId56"/>
        </w:object>
      </w:r>
    </w:p>
    <w:p w:rsidR="00014B18" w:rsidRPr="00CE1B5B" w:rsidRDefault="00014B18" w:rsidP="00822A28">
      <w:pPr>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472" w:dyaOrig="5891">
          <v:shape id="_x0000_i1047" type="#_x0000_t75" style="width:454.5pt;height:282.75pt" o:ole="">
            <v:imagedata r:id="rId57" o:title=""/>
          </v:shape>
          <o:OLEObject Type="Embed" ProgID="Excel.Sheet.8" ShapeID="_x0000_i1047" DrawAspect="Content" ObjectID="_1462796454" r:id="rId58"/>
        </w:object>
      </w:r>
    </w:p>
    <w:p w:rsidR="00014B18" w:rsidRPr="00CE1B5B" w:rsidRDefault="00A8524E" w:rsidP="00571990">
      <w:pPr>
        <w:spacing w:before="240"/>
        <w:jc w:val="both"/>
        <w:rPr>
          <w:rFonts w:ascii="Tahoma" w:hAnsi="Tahoma" w:cs="Tahoma"/>
          <w:sz w:val="20"/>
          <w:szCs w:val="20"/>
        </w:rPr>
      </w:pPr>
      <w:r w:rsidRPr="00CE1B5B">
        <w:rPr>
          <w:rFonts w:ascii="Tahoma" w:hAnsi="Tahoma" w:cs="Tahoma"/>
          <w:sz w:val="20"/>
          <w:szCs w:val="20"/>
        </w:rPr>
        <w:object w:dxaOrig="9285" w:dyaOrig="2652">
          <v:shape id="_x0000_i1048" type="#_x0000_t75" style="width:456.75pt;height:130.5pt" o:ole="">
            <v:imagedata r:id="rId59" o:title=""/>
          </v:shape>
          <o:OLEObject Type="Embed" ProgID="Excel.Sheet.8" ShapeID="_x0000_i1048" DrawAspect="Content" ObjectID="_1462796455" r:id="rId60"/>
        </w:object>
      </w:r>
    </w:p>
    <w:p w:rsidR="002A3BCC" w:rsidRPr="00CE1B5B" w:rsidRDefault="002A3BCC" w:rsidP="00571990">
      <w:pPr>
        <w:pStyle w:val="Zkladntext"/>
        <w:spacing w:before="240"/>
        <w:rPr>
          <w:rFonts w:ascii="Tahoma" w:hAnsi="Tahoma" w:cs="Tahoma"/>
          <w:b/>
          <w:sz w:val="20"/>
        </w:rPr>
      </w:pPr>
    </w:p>
    <w:p w:rsidR="00014B18" w:rsidRPr="00CE1B5B" w:rsidRDefault="00014B18" w:rsidP="00571990">
      <w:pPr>
        <w:pStyle w:val="Zkladntext"/>
        <w:spacing w:before="240"/>
        <w:rPr>
          <w:rFonts w:ascii="Tahoma" w:hAnsi="Tahoma" w:cs="Tahoma"/>
          <w:b/>
          <w:sz w:val="20"/>
        </w:rPr>
      </w:pPr>
      <w:r w:rsidRPr="00CE1B5B">
        <w:rPr>
          <w:rFonts w:ascii="Tahoma" w:hAnsi="Tahoma" w:cs="Tahoma"/>
          <w:b/>
          <w:sz w:val="20"/>
        </w:rPr>
        <w:t>Odvětví krizového řízení</w:t>
      </w:r>
    </w:p>
    <w:p w:rsidR="00014B18" w:rsidRPr="00CE1B5B" w:rsidRDefault="00014B18" w:rsidP="00822A28">
      <w:pPr>
        <w:jc w:val="both"/>
        <w:rPr>
          <w:rFonts w:ascii="Tahoma" w:hAnsi="Tahoma" w:cs="Tahoma"/>
          <w:sz w:val="20"/>
          <w:szCs w:val="20"/>
        </w:rPr>
      </w:pPr>
    </w:p>
    <w:p w:rsidR="00014B18" w:rsidRPr="00CE1B5B" w:rsidRDefault="00014B18" w:rsidP="00203089">
      <w:pPr>
        <w:jc w:val="both"/>
        <w:rPr>
          <w:rFonts w:ascii="Tahoma" w:hAnsi="Tahoma" w:cs="Tahoma"/>
          <w:sz w:val="20"/>
          <w:szCs w:val="20"/>
        </w:rPr>
      </w:pPr>
      <w:r w:rsidRPr="00CE1B5B">
        <w:rPr>
          <w:rFonts w:ascii="Tahoma" w:hAnsi="Tahoma" w:cs="Tahoma"/>
          <w:sz w:val="20"/>
          <w:szCs w:val="20"/>
        </w:rPr>
        <w:t xml:space="preserve">Schválený rozpočet výdajů ve výši 257.079 tis. Kč v odvětví krizové řízení byl celkově navýšen na částku </w:t>
      </w:r>
      <w:r w:rsidR="00924CE4" w:rsidRPr="00CE1B5B">
        <w:rPr>
          <w:rFonts w:ascii="Tahoma" w:hAnsi="Tahoma" w:cs="Tahoma"/>
          <w:sz w:val="20"/>
          <w:szCs w:val="20"/>
        </w:rPr>
        <w:t>233.767</w:t>
      </w:r>
      <w:r w:rsidRPr="00CE1B5B">
        <w:rPr>
          <w:rFonts w:ascii="Tahoma" w:hAnsi="Tahoma" w:cs="Tahoma"/>
          <w:sz w:val="20"/>
          <w:szCs w:val="20"/>
        </w:rPr>
        <w:t xml:space="preserve"> tis. Kč, a to o úpravu v souvislosti se zapojením části zůstatku finančních prostředků rozpočtového hospodaření roku 2013 do rozpočtu kraje na rok 2014 na doplatky dotací poskytnutých v roce 2013. Jednalo se zejména o prostředky ve výši 9.759 tis. Kč poskytnuté České republice - Hasičskému záchrannému sboru Moravskoslezského kraje na úhradu kapitálových výdajů vzniklých </w:t>
      </w:r>
      <w:r w:rsidRPr="00CE1B5B">
        <w:rPr>
          <w:rFonts w:ascii="Tahoma" w:hAnsi="Tahoma" w:cs="Tahoma"/>
          <w:sz w:val="20"/>
          <w:szCs w:val="20"/>
        </w:rPr>
        <w:lastRenderedPageBreak/>
        <w:t>v</w:t>
      </w:r>
      <w:r w:rsidR="00D33C79" w:rsidRPr="00CE1B5B">
        <w:rPr>
          <w:rFonts w:ascii="Tahoma" w:hAnsi="Tahoma" w:cs="Tahoma"/>
          <w:sz w:val="20"/>
          <w:szCs w:val="20"/>
        </w:rPr>
        <w:t> </w:t>
      </w:r>
      <w:r w:rsidRPr="00CE1B5B">
        <w:rPr>
          <w:rFonts w:ascii="Tahoma" w:hAnsi="Tahoma" w:cs="Tahoma"/>
          <w:sz w:val="20"/>
          <w:szCs w:val="20"/>
        </w:rPr>
        <w:t>rámci zabezpečení rekonstrukce Integrovaného výjezdového centra v Bílovci, prostředky ve výši 8.025</w:t>
      </w:r>
      <w:r w:rsidR="00D33C79" w:rsidRPr="00CE1B5B">
        <w:rPr>
          <w:rFonts w:ascii="Tahoma" w:hAnsi="Tahoma" w:cs="Tahoma"/>
          <w:sz w:val="20"/>
          <w:szCs w:val="20"/>
        </w:rPr>
        <w:t> </w:t>
      </w:r>
      <w:r w:rsidRPr="00CE1B5B">
        <w:rPr>
          <w:rFonts w:ascii="Tahoma" w:hAnsi="Tahoma" w:cs="Tahoma"/>
          <w:sz w:val="20"/>
          <w:szCs w:val="20"/>
        </w:rPr>
        <w:t>tis. Kč určené Hasičskému záchrannému sboru Moravskoslezského kraje na úhradu výdajů v</w:t>
      </w:r>
      <w:r w:rsidR="00D33C79" w:rsidRPr="00CE1B5B">
        <w:rPr>
          <w:rFonts w:ascii="Tahoma" w:hAnsi="Tahoma" w:cs="Tahoma"/>
          <w:sz w:val="20"/>
          <w:szCs w:val="20"/>
        </w:rPr>
        <w:t> </w:t>
      </w:r>
      <w:r w:rsidRPr="00CE1B5B">
        <w:rPr>
          <w:rFonts w:ascii="Tahoma" w:hAnsi="Tahoma" w:cs="Tahoma"/>
          <w:sz w:val="20"/>
          <w:szCs w:val="20"/>
        </w:rPr>
        <w:t>rámci rekonstrukce hasičské stanice v Bohumíně a prostředky ve výši 2.</w:t>
      </w:r>
      <w:r w:rsidR="00031B0F" w:rsidRPr="00CE1B5B">
        <w:rPr>
          <w:rFonts w:ascii="Tahoma" w:hAnsi="Tahoma" w:cs="Tahoma"/>
          <w:sz w:val="20"/>
          <w:szCs w:val="20"/>
        </w:rPr>
        <w:t>300</w:t>
      </w:r>
      <w:r w:rsidRPr="00CE1B5B">
        <w:rPr>
          <w:rFonts w:ascii="Tahoma" w:hAnsi="Tahoma" w:cs="Tahoma"/>
          <w:sz w:val="20"/>
          <w:szCs w:val="20"/>
        </w:rPr>
        <w:t xml:space="preserve"> tis. Kč určené Krajskému ředitelství policie Moravskoslezského kraje na pořízení technologie pro přenos obrazového signálu z</w:t>
      </w:r>
      <w:r w:rsidR="00D33C79" w:rsidRPr="00CE1B5B">
        <w:rPr>
          <w:rFonts w:ascii="Tahoma" w:hAnsi="Tahoma" w:cs="Tahoma"/>
          <w:sz w:val="20"/>
          <w:szCs w:val="20"/>
        </w:rPr>
        <w:t> </w:t>
      </w:r>
      <w:r w:rsidRPr="00CE1B5B">
        <w:rPr>
          <w:rFonts w:ascii="Tahoma" w:hAnsi="Tahoma" w:cs="Tahoma"/>
          <w:sz w:val="20"/>
          <w:szCs w:val="20"/>
        </w:rPr>
        <w:t xml:space="preserve">vrtulníku do budovy Integrovaného bezpečnostního centra Moravskoslezského kraje. </w:t>
      </w:r>
      <w:r w:rsidR="00670D32" w:rsidRPr="00CE1B5B">
        <w:rPr>
          <w:rFonts w:ascii="Tahoma" w:hAnsi="Tahoma" w:cs="Tahoma"/>
          <w:sz w:val="20"/>
          <w:szCs w:val="20"/>
        </w:rPr>
        <w:t>Dále</w:t>
      </w:r>
      <w:r w:rsidR="00D10C8E" w:rsidRPr="00CE1B5B">
        <w:rPr>
          <w:rFonts w:ascii="Tahoma" w:hAnsi="Tahoma" w:cs="Tahoma"/>
          <w:sz w:val="20"/>
          <w:szCs w:val="20"/>
        </w:rPr>
        <w:t> </w:t>
      </w:r>
      <w:r w:rsidR="00670D32" w:rsidRPr="00CE1B5B">
        <w:rPr>
          <w:rFonts w:ascii="Tahoma" w:hAnsi="Tahoma" w:cs="Tahoma"/>
          <w:sz w:val="20"/>
          <w:szCs w:val="20"/>
        </w:rPr>
        <w:t xml:space="preserve">došlo k navýšení rozpočtu v souvislosti se zapojením neinvestiční účelové dotace </w:t>
      </w:r>
      <w:r w:rsidR="00CE1B5B" w:rsidRPr="00CE1B5B">
        <w:rPr>
          <w:rFonts w:ascii="Tahoma" w:hAnsi="Tahoma" w:cs="Tahoma"/>
          <w:sz w:val="20"/>
          <w:szCs w:val="20"/>
        </w:rPr>
        <w:t xml:space="preserve">ve výši 8.283 tis. Kč </w:t>
      </w:r>
      <w:r w:rsidR="00670D32" w:rsidRPr="00CE1B5B">
        <w:rPr>
          <w:rFonts w:ascii="Tahoma" w:hAnsi="Tahoma" w:cs="Tahoma"/>
          <w:sz w:val="20"/>
          <w:szCs w:val="20"/>
        </w:rPr>
        <w:t>poskytnuté Ministerstvem vnitra na výdaje jednotek sborů dobrovolných hasičů obcí na rok 2014.</w:t>
      </w:r>
    </w:p>
    <w:p w:rsidR="00014B18" w:rsidRPr="00CE1B5B" w:rsidRDefault="00014B18" w:rsidP="00A26875">
      <w:pPr>
        <w:jc w:val="both"/>
        <w:rPr>
          <w:rFonts w:ascii="Tahoma" w:hAnsi="Tahoma" w:cs="Tahoma"/>
          <w:sz w:val="20"/>
          <w:szCs w:val="20"/>
        </w:rPr>
      </w:pPr>
      <w:r w:rsidRPr="00CE1B5B">
        <w:rPr>
          <w:rFonts w:ascii="Tahoma" w:hAnsi="Tahoma" w:cs="Tahoma"/>
          <w:sz w:val="20"/>
          <w:szCs w:val="20"/>
        </w:rPr>
        <w:t xml:space="preserve">Na reprodukci majetku kraje v odvětví krizového řízení byly vyčleněny prostředky ve výši 990 tis. Kč, které dosud nebyly čerpány (více viz příloha č. 4 materiálu). </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Upravený rozpočet ke dni </w:t>
      </w:r>
      <w:r w:rsidR="00061E36" w:rsidRPr="00CE1B5B">
        <w:rPr>
          <w:rFonts w:ascii="Tahoma" w:hAnsi="Tahoma" w:cs="Tahoma"/>
          <w:sz w:val="20"/>
          <w:szCs w:val="20"/>
        </w:rPr>
        <w:t>30. 4. 2014</w:t>
      </w:r>
      <w:r w:rsidRPr="00CE1B5B">
        <w:rPr>
          <w:rFonts w:ascii="Tahoma" w:hAnsi="Tahoma" w:cs="Tahoma"/>
          <w:sz w:val="20"/>
          <w:szCs w:val="20"/>
        </w:rPr>
        <w:t xml:space="preserve"> v rámci akcí spolufinancovaných z evropských finančních zdrojů v oblasti krizového řízení činí </w:t>
      </w:r>
      <w:r w:rsidR="00924CE4" w:rsidRPr="00CE1B5B">
        <w:rPr>
          <w:rFonts w:ascii="Tahoma" w:hAnsi="Tahoma" w:cs="Tahoma"/>
          <w:sz w:val="20"/>
          <w:szCs w:val="20"/>
        </w:rPr>
        <w:t>125.250</w:t>
      </w:r>
      <w:r w:rsidRPr="00CE1B5B">
        <w:rPr>
          <w:rFonts w:ascii="Tahoma" w:hAnsi="Tahoma" w:cs="Tahoma"/>
          <w:sz w:val="20"/>
          <w:szCs w:val="20"/>
        </w:rPr>
        <w:t xml:space="preserve"> tis. Kč, prostředky nebyly dosud čerpány. (více viz příloha č. 5 materiálu).</w:t>
      </w:r>
    </w:p>
    <w:p w:rsidR="00014B18" w:rsidRPr="00CE1B5B" w:rsidRDefault="00014B18" w:rsidP="00822A28">
      <w:pPr>
        <w:jc w:val="both"/>
        <w:rPr>
          <w:rFonts w:ascii="Tahoma" w:hAnsi="Tahoma" w:cs="Tahoma"/>
          <w:sz w:val="20"/>
          <w:szCs w:val="20"/>
        </w:rPr>
      </w:pPr>
    </w:p>
    <w:p w:rsidR="00014B18" w:rsidRPr="00CE1B5B" w:rsidRDefault="00014B18" w:rsidP="00822A28">
      <w:pPr>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256" w:dyaOrig="2376">
          <v:shape id="_x0000_i1049" type="#_x0000_t75" style="width:453.75pt;height:116.25pt" o:ole="">
            <v:imagedata r:id="rId61" o:title=""/>
          </v:shape>
          <o:OLEObject Type="Embed" ProgID="Excel.Sheet.8" ShapeID="_x0000_i1049" DrawAspect="Content" ObjectID="_1462796456" r:id="rId62"/>
        </w:object>
      </w:r>
    </w:p>
    <w:p w:rsidR="00014B18" w:rsidRPr="00CE1B5B" w:rsidRDefault="00014B18" w:rsidP="00822A28">
      <w:pPr>
        <w:jc w:val="both"/>
        <w:rPr>
          <w:rFonts w:ascii="Tahoma" w:hAnsi="Tahoma" w:cs="Tahoma"/>
          <w:sz w:val="20"/>
          <w:szCs w:val="20"/>
        </w:rPr>
      </w:pPr>
    </w:p>
    <w:p w:rsidR="002A3BCC" w:rsidRPr="00CE1B5B" w:rsidRDefault="00B6250D" w:rsidP="00622C12">
      <w:pPr>
        <w:jc w:val="both"/>
        <w:rPr>
          <w:rFonts w:ascii="Tahoma" w:hAnsi="Tahoma" w:cs="Tahoma"/>
          <w:b/>
          <w:sz w:val="20"/>
        </w:rPr>
      </w:pPr>
      <w:r w:rsidRPr="00CE1B5B">
        <w:rPr>
          <w:rFonts w:ascii="Tahoma" w:hAnsi="Tahoma" w:cs="Tahoma"/>
          <w:sz w:val="20"/>
          <w:szCs w:val="20"/>
        </w:rPr>
        <w:object w:dxaOrig="9523" w:dyaOrig="8988">
          <v:shape id="_x0000_i1050" type="#_x0000_t75" style="width:463.5pt;height:433.5pt" o:ole="">
            <v:imagedata r:id="rId63" o:title=""/>
          </v:shape>
          <o:OLEObject Type="Embed" ProgID="Excel.Sheet.8" ShapeID="_x0000_i1050" DrawAspect="Content" ObjectID="_1462796457" r:id="rId64"/>
        </w:object>
      </w:r>
    </w:p>
    <w:p w:rsidR="00014B18" w:rsidRPr="00CE1B5B" w:rsidRDefault="00014B18" w:rsidP="00822A28">
      <w:pPr>
        <w:pStyle w:val="Zkladntext"/>
        <w:spacing w:before="360"/>
        <w:rPr>
          <w:rFonts w:ascii="Tahoma" w:hAnsi="Tahoma" w:cs="Tahoma"/>
          <w:b/>
          <w:sz w:val="20"/>
        </w:rPr>
      </w:pPr>
      <w:r w:rsidRPr="00CE1B5B">
        <w:rPr>
          <w:rFonts w:ascii="Tahoma" w:hAnsi="Tahoma" w:cs="Tahoma"/>
          <w:b/>
          <w:sz w:val="20"/>
        </w:rPr>
        <w:t xml:space="preserve">Odvětví kultury </w:t>
      </w:r>
    </w:p>
    <w:p w:rsidR="00014B18" w:rsidRPr="00CE1B5B" w:rsidRDefault="00014B18" w:rsidP="00822A28">
      <w:pPr>
        <w:jc w:val="both"/>
        <w:rPr>
          <w:rFonts w:ascii="Tahoma" w:hAnsi="Tahoma" w:cs="Tahoma"/>
          <w:sz w:val="20"/>
          <w:szCs w:val="20"/>
        </w:rPr>
      </w:pPr>
    </w:p>
    <w:p w:rsidR="00014B18" w:rsidRPr="00CE1B5B" w:rsidRDefault="00014B18" w:rsidP="00203089">
      <w:pPr>
        <w:jc w:val="both"/>
        <w:rPr>
          <w:rFonts w:ascii="Tahoma" w:hAnsi="Tahoma" w:cs="Tahoma"/>
          <w:sz w:val="20"/>
          <w:szCs w:val="20"/>
        </w:rPr>
      </w:pPr>
      <w:r w:rsidRPr="00CE1B5B">
        <w:rPr>
          <w:rFonts w:ascii="Tahoma" w:hAnsi="Tahoma" w:cs="Tahoma"/>
          <w:sz w:val="20"/>
          <w:szCs w:val="20"/>
        </w:rPr>
        <w:t>V roce 2014 bylo ve schváleném rozpočtu kraje vyčleněno na financování výdajů v odvětví kultury celkem 248.562 tis. Kč. K </w:t>
      </w:r>
      <w:r w:rsidR="00061E36" w:rsidRPr="00CE1B5B">
        <w:rPr>
          <w:rFonts w:ascii="Tahoma" w:hAnsi="Tahoma" w:cs="Tahoma"/>
          <w:sz w:val="20"/>
          <w:szCs w:val="20"/>
        </w:rPr>
        <w:t>30. 4. 2014</w:t>
      </w:r>
      <w:r w:rsidRPr="00CE1B5B">
        <w:rPr>
          <w:rFonts w:ascii="Tahoma" w:hAnsi="Tahoma" w:cs="Tahoma"/>
          <w:sz w:val="20"/>
          <w:szCs w:val="20"/>
        </w:rPr>
        <w:t xml:space="preserve"> došlo celkově ke zvýšení rozpočtu o 36.757 tis. Kč, a to zejména u akcí reprodukce majetku kraje</w:t>
      </w:r>
      <w:r w:rsidR="00BE29C4" w:rsidRPr="00CE1B5B">
        <w:rPr>
          <w:rFonts w:ascii="Tahoma" w:hAnsi="Tahoma" w:cs="Tahoma"/>
          <w:sz w:val="20"/>
          <w:szCs w:val="20"/>
        </w:rPr>
        <w:t xml:space="preserve"> (navýšení o </w:t>
      </w:r>
      <w:r w:rsidR="00924CE4" w:rsidRPr="00CE1B5B">
        <w:rPr>
          <w:rFonts w:ascii="Tahoma" w:hAnsi="Tahoma" w:cs="Tahoma"/>
          <w:sz w:val="20"/>
          <w:szCs w:val="20"/>
        </w:rPr>
        <w:t>36.098</w:t>
      </w:r>
      <w:r w:rsidR="00BE29C4" w:rsidRPr="00CE1B5B">
        <w:rPr>
          <w:rFonts w:ascii="Tahoma" w:hAnsi="Tahoma" w:cs="Tahoma"/>
          <w:sz w:val="20"/>
          <w:szCs w:val="20"/>
        </w:rPr>
        <w:t xml:space="preserve"> tis. Kč)</w:t>
      </w:r>
      <w:r w:rsidRPr="00CE1B5B">
        <w:rPr>
          <w:rFonts w:ascii="Tahoma" w:hAnsi="Tahoma" w:cs="Tahoma"/>
          <w:sz w:val="20"/>
          <w:szCs w:val="20"/>
        </w:rPr>
        <w:t xml:space="preserve">. U samosprávných činností v odvětví kultury byl navýšen rozpočet výdajů celkově o </w:t>
      </w:r>
      <w:r w:rsidR="00924CE4" w:rsidRPr="00CE1B5B">
        <w:rPr>
          <w:rFonts w:ascii="Tahoma" w:hAnsi="Tahoma" w:cs="Tahoma"/>
          <w:sz w:val="20"/>
          <w:szCs w:val="20"/>
        </w:rPr>
        <w:t>1.610</w:t>
      </w:r>
      <w:r w:rsidRPr="00CE1B5B">
        <w:rPr>
          <w:rFonts w:ascii="Tahoma" w:hAnsi="Tahoma" w:cs="Tahoma"/>
          <w:sz w:val="20"/>
          <w:szCs w:val="20"/>
        </w:rPr>
        <w:t xml:space="preserve"> tis. Kč</w:t>
      </w:r>
      <w:r w:rsidR="004E4376" w:rsidRPr="00CE1B5B">
        <w:rPr>
          <w:rFonts w:ascii="Tahoma" w:hAnsi="Tahoma" w:cs="Tahoma"/>
          <w:sz w:val="20"/>
          <w:szCs w:val="20"/>
        </w:rPr>
        <w:t>, z toho</w:t>
      </w:r>
      <w:r w:rsidRPr="00CE1B5B">
        <w:rPr>
          <w:rFonts w:ascii="Tahoma" w:hAnsi="Tahoma" w:cs="Tahoma"/>
          <w:sz w:val="20"/>
          <w:szCs w:val="20"/>
        </w:rPr>
        <w:t xml:space="preserve"> v souvislosti s propagaci, publicitou kraje</w:t>
      </w:r>
      <w:r w:rsidR="004E4376" w:rsidRPr="00CE1B5B">
        <w:rPr>
          <w:rFonts w:ascii="Tahoma" w:hAnsi="Tahoma" w:cs="Tahoma"/>
          <w:sz w:val="20"/>
          <w:szCs w:val="20"/>
        </w:rPr>
        <w:t xml:space="preserve"> o 381 tis. Kč</w:t>
      </w:r>
      <w:r w:rsidRPr="00CE1B5B">
        <w:rPr>
          <w:rFonts w:ascii="Tahoma" w:hAnsi="Tahoma" w:cs="Tahoma"/>
          <w:sz w:val="20"/>
          <w:szCs w:val="20"/>
        </w:rPr>
        <w:t>. V rámci odvětví byly také navýšeny finanční prostředky určené na podporu kulturních akcí krajského a nadregionálního významu</w:t>
      </w:r>
      <w:r w:rsidR="00884D5F" w:rsidRPr="00CE1B5B">
        <w:rPr>
          <w:rFonts w:ascii="Tahoma" w:hAnsi="Tahoma" w:cs="Tahoma"/>
          <w:sz w:val="20"/>
          <w:szCs w:val="20"/>
        </w:rPr>
        <w:t xml:space="preserve">, a to celkově o </w:t>
      </w:r>
      <w:r w:rsidR="004E4376" w:rsidRPr="00CE1B5B">
        <w:rPr>
          <w:rFonts w:ascii="Tahoma" w:hAnsi="Tahoma" w:cs="Tahoma"/>
          <w:sz w:val="20"/>
          <w:szCs w:val="20"/>
        </w:rPr>
        <w:t>1.199 </w:t>
      </w:r>
      <w:r w:rsidR="00884D5F" w:rsidRPr="00CE1B5B">
        <w:rPr>
          <w:rFonts w:ascii="Tahoma" w:hAnsi="Tahoma" w:cs="Tahoma"/>
          <w:sz w:val="20"/>
          <w:szCs w:val="20"/>
        </w:rPr>
        <w:t>tis. Kč, z toho prostředky ve výši 1.000 tis. Kč byly poskytnuty jako účelová dotace na realizace projektu Světoví sólisté a dirigenti v sezóně Janáčkovy filharmonie Ostrava.</w:t>
      </w:r>
      <w:r w:rsidR="0094568A" w:rsidRPr="00CE1B5B">
        <w:rPr>
          <w:rFonts w:ascii="Tahoma" w:hAnsi="Tahoma" w:cs="Tahoma"/>
          <w:sz w:val="20"/>
          <w:szCs w:val="20"/>
        </w:rPr>
        <w:t xml:space="preserve"> </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V rámci vyhlášených dotačních programů v odvětví kultury byly ve sledovaném období vyplaceny finanční prostředky</w:t>
      </w:r>
      <w:r w:rsidR="00924CE4" w:rsidRPr="00CE1B5B">
        <w:rPr>
          <w:rFonts w:ascii="Tahoma" w:hAnsi="Tahoma" w:cs="Tahoma"/>
          <w:sz w:val="20"/>
          <w:szCs w:val="20"/>
        </w:rPr>
        <w:t xml:space="preserve"> ve výši 223 tis. Kč</w:t>
      </w:r>
      <w:r w:rsidRPr="00CE1B5B">
        <w:rPr>
          <w:rFonts w:ascii="Tahoma" w:hAnsi="Tahoma" w:cs="Tahoma"/>
          <w:sz w:val="20"/>
          <w:szCs w:val="20"/>
        </w:rPr>
        <w:t>.</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Významný objem vyčerpaných prostředků představují příspěvkovým organizacím poskytnuté příspěvky na provoz ve výši </w:t>
      </w:r>
      <w:r w:rsidR="00924CE4" w:rsidRPr="00CE1B5B">
        <w:rPr>
          <w:rFonts w:ascii="Tahoma" w:hAnsi="Tahoma" w:cs="Tahoma"/>
          <w:sz w:val="20"/>
          <w:szCs w:val="20"/>
        </w:rPr>
        <w:t>61.470</w:t>
      </w:r>
      <w:r w:rsidRPr="00CE1B5B">
        <w:rPr>
          <w:rFonts w:ascii="Tahoma" w:hAnsi="Tahoma" w:cs="Tahoma"/>
          <w:sz w:val="20"/>
          <w:szCs w:val="20"/>
        </w:rPr>
        <w:t xml:space="preserve"> tis. Kč. </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Na reprodukci majetku kraje v odvětví kultury byly vyčleněny ve schváleném rozpočtu prostředky ve výši 5.500 tis. Kč. K </w:t>
      </w:r>
      <w:r w:rsidR="00061E36" w:rsidRPr="00CE1B5B">
        <w:rPr>
          <w:rFonts w:ascii="Tahoma" w:hAnsi="Tahoma" w:cs="Tahoma"/>
          <w:sz w:val="20"/>
          <w:szCs w:val="20"/>
        </w:rPr>
        <w:t>30. 4. 2014</w:t>
      </w:r>
      <w:r w:rsidRPr="00CE1B5B">
        <w:rPr>
          <w:rFonts w:ascii="Tahoma" w:hAnsi="Tahoma" w:cs="Tahoma"/>
          <w:sz w:val="20"/>
          <w:szCs w:val="20"/>
        </w:rPr>
        <w:t xml:space="preserve"> došlo celkově ke zvýšení rozpočtu, a to na </w:t>
      </w:r>
      <w:r w:rsidR="00924CE4" w:rsidRPr="00CE1B5B">
        <w:rPr>
          <w:rFonts w:ascii="Tahoma" w:hAnsi="Tahoma" w:cs="Tahoma"/>
          <w:sz w:val="20"/>
          <w:szCs w:val="20"/>
        </w:rPr>
        <w:t>44.192</w:t>
      </w:r>
      <w:r w:rsidRPr="00CE1B5B">
        <w:rPr>
          <w:rFonts w:ascii="Tahoma" w:hAnsi="Tahoma" w:cs="Tahoma"/>
          <w:sz w:val="20"/>
          <w:szCs w:val="20"/>
        </w:rPr>
        <w:t xml:space="preserve"> tis. Kč (více viz příloha č. 4 materiálu). Tyto prostředky byly čerpány zatím jen ve výši </w:t>
      </w:r>
      <w:r w:rsidR="00BC0426" w:rsidRPr="00CE1B5B">
        <w:rPr>
          <w:rFonts w:ascii="Tahoma" w:hAnsi="Tahoma" w:cs="Tahoma"/>
          <w:sz w:val="20"/>
          <w:szCs w:val="20"/>
        </w:rPr>
        <w:t>2</w:t>
      </w:r>
      <w:r w:rsidR="004E4376" w:rsidRPr="00CE1B5B">
        <w:rPr>
          <w:rFonts w:ascii="Tahoma" w:hAnsi="Tahoma" w:cs="Tahoma"/>
          <w:sz w:val="20"/>
          <w:szCs w:val="20"/>
        </w:rPr>
        <w:t>7</w:t>
      </w:r>
      <w:r w:rsidR="00BC0426" w:rsidRPr="00CE1B5B">
        <w:rPr>
          <w:rFonts w:ascii="Tahoma" w:hAnsi="Tahoma" w:cs="Tahoma"/>
          <w:sz w:val="20"/>
          <w:szCs w:val="20"/>
        </w:rPr>
        <w:t>5</w:t>
      </w:r>
      <w:r w:rsidRPr="00CE1B5B">
        <w:rPr>
          <w:rFonts w:ascii="Tahoma" w:hAnsi="Tahoma" w:cs="Tahoma"/>
          <w:sz w:val="20"/>
          <w:szCs w:val="20"/>
        </w:rPr>
        <w:t xml:space="preserve"> tis. Kč. </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Prostředky vyčleněné na akce spolufinancované z evropských finančních zdrojů byly čerpány ve výši </w:t>
      </w:r>
      <w:r w:rsidR="00924CE4" w:rsidRPr="00CE1B5B">
        <w:rPr>
          <w:rFonts w:ascii="Tahoma" w:hAnsi="Tahoma" w:cs="Tahoma"/>
          <w:sz w:val="20"/>
          <w:szCs w:val="20"/>
        </w:rPr>
        <w:t>675</w:t>
      </w:r>
      <w:r w:rsidRPr="00CE1B5B">
        <w:rPr>
          <w:rFonts w:ascii="Tahoma" w:hAnsi="Tahoma" w:cs="Tahoma"/>
          <w:sz w:val="20"/>
          <w:szCs w:val="20"/>
        </w:rPr>
        <w:t xml:space="preserve"> tis. Kč (více viz příloha č. 5 materiálu).</w:t>
      </w:r>
    </w:p>
    <w:p w:rsidR="00014B18" w:rsidRPr="00CE1B5B" w:rsidRDefault="00014B18" w:rsidP="00822A28">
      <w:pPr>
        <w:jc w:val="both"/>
        <w:rPr>
          <w:rFonts w:ascii="Tahoma" w:hAnsi="Tahoma" w:cs="Tahoma"/>
          <w:sz w:val="20"/>
          <w:szCs w:val="20"/>
        </w:rPr>
      </w:pPr>
    </w:p>
    <w:p w:rsidR="00014B18" w:rsidRPr="00CE1B5B" w:rsidRDefault="00CA247F" w:rsidP="00822A28">
      <w:pPr>
        <w:jc w:val="both"/>
        <w:rPr>
          <w:rFonts w:ascii="Tahoma" w:hAnsi="Tahoma" w:cs="Tahoma"/>
          <w:sz w:val="20"/>
          <w:szCs w:val="20"/>
        </w:rPr>
      </w:pPr>
      <w:r w:rsidRPr="00CE1B5B">
        <w:rPr>
          <w:rFonts w:ascii="Tahoma" w:hAnsi="Tahoma" w:cs="Tahoma"/>
          <w:sz w:val="20"/>
          <w:szCs w:val="20"/>
        </w:rPr>
        <w:object w:dxaOrig="9193" w:dyaOrig="2436">
          <v:shape id="_x0000_i1051" type="#_x0000_t75" style="width:450.75pt;height:119.25pt" o:ole="">
            <v:imagedata r:id="rId65" o:title=""/>
          </v:shape>
          <o:OLEObject Type="Embed" ProgID="Excel.Sheet.8" ShapeID="_x0000_i1051" DrawAspect="Content" ObjectID="_1462796458" r:id="rId66"/>
        </w:object>
      </w:r>
    </w:p>
    <w:p w:rsidR="00014B18" w:rsidRPr="00CE1B5B" w:rsidRDefault="00014B18" w:rsidP="00822A28">
      <w:pPr>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174" w:dyaOrig="5400">
          <v:shape id="_x0000_i1052" type="#_x0000_t75" style="width:449.25pt;height:270pt" o:ole="">
            <v:imagedata r:id="rId67" o:title=""/>
          </v:shape>
          <o:OLEObject Type="Embed" ProgID="Excel.Sheet.8" ShapeID="_x0000_i1052" DrawAspect="Content" ObjectID="_1462796459" r:id="rId68"/>
        </w:object>
      </w:r>
    </w:p>
    <w:p w:rsidR="00014B18" w:rsidRPr="00CE1B5B" w:rsidRDefault="00014B18" w:rsidP="00822A28">
      <w:pPr>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189" w:dyaOrig="3696">
          <v:shape id="_x0000_i1053" type="#_x0000_t75" style="width:445.5pt;height:180.75pt" o:ole="">
            <v:imagedata r:id="rId69" o:title=""/>
          </v:shape>
          <o:OLEObject Type="Embed" ProgID="Excel.Sheet.8" ShapeID="_x0000_i1053" DrawAspect="Content" ObjectID="_1462796460" r:id="rId70"/>
        </w:object>
      </w:r>
    </w:p>
    <w:p w:rsidR="00014B18" w:rsidRPr="00CE1B5B" w:rsidRDefault="00014B18" w:rsidP="00822A28">
      <w:pPr>
        <w:jc w:val="both"/>
        <w:rPr>
          <w:rFonts w:ascii="Tahoma" w:hAnsi="Tahoma" w:cs="Tahoma"/>
          <w:sz w:val="20"/>
          <w:szCs w:val="20"/>
        </w:rPr>
      </w:pPr>
    </w:p>
    <w:p w:rsidR="00014B18" w:rsidRPr="00CE1B5B" w:rsidRDefault="00014B18" w:rsidP="00822A28">
      <w:pPr>
        <w:pStyle w:val="Zkladntext"/>
        <w:spacing w:before="360"/>
        <w:rPr>
          <w:rFonts w:ascii="Tahoma" w:hAnsi="Tahoma" w:cs="Tahoma"/>
          <w:b/>
          <w:sz w:val="20"/>
        </w:rPr>
      </w:pPr>
      <w:r w:rsidRPr="00CE1B5B">
        <w:rPr>
          <w:rFonts w:ascii="Tahoma" w:hAnsi="Tahoma" w:cs="Tahoma"/>
          <w:b/>
          <w:sz w:val="20"/>
        </w:rPr>
        <w:t>Odvětví prezentace kraje a ediční plán</w:t>
      </w:r>
    </w:p>
    <w:p w:rsidR="00014B18" w:rsidRPr="00CE1B5B" w:rsidRDefault="00014B18" w:rsidP="00822A28">
      <w:pPr>
        <w:jc w:val="both"/>
        <w:rPr>
          <w:rFonts w:ascii="Tahoma" w:hAnsi="Tahoma" w:cs="Tahoma"/>
          <w:sz w:val="20"/>
          <w:szCs w:val="20"/>
        </w:rPr>
      </w:pPr>
    </w:p>
    <w:p w:rsidR="00014B18" w:rsidRPr="00CE1B5B" w:rsidRDefault="00014B18" w:rsidP="00822A28">
      <w:pPr>
        <w:tabs>
          <w:tab w:val="left" w:pos="7380"/>
        </w:tabs>
        <w:jc w:val="both"/>
        <w:rPr>
          <w:rFonts w:ascii="Tahoma" w:hAnsi="Tahoma" w:cs="Tahoma"/>
          <w:sz w:val="20"/>
          <w:szCs w:val="20"/>
        </w:rPr>
      </w:pPr>
      <w:r w:rsidRPr="00CE1B5B">
        <w:rPr>
          <w:rFonts w:ascii="Tahoma" w:hAnsi="Tahoma" w:cs="Tahoma"/>
          <w:sz w:val="20"/>
          <w:szCs w:val="20"/>
        </w:rPr>
        <w:t xml:space="preserve">Schválený rozpočet výdajů ve výši 17.670 tis. Kč v odvětví prezentace kraje a ediční plán byl celkově navýšen na částku </w:t>
      </w:r>
      <w:r w:rsidR="00924CE4" w:rsidRPr="00CE1B5B">
        <w:rPr>
          <w:rFonts w:ascii="Tahoma" w:hAnsi="Tahoma" w:cs="Tahoma"/>
          <w:sz w:val="20"/>
          <w:szCs w:val="20"/>
        </w:rPr>
        <w:t>25.391</w:t>
      </w:r>
      <w:r w:rsidRPr="00CE1B5B">
        <w:rPr>
          <w:rFonts w:ascii="Tahoma" w:hAnsi="Tahoma" w:cs="Tahoma"/>
          <w:sz w:val="20"/>
          <w:szCs w:val="20"/>
        </w:rPr>
        <w:t xml:space="preserve"> tis. Kč. Jednalo se zejména o navýšení prostředků určených na Realizaci komunikační strategie a o zapojení finančních prostředků z rezervy určené na podporu významných společenských a kulturních akcí kraje podporovaných formou individuální dotace. </w:t>
      </w:r>
      <w:r w:rsidR="000E7344" w:rsidRPr="00CE1B5B">
        <w:rPr>
          <w:rFonts w:ascii="Tahoma" w:hAnsi="Tahoma" w:cs="Tahoma"/>
          <w:sz w:val="20"/>
          <w:szCs w:val="20"/>
        </w:rPr>
        <w:t>K navýšení rozpočtu v daném odvětví došlo také zapojením části zůstatku finančních prostředků rozpočtového hospodaření roku 2013 do rozpočtu kraje roku 2014, a to v souvislosti s prezentaci a p</w:t>
      </w:r>
      <w:r w:rsidR="00DB1C60" w:rsidRPr="00CE1B5B">
        <w:rPr>
          <w:rFonts w:ascii="Tahoma" w:hAnsi="Tahoma" w:cs="Tahoma"/>
          <w:sz w:val="20"/>
          <w:szCs w:val="20"/>
        </w:rPr>
        <w:t>ropagaci kraje v EU celkově o 34</w:t>
      </w:r>
      <w:r w:rsidR="000E7344" w:rsidRPr="00CE1B5B">
        <w:rPr>
          <w:rFonts w:ascii="Tahoma" w:hAnsi="Tahoma" w:cs="Tahoma"/>
          <w:sz w:val="20"/>
          <w:szCs w:val="20"/>
        </w:rPr>
        <w:t xml:space="preserve">8 tis. Kč. </w:t>
      </w:r>
      <w:r w:rsidRPr="00CE1B5B">
        <w:rPr>
          <w:rFonts w:ascii="Tahoma" w:hAnsi="Tahoma" w:cs="Tahoma"/>
          <w:sz w:val="20"/>
          <w:szCs w:val="20"/>
        </w:rPr>
        <w:t xml:space="preserve">Celkově v tomto odvětví byly čerpány prostředky ve výši </w:t>
      </w:r>
      <w:r w:rsidR="005C7E74" w:rsidRPr="00CE1B5B">
        <w:rPr>
          <w:rFonts w:ascii="Tahoma" w:hAnsi="Tahoma" w:cs="Tahoma"/>
          <w:sz w:val="20"/>
          <w:szCs w:val="20"/>
        </w:rPr>
        <w:t>6.077</w:t>
      </w:r>
      <w:r w:rsidRPr="00CE1B5B">
        <w:rPr>
          <w:rFonts w:ascii="Tahoma" w:hAnsi="Tahoma" w:cs="Tahoma"/>
          <w:sz w:val="20"/>
          <w:szCs w:val="20"/>
        </w:rPr>
        <w:t xml:space="preserve"> tis. Kč.</w:t>
      </w:r>
    </w:p>
    <w:p w:rsidR="00014B18" w:rsidRPr="00CE1B5B" w:rsidRDefault="00014B18" w:rsidP="00822A28">
      <w:pPr>
        <w:tabs>
          <w:tab w:val="left" w:pos="7380"/>
        </w:tabs>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220" w:dyaOrig="2392">
          <v:shape id="_x0000_i1054" type="#_x0000_t75" style="width:461.25pt;height:119.25pt" o:ole="">
            <v:imagedata r:id="rId71" o:title=""/>
          </v:shape>
          <o:OLEObject Type="Embed" ProgID="Excel.Sheet.8" ShapeID="_x0000_i1054" DrawAspect="Content" ObjectID="_1462796461" r:id="rId72"/>
        </w:object>
      </w:r>
    </w:p>
    <w:p w:rsidR="00014B18" w:rsidRPr="00CE1B5B" w:rsidRDefault="00014B18" w:rsidP="00822A28">
      <w:pPr>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186" w:dyaOrig="3787">
          <v:shape id="_x0000_i1055" type="#_x0000_t75" style="width:459pt;height:189pt" o:ole="">
            <v:imagedata r:id="rId73" o:title=""/>
          </v:shape>
          <o:OLEObject Type="Embed" ProgID="Excel.Sheet.8" ShapeID="_x0000_i1055" DrawAspect="Content" ObjectID="_1462796462" r:id="rId74"/>
        </w:object>
      </w:r>
    </w:p>
    <w:p w:rsidR="00014B18" w:rsidRPr="00CE1B5B" w:rsidRDefault="00014B18" w:rsidP="00822A28">
      <w:pPr>
        <w:pStyle w:val="Zkladntext"/>
        <w:spacing w:before="360"/>
        <w:rPr>
          <w:rFonts w:ascii="Tahoma" w:hAnsi="Tahoma" w:cs="Tahoma"/>
          <w:b/>
          <w:sz w:val="20"/>
        </w:rPr>
      </w:pPr>
      <w:r w:rsidRPr="00CE1B5B">
        <w:rPr>
          <w:rFonts w:ascii="Tahoma" w:hAnsi="Tahoma" w:cs="Tahoma"/>
          <w:b/>
          <w:sz w:val="20"/>
        </w:rPr>
        <w:t xml:space="preserve">Odvětví regionálního rozvoje </w:t>
      </w:r>
    </w:p>
    <w:p w:rsidR="00014B18" w:rsidRPr="00CE1B5B" w:rsidRDefault="00014B18" w:rsidP="00822A28">
      <w:pPr>
        <w:pStyle w:val="Zkladntext"/>
        <w:spacing w:before="0"/>
        <w:rPr>
          <w:rFonts w:ascii="Tahoma" w:hAnsi="Tahoma" w:cs="Tahoma"/>
          <w:b/>
          <w:sz w:val="20"/>
        </w:rPr>
      </w:pPr>
    </w:p>
    <w:p w:rsidR="00014B18" w:rsidRPr="00CE1B5B" w:rsidRDefault="00014B18" w:rsidP="00B0701B">
      <w:pPr>
        <w:jc w:val="both"/>
        <w:rPr>
          <w:rFonts w:ascii="Tahoma" w:hAnsi="Tahoma" w:cs="Tahoma"/>
          <w:sz w:val="20"/>
          <w:szCs w:val="20"/>
        </w:rPr>
      </w:pPr>
      <w:r w:rsidRPr="00CE1B5B">
        <w:rPr>
          <w:rFonts w:ascii="Tahoma" w:hAnsi="Tahoma" w:cs="Tahoma"/>
          <w:sz w:val="20"/>
          <w:szCs w:val="20"/>
        </w:rPr>
        <w:t xml:space="preserve">Schválený rozpočet výdajů ve výši 140.323 tis. Kč v odvětví regionálního rozvoje byl celkově navýšen na částku </w:t>
      </w:r>
      <w:r w:rsidR="005C7E74" w:rsidRPr="00CE1B5B">
        <w:rPr>
          <w:rFonts w:ascii="Tahoma" w:hAnsi="Tahoma" w:cs="Tahoma"/>
          <w:sz w:val="20"/>
          <w:szCs w:val="20"/>
        </w:rPr>
        <w:t>249.107</w:t>
      </w:r>
      <w:r w:rsidRPr="00CE1B5B">
        <w:rPr>
          <w:rFonts w:ascii="Tahoma" w:hAnsi="Tahoma" w:cs="Tahoma"/>
          <w:sz w:val="20"/>
          <w:szCs w:val="20"/>
        </w:rPr>
        <w:t xml:space="preserve"> tis. Kč. K navýšení došlo především zapojením části zůstatku finančních prostředků rozpočtového hospodaření roku 2013 do rozpočtu kraje na rok 2014, z toho v největším objemu u dotačních programů (navýšení o </w:t>
      </w:r>
      <w:r w:rsidR="005C7E74" w:rsidRPr="00CE1B5B">
        <w:rPr>
          <w:rFonts w:ascii="Tahoma" w:hAnsi="Tahoma" w:cs="Tahoma"/>
          <w:sz w:val="20"/>
          <w:szCs w:val="20"/>
        </w:rPr>
        <w:t>67.394</w:t>
      </w:r>
      <w:r w:rsidRPr="00CE1B5B">
        <w:rPr>
          <w:rFonts w:ascii="Tahoma" w:hAnsi="Tahoma" w:cs="Tahoma"/>
          <w:sz w:val="20"/>
          <w:szCs w:val="20"/>
        </w:rPr>
        <w:t xml:space="preserve"> tis. Kč)</w:t>
      </w:r>
      <w:r w:rsidR="00CD7E31" w:rsidRPr="00CE1B5B">
        <w:rPr>
          <w:rFonts w:ascii="Tahoma" w:hAnsi="Tahoma" w:cs="Tahoma"/>
          <w:sz w:val="20"/>
          <w:szCs w:val="20"/>
        </w:rPr>
        <w:t>, ale také na podporu prezentace investičního potenciálu kraje, rozvoj investičních příležitostí, brownfields a projektů průmyslových zón (navýšení o</w:t>
      </w:r>
      <w:r w:rsidR="00622C12">
        <w:rPr>
          <w:rFonts w:ascii="Tahoma" w:hAnsi="Tahoma" w:cs="Tahoma"/>
          <w:sz w:val="20"/>
          <w:szCs w:val="20"/>
        </w:rPr>
        <w:t> </w:t>
      </w:r>
      <w:r w:rsidR="00D42639" w:rsidRPr="00CE1B5B">
        <w:rPr>
          <w:rFonts w:ascii="Tahoma" w:hAnsi="Tahoma" w:cs="Tahoma"/>
          <w:sz w:val="20"/>
          <w:szCs w:val="20"/>
        </w:rPr>
        <w:t>6.431</w:t>
      </w:r>
      <w:r w:rsidR="00CD7E31" w:rsidRPr="00CE1B5B">
        <w:rPr>
          <w:rFonts w:ascii="Tahoma" w:hAnsi="Tahoma" w:cs="Tahoma"/>
          <w:sz w:val="20"/>
          <w:szCs w:val="20"/>
        </w:rPr>
        <w:t xml:space="preserve"> tis. Kč)</w:t>
      </w:r>
      <w:r w:rsidRPr="00CE1B5B">
        <w:rPr>
          <w:rFonts w:ascii="Tahoma" w:hAnsi="Tahoma" w:cs="Tahoma"/>
          <w:sz w:val="20"/>
          <w:szCs w:val="20"/>
        </w:rPr>
        <w:t xml:space="preserve">. </w:t>
      </w:r>
      <w:r w:rsidR="00CD7E31" w:rsidRPr="00CE1B5B">
        <w:rPr>
          <w:rFonts w:ascii="Tahoma" w:hAnsi="Tahoma" w:cs="Tahoma"/>
          <w:sz w:val="20"/>
          <w:szCs w:val="20"/>
        </w:rPr>
        <w:t xml:space="preserve">V souvislosti se zabezpečením aktivit pracovních skupin tripartity pro řešení hospodářské a sociální situace Moravskoslezského kraje byly v rozpočtu nově vyčleněny prostředky </w:t>
      </w:r>
      <w:r w:rsidR="00D42639" w:rsidRPr="00CE1B5B">
        <w:rPr>
          <w:rFonts w:ascii="Tahoma" w:hAnsi="Tahoma" w:cs="Tahoma"/>
          <w:sz w:val="20"/>
          <w:szCs w:val="20"/>
        </w:rPr>
        <w:t>na</w:t>
      </w:r>
      <w:r w:rsidR="00622C12">
        <w:rPr>
          <w:rFonts w:ascii="Tahoma" w:hAnsi="Tahoma" w:cs="Tahoma"/>
          <w:sz w:val="20"/>
          <w:szCs w:val="20"/>
        </w:rPr>
        <w:t> </w:t>
      </w:r>
      <w:r w:rsidR="00D42639" w:rsidRPr="00CE1B5B">
        <w:rPr>
          <w:rFonts w:ascii="Tahoma" w:hAnsi="Tahoma" w:cs="Tahoma"/>
          <w:sz w:val="20"/>
          <w:szCs w:val="20"/>
        </w:rPr>
        <w:t xml:space="preserve">tyto aktivity </w:t>
      </w:r>
      <w:r w:rsidR="00CD7E31" w:rsidRPr="00CE1B5B">
        <w:rPr>
          <w:rFonts w:ascii="Tahoma" w:hAnsi="Tahoma" w:cs="Tahoma"/>
          <w:sz w:val="20"/>
          <w:szCs w:val="20"/>
        </w:rPr>
        <w:t xml:space="preserve">ve výši 2.000 tis. Kč. </w:t>
      </w:r>
      <w:r w:rsidRPr="00CE1B5B">
        <w:rPr>
          <w:rFonts w:ascii="Tahoma" w:hAnsi="Tahoma" w:cs="Tahoma"/>
          <w:sz w:val="20"/>
          <w:szCs w:val="20"/>
        </w:rPr>
        <w:t>V rámci odvětví byly také navýšeny finanční prostředky o</w:t>
      </w:r>
      <w:r w:rsidR="00622C12">
        <w:rPr>
          <w:rFonts w:ascii="Tahoma" w:hAnsi="Tahoma" w:cs="Tahoma"/>
          <w:sz w:val="20"/>
          <w:szCs w:val="20"/>
        </w:rPr>
        <w:t> </w:t>
      </w:r>
      <w:r w:rsidR="005C7E74" w:rsidRPr="00CE1B5B">
        <w:rPr>
          <w:rFonts w:ascii="Tahoma" w:hAnsi="Tahoma" w:cs="Tahoma"/>
          <w:sz w:val="20"/>
          <w:szCs w:val="20"/>
        </w:rPr>
        <w:t>3.760</w:t>
      </w:r>
      <w:r w:rsidR="00622C12">
        <w:rPr>
          <w:rFonts w:ascii="Tahoma" w:hAnsi="Tahoma" w:cs="Tahoma"/>
          <w:sz w:val="20"/>
          <w:szCs w:val="20"/>
        </w:rPr>
        <w:t> </w:t>
      </w:r>
      <w:r w:rsidRPr="00CE1B5B">
        <w:rPr>
          <w:rFonts w:ascii="Tahoma" w:hAnsi="Tahoma" w:cs="Tahoma"/>
          <w:sz w:val="20"/>
          <w:szCs w:val="20"/>
        </w:rPr>
        <w:t>tis.</w:t>
      </w:r>
      <w:r w:rsidR="00622C12">
        <w:rPr>
          <w:rFonts w:ascii="Tahoma" w:hAnsi="Tahoma" w:cs="Tahoma"/>
          <w:sz w:val="20"/>
          <w:szCs w:val="20"/>
        </w:rPr>
        <w:t> </w:t>
      </w:r>
      <w:r w:rsidRPr="00CE1B5B">
        <w:rPr>
          <w:rFonts w:ascii="Tahoma" w:hAnsi="Tahoma" w:cs="Tahoma"/>
          <w:sz w:val="20"/>
          <w:szCs w:val="20"/>
        </w:rPr>
        <w:t xml:space="preserve">Kč na podporu individuálních regionálních projektů v kraji (formou individuální dotace). </w:t>
      </w:r>
    </w:p>
    <w:p w:rsidR="00CD7E31" w:rsidRPr="00CE1B5B" w:rsidRDefault="00CD7E31" w:rsidP="00B0701B">
      <w:pPr>
        <w:jc w:val="both"/>
        <w:rPr>
          <w:rFonts w:ascii="Tahoma" w:hAnsi="Tahoma" w:cs="Tahoma"/>
          <w:sz w:val="20"/>
          <w:szCs w:val="20"/>
        </w:rPr>
      </w:pPr>
      <w:r w:rsidRPr="00CE1B5B">
        <w:rPr>
          <w:rFonts w:ascii="Tahoma" w:hAnsi="Tahoma" w:cs="Tahoma"/>
          <w:sz w:val="20"/>
          <w:szCs w:val="20"/>
        </w:rPr>
        <w:t xml:space="preserve">K navýšení rozpočtu v daném odvětví celkově o </w:t>
      </w:r>
      <w:r w:rsidR="00D42639" w:rsidRPr="00CE1B5B">
        <w:rPr>
          <w:rFonts w:ascii="Tahoma" w:hAnsi="Tahoma" w:cs="Tahoma"/>
          <w:sz w:val="20"/>
          <w:szCs w:val="20"/>
        </w:rPr>
        <w:t>16.250</w:t>
      </w:r>
      <w:r w:rsidRPr="00CE1B5B">
        <w:rPr>
          <w:rFonts w:ascii="Tahoma" w:hAnsi="Tahoma" w:cs="Tahoma"/>
          <w:sz w:val="20"/>
          <w:szCs w:val="20"/>
        </w:rPr>
        <w:t xml:space="preserve"> tis. Kč došlo také u prostředků vyčleněných na</w:t>
      </w:r>
      <w:r w:rsidR="00622C12">
        <w:rPr>
          <w:rFonts w:ascii="Tahoma" w:hAnsi="Tahoma" w:cs="Tahoma"/>
          <w:sz w:val="20"/>
          <w:szCs w:val="20"/>
        </w:rPr>
        <w:t> </w:t>
      </w:r>
      <w:r w:rsidRPr="00CE1B5B">
        <w:rPr>
          <w:rFonts w:ascii="Tahoma" w:hAnsi="Tahoma" w:cs="Tahoma"/>
          <w:sz w:val="20"/>
          <w:szCs w:val="20"/>
        </w:rPr>
        <w:t xml:space="preserve">průmyslové zóny v kraji, a to u Průmyslové zóny Nad Barborou o 11.000 tis. Kč (prostředky určené na přípravu, marketing, úhrada kupních cen pozemků, znalecké posudky aj.) a Průmyslové zóny Nošovice o </w:t>
      </w:r>
      <w:r w:rsidR="00D42639" w:rsidRPr="00CE1B5B">
        <w:rPr>
          <w:rFonts w:ascii="Tahoma" w:hAnsi="Tahoma" w:cs="Tahoma"/>
          <w:sz w:val="20"/>
          <w:szCs w:val="20"/>
        </w:rPr>
        <w:t>5.250</w:t>
      </w:r>
      <w:r w:rsidRPr="00CE1B5B">
        <w:rPr>
          <w:rFonts w:ascii="Tahoma" w:hAnsi="Tahoma" w:cs="Tahoma"/>
          <w:sz w:val="20"/>
          <w:szCs w:val="20"/>
        </w:rPr>
        <w:t xml:space="preserve"> tis. Kč (realizace přeložky distribučního zařízení  určeného k dodávce elektrické energie). </w:t>
      </w:r>
    </w:p>
    <w:p w:rsidR="00303104" w:rsidRPr="00CE1B5B" w:rsidRDefault="00303104" w:rsidP="00303104">
      <w:pPr>
        <w:jc w:val="both"/>
        <w:rPr>
          <w:rFonts w:ascii="Tahoma" w:hAnsi="Tahoma" w:cs="Tahoma"/>
          <w:sz w:val="20"/>
          <w:szCs w:val="20"/>
        </w:rPr>
      </w:pPr>
      <w:r w:rsidRPr="00CE1B5B">
        <w:rPr>
          <w:rFonts w:ascii="Tahoma" w:hAnsi="Tahoma" w:cs="Tahoma"/>
          <w:sz w:val="20"/>
          <w:szCs w:val="20"/>
        </w:rPr>
        <w:t xml:space="preserve">Moravskoslezský kraj a Statutární město Ostrava uzavřeli dne 31. 1. 2013 Smlouvu o sdružení finančních prostředků za účelem zajištění Programu podpory malých a středních podniků v Moravskoslezském kraji, realizovaného prostřednictvím poskytování mikropůjček, kde každá strana vyčlenila </w:t>
      </w:r>
      <w:proofErr w:type="spellStart"/>
      <w:r w:rsidRPr="00CE1B5B">
        <w:rPr>
          <w:rFonts w:ascii="Tahoma" w:hAnsi="Tahoma" w:cs="Tahoma"/>
          <w:sz w:val="20"/>
          <w:szCs w:val="20"/>
        </w:rPr>
        <w:t>finannčí</w:t>
      </w:r>
      <w:proofErr w:type="spellEnd"/>
      <w:r w:rsidRPr="00CE1B5B">
        <w:rPr>
          <w:rFonts w:ascii="Tahoma" w:hAnsi="Tahoma" w:cs="Tahoma"/>
          <w:sz w:val="20"/>
          <w:szCs w:val="20"/>
        </w:rPr>
        <w:t xml:space="preserve"> prostředky ve výši 2.500 tis. Kč V rámci tohoto programu byl na základě doporučení hodnotící komise poskytnut úvěr ve výši 500 tis. Kč společnosti neuro media s.r.o. na projekt „Smart </w:t>
      </w:r>
      <w:r w:rsidRPr="00CE1B5B">
        <w:rPr>
          <w:rFonts w:ascii="Tahoma" w:hAnsi="Tahoma" w:cs="Tahoma"/>
          <w:sz w:val="20"/>
          <w:szCs w:val="20"/>
          <w:lang w:val="en-US"/>
        </w:rPr>
        <w:t xml:space="preserve">&amp; </w:t>
      </w:r>
      <w:proofErr w:type="spellStart"/>
      <w:r w:rsidRPr="00CE1B5B">
        <w:rPr>
          <w:rFonts w:ascii="Tahoma" w:hAnsi="Tahoma" w:cs="Tahoma"/>
          <w:sz w:val="20"/>
          <w:szCs w:val="20"/>
        </w:rPr>
        <w:t>clever</w:t>
      </w:r>
      <w:proofErr w:type="spellEnd"/>
      <w:r w:rsidRPr="00CE1B5B">
        <w:rPr>
          <w:rFonts w:ascii="Tahoma" w:hAnsi="Tahoma" w:cs="Tahoma"/>
          <w:sz w:val="20"/>
          <w:szCs w:val="20"/>
        </w:rPr>
        <w:t xml:space="preserve"> </w:t>
      </w:r>
      <w:proofErr w:type="spellStart"/>
      <w:r w:rsidRPr="00CE1B5B">
        <w:rPr>
          <w:rFonts w:ascii="Tahoma" w:hAnsi="Tahoma" w:cs="Tahoma"/>
          <w:sz w:val="20"/>
          <w:szCs w:val="20"/>
        </w:rPr>
        <w:t>solution</w:t>
      </w:r>
      <w:proofErr w:type="spellEnd"/>
      <w:r w:rsidRPr="00CE1B5B">
        <w:rPr>
          <w:rFonts w:ascii="Tahoma" w:hAnsi="Tahoma" w:cs="Tahoma"/>
          <w:sz w:val="20"/>
          <w:szCs w:val="20"/>
        </w:rPr>
        <w:t xml:space="preserve"> for </w:t>
      </w:r>
      <w:proofErr w:type="spellStart"/>
      <w:r w:rsidRPr="00CE1B5B">
        <w:rPr>
          <w:rFonts w:ascii="Tahoma" w:hAnsi="Tahoma" w:cs="Tahoma"/>
          <w:sz w:val="20"/>
          <w:szCs w:val="20"/>
        </w:rPr>
        <w:t>slomo</w:t>
      </w:r>
      <w:proofErr w:type="spellEnd"/>
      <w:r w:rsidRPr="00CE1B5B">
        <w:rPr>
          <w:rFonts w:ascii="Tahoma" w:hAnsi="Tahoma" w:cs="Tahoma"/>
          <w:sz w:val="20"/>
          <w:szCs w:val="20"/>
        </w:rPr>
        <w:t xml:space="preserve"> </w:t>
      </w:r>
      <w:r w:rsidRPr="00CE1B5B">
        <w:rPr>
          <w:rFonts w:ascii="Tahoma" w:hAnsi="Tahoma" w:cs="Tahoma"/>
          <w:sz w:val="20"/>
          <w:szCs w:val="20"/>
          <w:lang w:val="en-US"/>
        </w:rPr>
        <w:t xml:space="preserve">&amp; </w:t>
      </w:r>
      <w:r w:rsidRPr="00CE1B5B">
        <w:rPr>
          <w:rFonts w:ascii="Tahoma" w:hAnsi="Tahoma" w:cs="Tahoma"/>
          <w:sz w:val="20"/>
          <w:szCs w:val="20"/>
        </w:rPr>
        <w:t xml:space="preserve">video </w:t>
      </w:r>
      <w:proofErr w:type="spellStart"/>
      <w:r w:rsidRPr="00CE1B5B">
        <w:rPr>
          <w:rFonts w:ascii="Tahoma" w:hAnsi="Tahoma" w:cs="Tahoma"/>
          <w:sz w:val="20"/>
          <w:szCs w:val="20"/>
        </w:rPr>
        <w:t>swittcher</w:t>
      </w:r>
      <w:proofErr w:type="spellEnd"/>
      <w:r w:rsidRPr="00CE1B5B">
        <w:rPr>
          <w:rFonts w:ascii="Tahoma" w:hAnsi="Tahoma" w:cs="Tahoma"/>
          <w:sz w:val="20"/>
          <w:szCs w:val="20"/>
        </w:rPr>
        <w:t>“. V návaznosti na rozhodnutí zastupitelstva statutárního města Ostrava pokračovat v tomto programu, ale bez prodloužení termínu výzvy, vyhlásilo zastupitelstvo kraje Program podpory malých a středních podniků v Moravskoslezském kraji, realizovaném prostřednictvím mikropůjček II. a vyčlenilo na tento Program II. finanční prostředky ve výši 1.000 tis. Kč. Na úhradu odměn členům komise, která hodnotí předložené projekty v rámci tohoto programu, byly do rozpočtu kraje zapojeny prostředky Regionálního rozvojového fondu ve výši 85 tis. Kč.</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Celkové výdaje v odvětví byly čerpány ve výši </w:t>
      </w:r>
      <w:r w:rsidR="005C7E74" w:rsidRPr="00CE1B5B">
        <w:rPr>
          <w:rFonts w:ascii="Tahoma" w:hAnsi="Tahoma" w:cs="Tahoma"/>
          <w:sz w:val="20"/>
          <w:szCs w:val="20"/>
        </w:rPr>
        <w:t>34.225</w:t>
      </w:r>
      <w:r w:rsidRPr="00CE1B5B">
        <w:rPr>
          <w:rFonts w:ascii="Tahoma" w:hAnsi="Tahoma" w:cs="Tahoma"/>
          <w:sz w:val="20"/>
          <w:szCs w:val="20"/>
        </w:rPr>
        <w:t xml:space="preserve"> tis. Kč, tj.  na 1</w:t>
      </w:r>
      <w:r w:rsidR="005C7E74" w:rsidRPr="00CE1B5B">
        <w:rPr>
          <w:rFonts w:ascii="Tahoma" w:hAnsi="Tahoma" w:cs="Tahoma"/>
          <w:sz w:val="20"/>
          <w:szCs w:val="20"/>
        </w:rPr>
        <w:t>8,5</w:t>
      </w:r>
      <w:r w:rsidRPr="00CE1B5B">
        <w:rPr>
          <w:rFonts w:ascii="Tahoma" w:hAnsi="Tahoma" w:cs="Tahoma"/>
          <w:sz w:val="20"/>
          <w:szCs w:val="20"/>
        </w:rPr>
        <w:t xml:space="preserve"> %.</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V rámci prostředků vyčleněných na dotační programy v celkové výši </w:t>
      </w:r>
      <w:r w:rsidR="005C7E74" w:rsidRPr="00CE1B5B">
        <w:rPr>
          <w:rFonts w:ascii="Tahoma" w:hAnsi="Tahoma" w:cs="Tahoma"/>
          <w:sz w:val="20"/>
          <w:szCs w:val="20"/>
        </w:rPr>
        <w:t>105.394</w:t>
      </w:r>
      <w:r w:rsidRPr="00CE1B5B">
        <w:rPr>
          <w:rFonts w:ascii="Tahoma" w:hAnsi="Tahoma" w:cs="Tahoma"/>
          <w:sz w:val="20"/>
          <w:szCs w:val="20"/>
        </w:rPr>
        <w:t xml:space="preserve"> tis. Kč bylo vyplaceno ve sledovaném období celkově </w:t>
      </w:r>
      <w:r w:rsidR="005C7E74" w:rsidRPr="00CE1B5B">
        <w:rPr>
          <w:rFonts w:ascii="Tahoma" w:hAnsi="Tahoma" w:cs="Tahoma"/>
          <w:sz w:val="20"/>
          <w:szCs w:val="20"/>
        </w:rPr>
        <w:t>19.369</w:t>
      </w:r>
      <w:r w:rsidRPr="00CE1B5B">
        <w:rPr>
          <w:rFonts w:ascii="Tahoma" w:hAnsi="Tahoma" w:cs="Tahoma"/>
          <w:sz w:val="20"/>
          <w:szCs w:val="20"/>
        </w:rPr>
        <w:t xml:space="preserve"> tis. Kč, tj. </w:t>
      </w:r>
      <w:r w:rsidR="005C7E74" w:rsidRPr="00CE1B5B">
        <w:rPr>
          <w:rFonts w:ascii="Tahoma" w:hAnsi="Tahoma" w:cs="Tahoma"/>
          <w:sz w:val="20"/>
          <w:szCs w:val="20"/>
        </w:rPr>
        <w:t>18,4</w:t>
      </w:r>
      <w:r w:rsidRPr="00CE1B5B">
        <w:rPr>
          <w:rFonts w:ascii="Tahoma" w:hAnsi="Tahoma" w:cs="Tahoma"/>
          <w:sz w:val="20"/>
          <w:szCs w:val="20"/>
        </w:rPr>
        <w:t xml:space="preserve"> % upraveného rozpočtu. </w:t>
      </w:r>
    </w:p>
    <w:p w:rsidR="00014B18" w:rsidRPr="00CE1B5B" w:rsidRDefault="00014B18" w:rsidP="00B0701B">
      <w:pPr>
        <w:jc w:val="both"/>
        <w:rPr>
          <w:rFonts w:ascii="Tahoma" w:hAnsi="Tahoma" w:cs="Tahoma"/>
          <w:sz w:val="20"/>
          <w:szCs w:val="20"/>
        </w:rPr>
      </w:pPr>
      <w:r w:rsidRPr="00CE1B5B">
        <w:rPr>
          <w:rFonts w:ascii="Tahoma" w:hAnsi="Tahoma" w:cs="Tahoma"/>
          <w:sz w:val="20"/>
          <w:szCs w:val="20"/>
        </w:rPr>
        <w:lastRenderedPageBreak/>
        <w:t>Na reprodukci majetku kraje v odvětví regionálního rozvoje byly vyčleněny v upraveném rozpočtu prostředky ve výši 450 tis. Kč (více viz příloha č. 4 materiálu). Tyto prostředky dosud nebyly čerpány.</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Výdaje na akce spolufinancované z evropských finančních zdrojů činily </w:t>
      </w:r>
      <w:r w:rsidR="005C7E74" w:rsidRPr="00CE1B5B">
        <w:rPr>
          <w:rFonts w:ascii="Tahoma" w:hAnsi="Tahoma" w:cs="Tahoma"/>
          <w:sz w:val="20"/>
          <w:szCs w:val="20"/>
        </w:rPr>
        <w:t>595</w:t>
      </w:r>
      <w:r w:rsidRPr="00CE1B5B">
        <w:rPr>
          <w:rFonts w:ascii="Tahoma" w:hAnsi="Tahoma" w:cs="Tahoma"/>
          <w:sz w:val="20"/>
          <w:szCs w:val="20"/>
        </w:rPr>
        <w:t xml:space="preserve"> tis. Kč, což představuje </w:t>
      </w:r>
      <w:r w:rsidR="005C7E74" w:rsidRPr="00CE1B5B">
        <w:rPr>
          <w:rFonts w:ascii="Tahoma" w:hAnsi="Tahoma" w:cs="Tahoma"/>
          <w:sz w:val="20"/>
          <w:szCs w:val="20"/>
        </w:rPr>
        <w:t>1,1</w:t>
      </w:r>
      <w:r w:rsidRPr="00CE1B5B">
        <w:rPr>
          <w:rFonts w:ascii="Tahoma" w:hAnsi="Tahoma" w:cs="Tahoma"/>
          <w:sz w:val="20"/>
          <w:szCs w:val="20"/>
        </w:rPr>
        <w:t> % upraveného rozpočtu (více viz příloha č. 5 materiálu).</w:t>
      </w:r>
    </w:p>
    <w:p w:rsidR="00014B18" w:rsidRPr="00CE1B5B" w:rsidRDefault="00014B18" w:rsidP="00822A28">
      <w:pPr>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287" w:dyaOrig="2419">
          <v:shape id="_x0000_i1056" type="#_x0000_t75" style="width:455.25pt;height:118.5pt" o:ole="">
            <v:imagedata r:id="rId75" o:title=""/>
          </v:shape>
          <o:OLEObject Type="Embed" ProgID="Excel.Sheet.8" ShapeID="_x0000_i1056" DrawAspect="Content" ObjectID="_1462796463" r:id="rId76"/>
        </w:object>
      </w:r>
    </w:p>
    <w:p w:rsidR="00014B18" w:rsidRPr="00CE1B5B" w:rsidRDefault="00014B18" w:rsidP="00AB7993">
      <w:pPr>
        <w:jc w:val="both"/>
        <w:rPr>
          <w:rFonts w:ascii="Tahoma" w:hAnsi="Tahoma" w:cs="Tahoma"/>
          <w:sz w:val="20"/>
          <w:szCs w:val="20"/>
        </w:rPr>
      </w:pPr>
    </w:p>
    <w:p w:rsidR="00014B18" w:rsidRPr="00CE1B5B" w:rsidRDefault="00D81BAF" w:rsidP="00571990">
      <w:pPr>
        <w:jc w:val="both"/>
        <w:rPr>
          <w:rFonts w:ascii="Tahoma" w:hAnsi="Tahoma" w:cs="Tahoma"/>
          <w:sz w:val="20"/>
          <w:szCs w:val="20"/>
        </w:rPr>
      </w:pPr>
      <w:r w:rsidRPr="00CE1B5B">
        <w:rPr>
          <w:rFonts w:ascii="Tahoma" w:hAnsi="Tahoma" w:cs="Tahoma"/>
          <w:sz w:val="20"/>
          <w:szCs w:val="20"/>
        </w:rPr>
        <w:object w:dxaOrig="9679" w:dyaOrig="6953">
          <v:shape id="_x0000_i1057" type="#_x0000_t75" style="width:455.25pt;height:309pt" o:ole="">
            <v:imagedata r:id="rId77" o:title=""/>
          </v:shape>
          <o:OLEObject Type="Embed" ProgID="Excel.Sheet.8" ShapeID="_x0000_i1057" DrawAspect="Content" ObjectID="_1462796464" r:id="rId78"/>
        </w:object>
      </w:r>
    </w:p>
    <w:p w:rsidR="00014B18" w:rsidRPr="00CE1B5B" w:rsidRDefault="00014B18" w:rsidP="00B34332">
      <w:pPr>
        <w:pStyle w:val="Zkladntext"/>
        <w:rPr>
          <w:rFonts w:ascii="Tahoma" w:hAnsi="Tahoma" w:cs="Tahoma"/>
          <w:vanish/>
          <w:sz w:val="20"/>
          <w:szCs w:val="20"/>
          <w:specVanish/>
        </w:rPr>
      </w:pPr>
    </w:p>
    <w:p w:rsidR="00014B18" w:rsidRPr="00CE1B5B" w:rsidRDefault="00014B18" w:rsidP="00B34332">
      <w:pPr>
        <w:pStyle w:val="Zkladntext"/>
        <w:rPr>
          <w:rFonts w:ascii="Tahoma" w:hAnsi="Tahoma" w:cs="Tahoma"/>
          <w:b/>
          <w:sz w:val="20"/>
        </w:rPr>
      </w:pPr>
      <w:r w:rsidRPr="00CE1B5B">
        <w:rPr>
          <w:rFonts w:ascii="Tahoma" w:hAnsi="Tahoma" w:cs="Tahoma"/>
          <w:b/>
          <w:vanish/>
          <w:sz w:val="20"/>
        </w:rPr>
        <w:t xml:space="preserve"> </w:t>
      </w:r>
    </w:p>
    <w:p w:rsidR="00014B18" w:rsidRPr="00CE1B5B" w:rsidRDefault="00014B18" w:rsidP="00B34332">
      <w:pPr>
        <w:pStyle w:val="Zkladntext"/>
        <w:rPr>
          <w:rFonts w:ascii="Tahoma" w:hAnsi="Tahoma" w:cs="Tahoma"/>
          <w:b/>
          <w:vanish/>
          <w:sz w:val="20"/>
          <w:specVanish/>
        </w:rPr>
      </w:pPr>
    </w:p>
    <w:p w:rsidR="00014B18" w:rsidRPr="00CE1B5B" w:rsidRDefault="00014B18" w:rsidP="00822A28">
      <w:pPr>
        <w:pStyle w:val="Zkladntext"/>
        <w:rPr>
          <w:rFonts w:ascii="Tahoma" w:hAnsi="Tahoma" w:cs="Tahoma"/>
          <w:b/>
          <w:sz w:val="20"/>
        </w:rPr>
      </w:pPr>
      <w:r w:rsidRPr="00CE1B5B">
        <w:rPr>
          <w:rFonts w:ascii="Tahoma" w:hAnsi="Tahoma" w:cs="Tahoma"/>
          <w:b/>
          <w:sz w:val="20"/>
        </w:rPr>
        <w:t xml:space="preserve"> Odvětví cestovního ruchu</w:t>
      </w:r>
    </w:p>
    <w:p w:rsidR="00014B18" w:rsidRPr="00CE1B5B" w:rsidRDefault="00014B18" w:rsidP="00822A28">
      <w:pPr>
        <w:jc w:val="both"/>
        <w:rPr>
          <w:rFonts w:ascii="Tahoma" w:hAnsi="Tahoma" w:cs="Tahoma"/>
          <w:sz w:val="20"/>
          <w:szCs w:val="20"/>
        </w:rPr>
      </w:pP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Schválený rozpočet výdajů ve výši 47.680 tis. Kč v odvětví cestovního ruchu byl celkově navýšen na částku </w:t>
      </w:r>
      <w:r w:rsidR="00DC671D" w:rsidRPr="00CE1B5B">
        <w:rPr>
          <w:rFonts w:ascii="Tahoma" w:hAnsi="Tahoma" w:cs="Tahoma"/>
          <w:sz w:val="20"/>
          <w:szCs w:val="20"/>
        </w:rPr>
        <w:t>96.485</w:t>
      </w:r>
      <w:r w:rsidRPr="00CE1B5B">
        <w:rPr>
          <w:rFonts w:ascii="Tahoma" w:hAnsi="Tahoma" w:cs="Tahoma"/>
          <w:sz w:val="20"/>
          <w:szCs w:val="20"/>
        </w:rPr>
        <w:t> tis. Kč.</w:t>
      </w:r>
    </w:p>
    <w:p w:rsidR="00594F08" w:rsidRPr="00CE1B5B" w:rsidRDefault="00014B18" w:rsidP="00822A28">
      <w:pPr>
        <w:jc w:val="both"/>
        <w:rPr>
          <w:rFonts w:ascii="Tahoma" w:hAnsi="Tahoma" w:cs="Tahoma"/>
          <w:sz w:val="20"/>
          <w:szCs w:val="20"/>
        </w:rPr>
      </w:pPr>
      <w:r w:rsidRPr="00CE1B5B">
        <w:rPr>
          <w:rFonts w:ascii="Tahoma" w:hAnsi="Tahoma" w:cs="Tahoma"/>
          <w:sz w:val="20"/>
          <w:szCs w:val="20"/>
        </w:rPr>
        <w:t>Na dotační programy vyhlašované v rámci tohoto odvětví bylo ve schváleném rozpočtu na rok 2014 vyčleněno 9.500 tis. Kč. Rozpočet byl v důsledku zapojení části zůstatku finančních prostředků rozpočtového hospodaření roku 2013 do rozpočtu kraje na rok 2014 navýšen na doplatky dotačních programů vyhlášených v předešlých letech, a to o </w:t>
      </w:r>
      <w:r w:rsidR="00DC671D" w:rsidRPr="00CE1B5B">
        <w:rPr>
          <w:rFonts w:ascii="Tahoma" w:hAnsi="Tahoma" w:cs="Tahoma"/>
          <w:sz w:val="20"/>
          <w:szCs w:val="20"/>
        </w:rPr>
        <w:t>6.629</w:t>
      </w:r>
      <w:r w:rsidRPr="00CE1B5B">
        <w:rPr>
          <w:rFonts w:ascii="Tahoma" w:hAnsi="Tahoma" w:cs="Tahoma"/>
          <w:sz w:val="20"/>
          <w:szCs w:val="20"/>
        </w:rPr>
        <w:t xml:space="preserve"> tis. Kč. Dále byl rozpočet v oblasti samosprávných činností navýšen o dotaci ve výši 10.000 tis. Kč poskytnutou zájmovému sdružení právnických osob Dolní oblast Vítkovice na realizaci projektu Rozšíření a zpřístupnění provozování NKP a</w:t>
      </w:r>
      <w:r w:rsidR="00D33C79" w:rsidRPr="00CE1B5B">
        <w:rPr>
          <w:rFonts w:ascii="Tahoma" w:hAnsi="Tahoma" w:cs="Tahoma"/>
          <w:sz w:val="20"/>
          <w:szCs w:val="20"/>
        </w:rPr>
        <w:t> </w:t>
      </w:r>
      <w:r w:rsidRPr="00CE1B5B">
        <w:rPr>
          <w:rFonts w:ascii="Tahoma" w:hAnsi="Tahoma" w:cs="Tahoma"/>
          <w:sz w:val="20"/>
          <w:szCs w:val="20"/>
        </w:rPr>
        <w:t xml:space="preserve"> KP</w:t>
      </w:r>
      <w:r w:rsidR="00DB1C60" w:rsidRPr="00CE1B5B">
        <w:rPr>
          <w:rFonts w:ascii="Tahoma" w:hAnsi="Tahoma" w:cs="Tahoma"/>
          <w:sz w:val="20"/>
          <w:szCs w:val="20"/>
        </w:rPr>
        <w:t>,</w:t>
      </w:r>
      <w:r w:rsidRPr="00CE1B5B">
        <w:rPr>
          <w:rFonts w:ascii="Tahoma" w:hAnsi="Tahoma" w:cs="Tahoma"/>
          <w:sz w:val="20"/>
          <w:szCs w:val="20"/>
        </w:rPr>
        <w:t xml:space="preserve"> </w:t>
      </w:r>
      <w:r w:rsidR="00594F08" w:rsidRPr="00CE1B5B">
        <w:rPr>
          <w:rFonts w:ascii="Tahoma" w:hAnsi="Tahoma" w:cs="Tahoma"/>
          <w:sz w:val="20"/>
          <w:szCs w:val="20"/>
        </w:rPr>
        <w:t xml:space="preserve">na podporu rozvojových aktivit v tomto odvětví ve výši </w:t>
      </w:r>
      <w:r w:rsidR="00DB1C60" w:rsidRPr="00CE1B5B">
        <w:rPr>
          <w:rFonts w:ascii="Tahoma" w:hAnsi="Tahoma" w:cs="Tahoma"/>
          <w:sz w:val="20"/>
          <w:szCs w:val="20"/>
        </w:rPr>
        <w:t>9.073</w:t>
      </w:r>
      <w:r w:rsidR="00594F08" w:rsidRPr="00CE1B5B">
        <w:rPr>
          <w:rFonts w:ascii="Tahoma" w:hAnsi="Tahoma" w:cs="Tahoma"/>
          <w:sz w:val="20"/>
          <w:szCs w:val="20"/>
        </w:rPr>
        <w:t> tis. Kč</w:t>
      </w:r>
      <w:r w:rsidR="002251AA" w:rsidRPr="00CE1B5B">
        <w:rPr>
          <w:rFonts w:ascii="Tahoma" w:hAnsi="Tahoma" w:cs="Tahoma"/>
          <w:sz w:val="20"/>
          <w:szCs w:val="20"/>
        </w:rPr>
        <w:t xml:space="preserve"> a na Podporu předprojektové přípravy projektu Dolní oblast Vítkovice – Kreativní centrum ve výši 1.000 tis. Kč</w:t>
      </w:r>
      <w:r w:rsidR="00594F08" w:rsidRPr="00CE1B5B">
        <w:rPr>
          <w:rFonts w:ascii="Tahoma" w:hAnsi="Tahoma" w:cs="Tahoma"/>
          <w:sz w:val="20"/>
          <w:szCs w:val="20"/>
        </w:rPr>
        <w:t xml:space="preserve">. V souvislosti s podporou realizace nového značení zejména </w:t>
      </w:r>
      <w:proofErr w:type="spellStart"/>
      <w:r w:rsidR="00594F08" w:rsidRPr="00CE1B5B">
        <w:rPr>
          <w:rFonts w:ascii="Tahoma" w:hAnsi="Tahoma" w:cs="Tahoma"/>
          <w:sz w:val="20"/>
          <w:szCs w:val="20"/>
        </w:rPr>
        <w:t>hipostezek</w:t>
      </w:r>
      <w:proofErr w:type="spellEnd"/>
      <w:r w:rsidR="00594F08" w:rsidRPr="00CE1B5B">
        <w:rPr>
          <w:rFonts w:ascii="Tahoma" w:hAnsi="Tahoma" w:cs="Tahoma"/>
          <w:sz w:val="20"/>
          <w:szCs w:val="20"/>
        </w:rPr>
        <w:t xml:space="preserve"> a obnovy stávajícího značení pěších tras a cyklotras došlo k navýšení prostředků vyčleněných na turistické značení, a to celkově o</w:t>
      </w:r>
      <w:r w:rsidR="00622C12">
        <w:rPr>
          <w:rFonts w:ascii="Tahoma" w:hAnsi="Tahoma" w:cs="Tahoma"/>
          <w:sz w:val="20"/>
          <w:szCs w:val="20"/>
        </w:rPr>
        <w:t> </w:t>
      </w:r>
      <w:r w:rsidR="00594F08" w:rsidRPr="00CE1B5B">
        <w:rPr>
          <w:rFonts w:ascii="Tahoma" w:hAnsi="Tahoma" w:cs="Tahoma"/>
          <w:sz w:val="20"/>
          <w:szCs w:val="20"/>
        </w:rPr>
        <w:t>400 tis. Kč.</w:t>
      </w:r>
      <w:r w:rsidR="002251AA" w:rsidRPr="00CE1B5B">
        <w:rPr>
          <w:rFonts w:ascii="Tahoma" w:hAnsi="Tahoma" w:cs="Tahoma"/>
          <w:sz w:val="20"/>
          <w:szCs w:val="20"/>
        </w:rPr>
        <w:t xml:space="preserve"> </w:t>
      </w:r>
      <w:r w:rsidR="00594F08" w:rsidRPr="00CE1B5B">
        <w:rPr>
          <w:rFonts w:ascii="Tahoma" w:hAnsi="Tahoma" w:cs="Tahoma"/>
          <w:sz w:val="20"/>
          <w:szCs w:val="20"/>
        </w:rPr>
        <w:t>P</w:t>
      </w:r>
      <w:r w:rsidRPr="00CE1B5B">
        <w:rPr>
          <w:rFonts w:ascii="Tahoma" w:hAnsi="Tahoma" w:cs="Tahoma"/>
          <w:sz w:val="20"/>
          <w:szCs w:val="20"/>
        </w:rPr>
        <w:t xml:space="preserve">rostředky související především s poskytnutím individuálních dotací určených na podporu cestovního ruchu </w:t>
      </w:r>
      <w:r w:rsidR="00594F08" w:rsidRPr="00CE1B5B">
        <w:rPr>
          <w:rFonts w:ascii="Tahoma" w:hAnsi="Tahoma" w:cs="Tahoma"/>
          <w:sz w:val="20"/>
          <w:szCs w:val="20"/>
        </w:rPr>
        <w:t xml:space="preserve">byly navýšeny o prostředky ve výši </w:t>
      </w:r>
      <w:r w:rsidR="00DC671D" w:rsidRPr="00CE1B5B">
        <w:rPr>
          <w:rFonts w:ascii="Tahoma" w:hAnsi="Tahoma" w:cs="Tahoma"/>
          <w:sz w:val="20"/>
          <w:szCs w:val="20"/>
        </w:rPr>
        <w:t>3.493</w:t>
      </w:r>
      <w:r w:rsidR="00594F08" w:rsidRPr="00CE1B5B">
        <w:rPr>
          <w:rFonts w:ascii="Tahoma" w:hAnsi="Tahoma" w:cs="Tahoma"/>
          <w:sz w:val="20"/>
          <w:szCs w:val="20"/>
        </w:rPr>
        <w:t xml:space="preserve"> tis. Kč.</w:t>
      </w:r>
    </w:p>
    <w:p w:rsidR="00594F08" w:rsidRPr="00CE1B5B" w:rsidRDefault="00594F08" w:rsidP="00822A28">
      <w:pPr>
        <w:jc w:val="both"/>
        <w:rPr>
          <w:rFonts w:ascii="Tahoma" w:hAnsi="Tahoma" w:cs="Tahoma"/>
          <w:sz w:val="20"/>
          <w:szCs w:val="20"/>
        </w:rPr>
      </w:pPr>
      <w:r w:rsidRPr="00CE1B5B">
        <w:rPr>
          <w:rFonts w:ascii="Tahoma" w:hAnsi="Tahoma" w:cs="Tahoma"/>
          <w:sz w:val="20"/>
          <w:szCs w:val="20"/>
        </w:rPr>
        <w:lastRenderedPageBreak/>
        <w:t xml:space="preserve">V souvislosti se založením a zajištěním provozu nové incomingové </w:t>
      </w:r>
      <w:r w:rsidR="002251AA" w:rsidRPr="00CE1B5B">
        <w:rPr>
          <w:rFonts w:ascii="Tahoma" w:hAnsi="Tahoma" w:cs="Tahoma"/>
          <w:sz w:val="20"/>
          <w:szCs w:val="20"/>
        </w:rPr>
        <w:t xml:space="preserve">obchodní </w:t>
      </w:r>
      <w:r w:rsidRPr="00CE1B5B">
        <w:rPr>
          <w:rFonts w:ascii="Tahoma" w:hAnsi="Tahoma" w:cs="Tahoma"/>
          <w:sz w:val="20"/>
          <w:szCs w:val="20"/>
        </w:rPr>
        <w:t xml:space="preserve">společnosti </w:t>
      </w:r>
      <w:r w:rsidR="002251AA" w:rsidRPr="00CE1B5B">
        <w:rPr>
          <w:rFonts w:ascii="Tahoma" w:hAnsi="Tahoma" w:cs="Tahoma"/>
          <w:sz w:val="20"/>
          <w:szCs w:val="20"/>
        </w:rPr>
        <w:t xml:space="preserve">kraje Moravian-Silesian Tourism, </w:t>
      </w:r>
      <w:r w:rsidRPr="00CE1B5B">
        <w:rPr>
          <w:rFonts w:ascii="Tahoma" w:hAnsi="Tahoma" w:cs="Tahoma"/>
          <w:sz w:val="20"/>
          <w:szCs w:val="20"/>
        </w:rPr>
        <w:t>s.r.o.</w:t>
      </w:r>
      <w:r w:rsidR="002251AA" w:rsidRPr="00CE1B5B">
        <w:rPr>
          <w:rFonts w:ascii="Tahoma" w:hAnsi="Tahoma" w:cs="Tahoma"/>
          <w:sz w:val="20"/>
          <w:szCs w:val="20"/>
        </w:rPr>
        <w:t xml:space="preserve"> byly v rozpočtu 2014 vyčleněny prostředky ve výši 1.000 tis. Kč související s peněžitým vkladem do základního kapitálu této obchodní společnosti.</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Čerpání výdajů v odvětví cestovního ruchu činilo k </w:t>
      </w:r>
      <w:r w:rsidR="00061E36" w:rsidRPr="00CE1B5B">
        <w:rPr>
          <w:rFonts w:ascii="Tahoma" w:hAnsi="Tahoma" w:cs="Tahoma"/>
          <w:sz w:val="20"/>
          <w:szCs w:val="20"/>
        </w:rPr>
        <w:t>30. 4. 2014</w:t>
      </w:r>
      <w:r w:rsidRPr="00CE1B5B">
        <w:rPr>
          <w:rFonts w:ascii="Tahoma" w:hAnsi="Tahoma" w:cs="Tahoma"/>
          <w:sz w:val="20"/>
          <w:szCs w:val="20"/>
        </w:rPr>
        <w:t xml:space="preserve"> celkem </w:t>
      </w:r>
      <w:r w:rsidR="00DC671D" w:rsidRPr="00CE1B5B">
        <w:rPr>
          <w:rFonts w:ascii="Tahoma" w:hAnsi="Tahoma" w:cs="Tahoma"/>
          <w:sz w:val="20"/>
          <w:szCs w:val="20"/>
        </w:rPr>
        <w:t>18.205</w:t>
      </w:r>
      <w:r w:rsidRPr="00CE1B5B">
        <w:rPr>
          <w:rFonts w:ascii="Tahoma" w:hAnsi="Tahoma" w:cs="Tahoma"/>
          <w:sz w:val="20"/>
          <w:szCs w:val="20"/>
        </w:rPr>
        <w:t xml:space="preserve"> tis. Kč. </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Na akce reprodukce majetku kraje v odvětví cestovního ruchu byly k </w:t>
      </w:r>
      <w:r w:rsidR="00061E36" w:rsidRPr="00CE1B5B">
        <w:rPr>
          <w:rFonts w:ascii="Tahoma" w:hAnsi="Tahoma" w:cs="Tahoma"/>
          <w:sz w:val="20"/>
          <w:szCs w:val="20"/>
        </w:rPr>
        <w:t>30. 4. 2014</w:t>
      </w:r>
      <w:r w:rsidRPr="00CE1B5B">
        <w:rPr>
          <w:rFonts w:ascii="Tahoma" w:hAnsi="Tahoma" w:cs="Tahoma"/>
          <w:sz w:val="20"/>
          <w:szCs w:val="20"/>
        </w:rPr>
        <w:t xml:space="preserve"> vyčleněny finanční prostředky ve výši 605 tis. Kč. Čerpání rozpočtu v tomto odvětví na akce reprodukce majetku činilo 45 tis. Kč, což představuje 7,4 % upraveného rozpočtu (více viz příloha č. 4 materiálu). </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Výdaje na akce spolufinancované z evropských finančních zdrojů činily </w:t>
      </w:r>
      <w:r w:rsidR="00DC671D" w:rsidRPr="00CE1B5B">
        <w:rPr>
          <w:rFonts w:ascii="Tahoma" w:hAnsi="Tahoma" w:cs="Tahoma"/>
          <w:sz w:val="20"/>
          <w:szCs w:val="20"/>
        </w:rPr>
        <w:t>13.801</w:t>
      </w:r>
      <w:r w:rsidRPr="00CE1B5B">
        <w:rPr>
          <w:rFonts w:ascii="Tahoma" w:hAnsi="Tahoma" w:cs="Tahoma"/>
          <w:sz w:val="20"/>
          <w:szCs w:val="20"/>
        </w:rPr>
        <w:t xml:space="preserve"> tis. Kč, což představuje </w:t>
      </w:r>
      <w:r w:rsidR="00DB1C60" w:rsidRPr="00CE1B5B">
        <w:rPr>
          <w:rFonts w:ascii="Tahoma" w:hAnsi="Tahoma" w:cs="Tahoma"/>
          <w:sz w:val="20"/>
          <w:szCs w:val="20"/>
        </w:rPr>
        <w:t>39,5</w:t>
      </w:r>
      <w:r w:rsidRPr="00CE1B5B">
        <w:rPr>
          <w:rFonts w:ascii="Tahoma" w:hAnsi="Tahoma" w:cs="Tahoma"/>
          <w:sz w:val="20"/>
          <w:szCs w:val="20"/>
        </w:rPr>
        <w:t> % upraveného rozpočtu (více viz příloha č. 5 materiálu).</w:t>
      </w:r>
    </w:p>
    <w:p w:rsidR="00014B18" w:rsidRPr="00CE1B5B" w:rsidRDefault="00014B18" w:rsidP="00822A28">
      <w:pPr>
        <w:jc w:val="both"/>
        <w:rPr>
          <w:rFonts w:ascii="Tahoma" w:hAnsi="Tahoma" w:cs="Tahoma"/>
          <w:sz w:val="20"/>
          <w:szCs w:val="20"/>
        </w:rPr>
      </w:pPr>
    </w:p>
    <w:p w:rsidR="00014B18" w:rsidRPr="00CE1B5B" w:rsidRDefault="00622C12" w:rsidP="00822A28">
      <w:pPr>
        <w:jc w:val="both"/>
        <w:rPr>
          <w:rFonts w:ascii="Tahoma" w:hAnsi="Tahoma" w:cs="Tahoma"/>
          <w:sz w:val="20"/>
          <w:szCs w:val="20"/>
        </w:rPr>
      </w:pPr>
      <w:r w:rsidRPr="00CE1B5B">
        <w:rPr>
          <w:rFonts w:ascii="Tahoma" w:hAnsi="Tahoma" w:cs="Tahoma"/>
          <w:sz w:val="20"/>
          <w:szCs w:val="20"/>
        </w:rPr>
        <w:object w:dxaOrig="9333" w:dyaOrig="2347">
          <v:shape id="_x0000_i1058" type="#_x0000_t75" style="width:462.75pt;height:116.25pt" o:ole="">
            <v:imagedata r:id="rId79" o:title=""/>
          </v:shape>
          <o:OLEObject Type="Embed" ProgID="Excel.Sheet.8" ShapeID="_x0000_i1058" DrawAspect="Content" ObjectID="_1462796465" r:id="rId80"/>
        </w:object>
      </w:r>
    </w:p>
    <w:p w:rsidR="00014B18" w:rsidRPr="00CE1B5B" w:rsidRDefault="00B6250D" w:rsidP="00622C12">
      <w:pPr>
        <w:rPr>
          <w:rFonts w:ascii="Tahoma" w:hAnsi="Tahoma" w:cs="Tahoma"/>
        </w:rPr>
      </w:pPr>
      <w:r w:rsidRPr="00CE1B5B">
        <w:rPr>
          <w:rFonts w:ascii="Tahoma" w:hAnsi="Tahoma" w:cs="Tahoma"/>
        </w:rPr>
        <w:object w:dxaOrig="9333" w:dyaOrig="5573">
          <v:shape id="_x0000_i1059" type="#_x0000_t75" style="width:462.75pt;height:282.75pt" o:ole="">
            <v:imagedata r:id="rId81" o:title=""/>
          </v:shape>
          <o:OLEObject Type="Embed" ProgID="Excel.Sheet.8" ShapeID="_x0000_i1059" DrawAspect="Content" ObjectID="_1462796466" r:id="rId82"/>
        </w:object>
      </w:r>
    </w:p>
    <w:p w:rsidR="00622C12" w:rsidRDefault="00622C12" w:rsidP="00822A28">
      <w:pPr>
        <w:pStyle w:val="Zkladntext"/>
        <w:spacing w:before="360"/>
        <w:rPr>
          <w:rFonts w:ascii="Tahoma" w:hAnsi="Tahoma" w:cs="Tahoma"/>
          <w:b/>
          <w:sz w:val="20"/>
        </w:rPr>
      </w:pPr>
    </w:p>
    <w:p w:rsidR="00014B18" w:rsidRPr="00CE1B5B" w:rsidRDefault="00014B18" w:rsidP="00822A28">
      <w:pPr>
        <w:pStyle w:val="Zkladntext"/>
        <w:spacing w:before="360"/>
        <w:rPr>
          <w:rFonts w:ascii="Tahoma" w:hAnsi="Tahoma" w:cs="Tahoma"/>
          <w:b/>
          <w:sz w:val="20"/>
        </w:rPr>
      </w:pPr>
      <w:r w:rsidRPr="00CE1B5B">
        <w:rPr>
          <w:rFonts w:ascii="Tahoma" w:hAnsi="Tahoma" w:cs="Tahoma"/>
          <w:b/>
          <w:sz w:val="20"/>
        </w:rPr>
        <w:t xml:space="preserve">Odvětví sociálních věcí </w:t>
      </w:r>
    </w:p>
    <w:p w:rsidR="00014B18" w:rsidRPr="00CE1B5B" w:rsidRDefault="00014B18" w:rsidP="00822A28">
      <w:pPr>
        <w:jc w:val="both"/>
        <w:rPr>
          <w:rFonts w:ascii="Tahoma" w:hAnsi="Tahoma" w:cs="Tahoma"/>
          <w:sz w:val="20"/>
          <w:szCs w:val="20"/>
        </w:rPr>
      </w:pP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Schválený rozpočet výdajů na rok 2014 v odvětví sociálních věcí ve výši 437.221 tis. Kč byl následně upraven na částku </w:t>
      </w:r>
      <w:r w:rsidR="00DC671D" w:rsidRPr="00CE1B5B">
        <w:rPr>
          <w:rFonts w:ascii="Tahoma" w:hAnsi="Tahoma" w:cs="Tahoma"/>
          <w:sz w:val="20"/>
          <w:szCs w:val="20"/>
        </w:rPr>
        <w:t>559.351</w:t>
      </w:r>
      <w:r w:rsidRPr="00CE1B5B">
        <w:rPr>
          <w:rFonts w:ascii="Tahoma" w:hAnsi="Tahoma" w:cs="Tahoma"/>
          <w:sz w:val="20"/>
          <w:szCs w:val="20"/>
        </w:rPr>
        <w:t xml:space="preserve"> tis. Kč. </w:t>
      </w:r>
    </w:p>
    <w:p w:rsidR="008F4454" w:rsidRPr="00CE1B5B" w:rsidRDefault="00014B18" w:rsidP="008F4454">
      <w:pPr>
        <w:jc w:val="both"/>
        <w:rPr>
          <w:rFonts w:ascii="Tahoma" w:hAnsi="Tahoma" w:cs="Tahoma"/>
          <w:sz w:val="20"/>
          <w:szCs w:val="20"/>
        </w:rPr>
      </w:pPr>
      <w:r w:rsidRPr="00CE1B5B">
        <w:rPr>
          <w:rFonts w:ascii="Tahoma" w:hAnsi="Tahoma" w:cs="Tahoma"/>
          <w:sz w:val="20"/>
          <w:szCs w:val="20"/>
        </w:rPr>
        <w:t xml:space="preserve">K navýšení došlo především zapojením části zůstatku finančních prostředků rozpočtového hospodaření roku 2013 do rozpočtu kraje roku 2014 u akcí spolufinancovaných z evropských finančních zdrojů </w:t>
      </w:r>
      <w:r w:rsidR="00BE29C4" w:rsidRPr="00CE1B5B">
        <w:rPr>
          <w:rFonts w:ascii="Tahoma" w:hAnsi="Tahoma" w:cs="Tahoma"/>
          <w:sz w:val="20"/>
          <w:szCs w:val="20"/>
        </w:rPr>
        <w:t xml:space="preserve">(navýšení o </w:t>
      </w:r>
      <w:r w:rsidR="00FB328A" w:rsidRPr="00CE1B5B">
        <w:rPr>
          <w:rFonts w:ascii="Tahoma" w:hAnsi="Tahoma" w:cs="Tahoma"/>
          <w:sz w:val="20"/>
          <w:szCs w:val="20"/>
        </w:rPr>
        <w:t>95.936</w:t>
      </w:r>
      <w:r w:rsidR="00BE29C4" w:rsidRPr="00CE1B5B">
        <w:rPr>
          <w:rFonts w:ascii="Tahoma" w:hAnsi="Tahoma" w:cs="Tahoma"/>
          <w:sz w:val="20"/>
          <w:szCs w:val="20"/>
        </w:rPr>
        <w:t xml:space="preserve"> tis. Kč) </w:t>
      </w:r>
      <w:r w:rsidRPr="00CE1B5B">
        <w:rPr>
          <w:rFonts w:ascii="Tahoma" w:hAnsi="Tahoma" w:cs="Tahoma"/>
          <w:sz w:val="20"/>
          <w:szCs w:val="20"/>
        </w:rPr>
        <w:t>a u akcí reprodukce majetku kraje</w:t>
      </w:r>
      <w:r w:rsidR="00BE29C4" w:rsidRPr="00CE1B5B">
        <w:rPr>
          <w:rFonts w:ascii="Tahoma" w:hAnsi="Tahoma" w:cs="Tahoma"/>
          <w:sz w:val="20"/>
          <w:szCs w:val="20"/>
        </w:rPr>
        <w:t xml:space="preserve"> (navýšení o </w:t>
      </w:r>
      <w:r w:rsidR="00FB328A" w:rsidRPr="00CE1B5B">
        <w:rPr>
          <w:rFonts w:ascii="Tahoma" w:hAnsi="Tahoma" w:cs="Tahoma"/>
          <w:sz w:val="20"/>
          <w:szCs w:val="20"/>
        </w:rPr>
        <w:t>26.208</w:t>
      </w:r>
      <w:r w:rsidR="00BE29C4" w:rsidRPr="00CE1B5B">
        <w:rPr>
          <w:rFonts w:ascii="Tahoma" w:hAnsi="Tahoma" w:cs="Tahoma"/>
          <w:sz w:val="20"/>
          <w:szCs w:val="20"/>
        </w:rPr>
        <w:t xml:space="preserve"> tis. Kč)</w:t>
      </w:r>
      <w:r w:rsidRPr="00CE1B5B">
        <w:rPr>
          <w:rFonts w:ascii="Tahoma" w:hAnsi="Tahoma" w:cs="Tahoma"/>
          <w:sz w:val="20"/>
          <w:szCs w:val="20"/>
        </w:rPr>
        <w:t>. K navýšení objemu rozpočtu došlo také v souvislosti s přijetím dotací určených pro akce spolufinancované z evropských finančních zdrojů a dotac</w:t>
      </w:r>
      <w:r w:rsidR="009443B3" w:rsidRPr="00CE1B5B">
        <w:rPr>
          <w:rFonts w:ascii="Tahoma" w:hAnsi="Tahoma" w:cs="Tahoma"/>
          <w:sz w:val="20"/>
          <w:szCs w:val="20"/>
        </w:rPr>
        <w:t>e</w:t>
      </w:r>
      <w:r w:rsidRPr="00CE1B5B">
        <w:rPr>
          <w:rFonts w:ascii="Tahoma" w:hAnsi="Tahoma" w:cs="Tahoma"/>
          <w:sz w:val="20"/>
          <w:szCs w:val="20"/>
        </w:rPr>
        <w:t xml:space="preserve"> poskytnut</w:t>
      </w:r>
      <w:r w:rsidR="009443B3" w:rsidRPr="00CE1B5B">
        <w:rPr>
          <w:rFonts w:ascii="Tahoma" w:hAnsi="Tahoma" w:cs="Tahoma"/>
          <w:sz w:val="20"/>
          <w:szCs w:val="20"/>
        </w:rPr>
        <w:t>é</w:t>
      </w:r>
      <w:r w:rsidRPr="00CE1B5B">
        <w:rPr>
          <w:rFonts w:ascii="Tahoma" w:hAnsi="Tahoma" w:cs="Tahoma"/>
          <w:sz w:val="20"/>
          <w:szCs w:val="20"/>
        </w:rPr>
        <w:t xml:space="preserve"> z Ministerstva práce a sociálních věcí, a to jako transfer na státní příspěvek zřizovatelům zařízení pro děti vyžadující okamžitou pomoc</w:t>
      </w:r>
      <w:r w:rsidR="00CE1B5B" w:rsidRPr="00CE1B5B">
        <w:rPr>
          <w:rFonts w:ascii="Tahoma" w:hAnsi="Tahoma" w:cs="Tahoma"/>
          <w:sz w:val="20"/>
          <w:szCs w:val="20"/>
        </w:rPr>
        <w:t xml:space="preserve"> ve výši 11.222 tis. Kč</w:t>
      </w:r>
      <w:r w:rsidRPr="00CE1B5B">
        <w:rPr>
          <w:rFonts w:ascii="Tahoma" w:hAnsi="Tahoma" w:cs="Tahoma"/>
          <w:sz w:val="20"/>
          <w:szCs w:val="20"/>
        </w:rPr>
        <w:t xml:space="preserve">. </w:t>
      </w:r>
      <w:r w:rsidR="008F4454" w:rsidRPr="00CE1B5B">
        <w:rPr>
          <w:rFonts w:ascii="Tahoma" w:hAnsi="Tahoma" w:cs="Tahoma"/>
          <w:sz w:val="20"/>
          <w:szCs w:val="20"/>
        </w:rPr>
        <w:t>K navýšení rozpočtu v daném odvětví došlo také např. u dotačních programů</w:t>
      </w:r>
      <w:r w:rsidR="0076606C" w:rsidRPr="00CE1B5B">
        <w:rPr>
          <w:rFonts w:ascii="Tahoma" w:hAnsi="Tahoma" w:cs="Tahoma"/>
          <w:sz w:val="20"/>
          <w:szCs w:val="20"/>
        </w:rPr>
        <w:t>, a to</w:t>
      </w:r>
      <w:r w:rsidR="008F4454" w:rsidRPr="00CE1B5B">
        <w:rPr>
          <w:rFonts w:ascii="Tahoma" w:hAnsi="Tahoma" w:cs="Tahoma"/>
          <w:sz w:val="20"/>
          <w:szCs w:val="20"/>
        </w:rPr>
        <w:t xml:space="preserve"> celkově o</w:t>
      </w:r>
      <w:r w:rsidR="00FB328A" w:rsidRPr="00CE1B5B">
        <w:rPr>
          <w:rFonts w:ascii="Tahoma" w:hAnsi="Tahoma" w:cs="Tahoma"/>
          <w:sz w:val="20"/>
          <w:szCs w:val="20"/>
        </w:rPr>
        <w:t> </w:t>
      </w:r>
      <w:r w:rsidR="008F4454" w:rsidRPr="00CE1B5B">
        <w:rPr>
          <w:rFonts w:ascii="Tahoma" w:hAnsi="Tahoma" w:cs="Tahoma"/>
          <w:sz w:val="20"/>
          <w:szCs w:val="20"/>
        </w:rPr>
        <w:t>1.7</w:t>
      </w:r>
      <w:r w:rsidR="00FB328A" w:rsidRPr="00CE1B5B">
        <w:rPr>
          <w:rFonts w:ascii="Tahoma" w:hAnsi="Tahoma" w:cs="Tahoma"/>
          <w:sz w:val="20"/>
          <w:szCs w:val="20"/>
        </w:rPr>
        <w:t>23 </w:t>
      </w:r>
      <w:r w:rsidR="008F4454" w:rsidRPr="00CE1B5B">
        <w:rPr>
          <w:rFonts w:ascii="Tahoma" w:hAnsi="Tahoma" w:cs="Tahoma"/>
          <w:sz w:val="20"/>
          <w:szCs w:val="20"/>
        </w:rPr>
        <w:t>tis.</w:t>
      </w:r>
      <w:r w:rsidR="00FB328A" w:rsidRPr="00CE1B5B">
        <w:rPr>
          <w:rFonts w:ascii="Tahoma" w:hAnsi="Tahoma" w:cs="Tahoma"/>
          <w:sz w:val="20"/>
          <w:szCs w:val="20"/>
        </w:rPr>
        <w:t> </w:t>
      </w:r>
      <w:r w:rsidR="008F4454" w:rsidRPr="00CE1B5B">
        <w:rPr>
          <w:rFonts w:ascii="Tahoma" w:hAnsi="Tahoma" w:cs="Tahoma"/>
          <w:sz w:val="20"/>
          <w:szCs w:val="20"/>
        </w:rPr>
        <w:t>Kč</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lastRenderedPageBreak/>
        <w:t>V rámci odvětví byly také ve sledovaném období rozpočtovány</w:t>
      </w:r>
      <w:r w:rsidR="00F36172" w:rsidRPr="00CE1B5B">
        <w:rPr>
          <w:rFonts w:ascii="Tahoma" w:hAnsi="Tahoma" w:cs="Tahoma"/>
          <w:sz w:val="20"/>
          <w:szCs w:val="20"/>
        </w:rPr>
        <w:t xml:space="preserve"> finanční prostředky ve výši 1.8</w:t>
      </w:r>
      <w:r w:rsidRPr="00CE1B5B">
        <w:rPr>
          <w:rFonts w:ascii="Tahoma" w:hAnsi="Tahoma" w:cs="Tahoma"/>
          <w:sz w:val="20"/>
          <w:szCs w:val="20"/>
        </w:rPr>
        <w:t>00 tis. Kč na podporu individuálních sociálních projektů v kraji (formou individuální dotace).</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Celkově byly výdaje v odvětví čerpány ve výši </w:t>
      </w:r>
      <w:r w:rsidR="00FB328A" w:rsidRPr="00CE1B5B">
        <w:rPr>
          <w:rFonts w:ascii="Tahoma" w:hAnsi="Tahoma" w:cs="Tahoma"/>
          <w:sz w:val="20"/>
          <w:szCs w:val="20"/>
        </w:rPr>
        <w:t>135.248</w:t>
      </w:r>
      <w:r w:rsidRPr="00CE1B5B">
        <w:rPr>
          <w:rFonts w:ascii="Tahoma" w:hAnsi="Tahoma" w:cs="Tahoma"/>
          <w:sz w:val="20"/>
          <w:szCs w:val="20"/>
        </w:rPr>
        <w:t xml:space="preserve"> tis. Kč, tj. na </w:t>
      </w:r>
      <w:r w:rsidR="00FB328A" w:rsidRPr="00CE1B5B">
        <w:rPr>
          <w:rFonts w:ascii="Tahoma" w:hAnsi="Tahoma" w:cs="Tahoma"/>
          <w:sz w:val="20"/>
          <w:szCs w:val="20"/>
        </w:rPr>
        <w:t>24,2</w:t>
      </w:r>
      <w:r w:rsidRPr="00CE1B5B">
        <w:rPr>
          <w:rFonts w:ascii="Tahoma" w:hAnsi="Tahoma" w:cs="Tahoma"/>
          <w:sz w:val="20"/>
          <w:szCs w:val="20"/>
        </w:rPr>
        <w:t> % upraveného rozpočtu.</w:t>
      </w:r>
    </w:p>
    <w:p w:rsidR="00014B18" w:rsidRPr="00CE1B5B" w:rsidRDefault="00014B18" w:rsidP="00B8744C">
      <w:pPr>
        <w:jc w:val="both"/>
        <w:rPr>
          <w:rFonts w:ascii="Tahoma" w:hAnsi="Tahoma" w:cs="Tahoma"/>
          <w:sz w:val="20"/>
          <w:szCs w:val="20"/>
        </w:rPr>
      </w:pPr>
      <w:r w:rsidRPr="00CE1B5B">
        <w:rPr>
          <w:rFonts w:ascii="Tahoma" w:hAnsi="Tahoma" w:cs="Tahoma"/>
          <w:sz w:val="20"/>
          <w:szCs w:val="20"/>
        </w:rPr>
        <w:t xml:space="preserve">Pro rok 2014 bylo v tomto odvětví vyhlášeno 7 dotačních programů v celkové výši </w:t>
      </w:r>
      <w:r w:rsidR="00FB328A" w:rsidRPr="00CE1B5B">
        <w:rPr>
          <w:rFonts w:ascii="Tahoma" w:hAnsi="Tahoma" w:cs="Tahoma"/>
          <w:sz w:val="20"/>
          <w:szCs w:val="20"/>
        </w:rPr>
        <w:t>11.723</w:t>
      </w:r>
      <w:r w:rsidRPr="00CE1B5B">
        <w:rPr>
          <w:rFonts w:ascii="Tahoma" w:hAnsi="Tahoma" w:cs="Tahoma"/>
          <w:sz w:val="20"/>
          <w:szCs w:val="20"/>
        </w:rPr>
        <w:t> tis. Kč. Prostředky dosud byly čerpány</w:t>
      </w:r>
      <w:r w:rsidR="00FB328A" w:rsidRPr="00CE1B5B">
        <w:rPr>
          <w:rFonts w:ascii="Tahoma" w:hAnsi="Tahoma" w:cs="Tahoma"/>
          <w:sz w:val="20"/>
          <w:szCs w:val="20"/>
        </w:rPr>
        <w:t xml:space="preserve"> ve výši 1.717 tis. Kč</w:t>
      </w:r>
      <w:r w:rsidRPr="00CE1B5B">
        <w:rPr>
          <w:rFonts w:ascii="Tahoma" w:hAnsi="Tahoma" w:cs="Tahoma"/>
          <w:sz w:val="20"/>
          <w:szCs w:val="20"/>
        </w:rPr>
        <w:t>.</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Příspěvkovým organizacím byly poskytnuty prostředky v objemu </w:t>
      </w:r>
      <w:r w:rsidR="00FB328A" w:rsidRPr="00CE1B5B">
        <w:rPr>
          <w:rFonts w:ascii="Tahoma" w:hAnsi="Tahoma" w:cs="Tahoma"/>
          <w:sz w:val="20"/>
          <w:szCs w:val="20"/>
        </w:rPr>
        <w:t>9.240</w:t>
      </w:r>
      <w:r w:rsidRPr="00CE1B5B">
        <w:rPr>
          <w:rFonts w:ascii="Tahoma" w:hAnsi="Tahoma" w:cs="Tahoma"/>
          <w:sz w:val="20"/>
          <w:szCs w:val="20"/>
        </w:rPr>
        <w:t xml:space="preserve"> tis. Kč, a to zejména k zajištění jejich běžné provozní činnosti ve výši </w:t>
      </w:r>
      <w:r w:rsidR="00E067FA" w:rsidRPr="00CE1B5B">
        <w:rPr>
          <w:rFonts w:ascii="Tahoma" w:hAnsi="Tahoma" w:cs="Tahoma"/>
          <w:sz w:val="20"/>
          <w:szCs w:val="20"/>
        </w:rPr>
        <w:t>3.050</w:t>
      </w:r>
      <w:r w:rsidRPr="00CE1B5B">
        <w:rPr>
          <w:rFonts w:ascii="Tahoma" w:hAnsi="Tahoma" w:cs="Tahoma"/>
          <w:sz w:val="20"/>
          <w:szCs w:val="20"/>
        </w:rPr>
        <w:t xml:space="preserve"> tis. Kč. Prostředky ve výši 90.000 tis. Kč schválené jako návratné finanční výpomoci z rozpočtu kraje příspěvkovým organizacím v tomto odvětví byly poskytnuty k zabezpečení běžného chodu organizací v případě opožděných transferů ze státního rozpočtu dle zákona č. 108/2006 Sb., o sociálních službách v platném znění. Poskytnuty byly ve výši 50.000 tis. Kč.</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Na akce reprodukce majetku kraje v oblasti sociálních věcí byly k </w:t>
      </w:r>
      <w:r w:rsidR="00061E36" w:rsidRPr="00CE1B5B">
        <w:rPr>
          <w:rFonts w:ascii="Tahoma" w:hAnsi="Tahoma" w:cs="Tahoma"/>
          <w:sz w:val="20"/>
          <w:szCs w:val="20"/>
        </w:rPr>
        <w:t>30. 4. 2014</w:t>
      </w:r>
      <w:r w:rsidRPr="00CE1B5B">
        <w:rPr>
          <w:rFonts w:ascii="Tahoma" w:hAnsi="Tahoma" w:cs="Tahoma"/>
          <w:sz w:val="20"/>
          <w:szCs w:val="20"/>
        </w:rPr>
        <w:t xml:space="preserve"> vyčleněny finanční prostředky ve výši </w:t>
      </w:r>
      <w:r w:rsidR="00E067FA" w:rsidRPr="00CE1B5B">
        <w:rPr>
          <w:rFonts w:ascii="Tahoma" w:hAnsi="Tahoma" w:cs="Tahoma"/>
          <w:sz w:val="20"/>
          <w:szCs w:val="20"/>
        </w:rPr>
        <w:t>51.708</w:t>
      </w:r>
      <w:r w:rsidRPr="00CE1B5B">
        <w:rPr>
          <w:rFonts w:ascii="Tahoma" w:hAnsi="Tahoma" w:cs="Tahoma"/>
          <w:sz w:val="20"/>
          <w:szCs w:val="20"/>
        </w:rPr>
        <w:t xml:space="preserve"> tis. Kč. Čerpání rozpočtu v odvětví sociálních věcí na akce reprodukce majetku činilo 827 tis. Kč, což představuje 1,</w:t>
      </w:r>
      <w:r w:rsidR="00E067FA" w:rsidRPr="00CE1B5B">
        <w:rPr>
          <w:rFonts w:ascii="Tahoma" w:hAnsi="Tahoma" w:cs="Tahoma"/>
          <w:sz w:val="20"/>
          <w:szCs w:val="20"/>
        </w:rPr>
        <w:t>6</w:t>
      </w:r>
      <w:r w:rsidRPr="00CE1B5B">
        <w:rPr>
          <w:rFonts w:ascii="Tahoma" w:hAnsi="Tahoma" w:cs="Tahoma"/>
          <w:sz w:val="20"/>
          <w:szCs w:val="20"/>
        </w:rPr>
        <w:t> % upravenéh</w:t>
      </w:r>
      <w:r w:rsidR="00E067FA" w:rsidRPr="00CE1B5B">
        <w:rPr>
          <w:rFonts w:ascii="Tahoma" w:hAnsi="Tahoma" w:cs="Tahoma"/>
          <w:sz w:val="20"/>
          <w:szCs w:val="20"/>
        </w:rPr>
        <w:t xml:space="preserve">o rozpočtu (více viz příloha č. </w:t>
      </w:r>
      <w:r w:rsidRPr="00CE1B5B">
        <w:rPr>
          <w:rFonts w:ascii="Tahoma" w:hAnsi="Tahoma" w:cs="Tahoma"/>
          <w:sz w:val="20"/>
          <w:szCs w:val="20"/>
        </w:rPr>
        <w:t xml:space="preserve">4 materiálu). </w:t>
      </w:r>
    </w:p>
    <w:p w:rsidR="00014B18" w:rsidRPr="00CE1B5B" w:rsidRDefault="00014B18" w:rsidP="00822A28">
      <w:pPr>
        <w:jc w:val="both"/>
        <w:rPr>
          <w:rFonts w:ascii="Tahoma" w:hAnsi="Tahoma" w:cs="Tahoma"/>
          <w:sz w:val="20"/>
          <w:szCs w:val="20"/>
        </w:rPr>
      </w:pPr>
      <w:r w:rsidRPr="00CE1B5B">
        <w:rPr>
          <w:rFonts w:ascii="Tahoma" w:hAnsi="Tahoma" w:cs="Tahoma"/>
          <w:sz w:val="20"/>
          <w:szCs w:val="20"/>
        </w:rPr>
        <w:t xml:space="preserve">Na akce spolufinancované z evropských finančních zdrojů jsou v rozpočtu kraje na rok 2014 v odvětví sociálních věcí vyčleněny prostředky ve výši </w:t>
      </w:r>
      <w:r w:rsidR="00E067FA" w:rsidRPr="00CE1B5B">
        <w:rPr>
          <w:rFonts w:ascii="Tahoma" w:hAnsi="Tahoma" w:cs="Tahoma"/>
          <w:sz w:val="20"/>
          <w:szCs w:val="20"/>
        </w:rPr>
        <w:t>324.879</w:t>
      </w:r>
      <w:r w:rsidRPr="00CE1B5B">
        <w:rPr>
          <w:rFonts w:ascii="Tahoma" w:hAnsi="Tahoma" w:cs="Tahoma"/>
          <w:sz w:val="20"/>
          <w:szCs w:val="20"/>
        </w:rPr>
        <w:t xml:space="preserve"> tis. Kč. Ve sledovaném období dosáhlo čerpání těchto prostředků výše </w:t>
      </w:r>
      <w:r w:rsidR="00E067FA" w:rsidRPr="00CE1B5B">
        <w:rPr>
          <w:rFonts w:ascii="Tahoma" w:hAnsi="Tahoma" w:cs="Tahoma"/>
          <w:sz w:val="20"/>
          <w:szCs w:val="20"/>
        </w:rPr>
        <w:t>66.690</w:t>
      </w:r>
      <w:r w:rsidRPr="00CE1B5B">
        <w:rPr>
          <w:rFonts w:ascii="Tahoma" w:hAnsi="Tahoma" w:cs="Tahoma"/>
          <w:sz w:val="20"/>
          <w:szCs w:val="20"/>
        </w:rPr>
        <w:t xml:space="preserve"> tis. Kč (více viz příloha č. 5 materiálu).</w:t>
      </w:r>
    </w:p>
    <w:p w:rsidR="00014B18" w:rsidRPr="00CE1B5B" w:rsidRDefault="00014B18" w:rsidP="00822A28">
      <w:pPr>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239" w:dyaOrig="2595">
          <v:shape id="_x0000_i1060" type="#_x0000_t75" style="width:451.5pt;height:126.75pt" o:ole="">
            <v:imagedata r:id="rId83" o:title=""/>
          </v:shape>
          <o:OLEObject Type="Embed" ProgID="Excel.Sheet.8" ShapeID="_x0000_i1060" DrawAspect="Content" ObjectID="_1462796467" r:id="rId84"/>
        </w:object>
      </w:r>
    </w:p>
    <w:p w:rsidR="00014B18" w:rsidRPr="00CE1B5B" w:rsidRDefault="00014B18" w:rsidP="00822A28">
      <w:pPr>
        <w:jc w:val="both"/>
        <w:rPr>
          <w:rFonts w:ascii="Tahoma" w:hAnsi="Tahoma" w:cs="Tahoma"/>
          <w:sz w:val="20"/>
          <w:szCs w:val="20"/>
        </w:rPr>
      </w:pPr>
    </w:p>
    <w:p w:rsidR="006054E0" w:rsidRPr="00CE1B5B" w:rsidRDefault="006054E0" w:rsidP="00822A28">
      <w:pPr>
        <w:jc w:val="both"/>
        <w:rPr>
          <w:rFonts w:ascii="Tahoma" w:hAnsi="Tahoma" w:cs="Tahoma"/>
          <w:sz w:val="20"/>
          <w:szCs w:val="20"/>
        </w:rPr>
      </w:pPr>
    </w:p>
    <w:p w:rsidR="006054E0" w:rsidRPr="00CE1B5B" w:rsidRDefault="006054E0">
      <w:pPr>
        <w:rPr>
          <w:rFonts w:ascii="Tahoma" w:hAnsi="Tahoma" w:cs="Tahoma"/>
          <w:sz w:val="20"/>
          <w:szCs w:val="20"/>
        </w:rPr>
      </w:pPr>
      <w:r w:rsidRPr="00CE1B5B">
        <w:rPr>
          <w:rFonts w:ascii="Tahoma" w:hAnsi="Tahoma" w:cs="Tahoma"/>
          <w:sz w:val="20"/>
          <w:szCs w:val="20"/>
        </w:rPr>
        <w:br w:type="page"/>
      </w:r>
    </w:p>
    <w:p w:rsidR="006054E0" w:rsidRPr="00CE1B5B" w:rsidRDefault="006054E0" w:rsidP="00822A28">
      <w:pPr>
        <w:jc w:val="both"/>
        <w:rPr>
          <w:rFonts w:ascii="Tahoma" w:hAnsi="Tahoma" w:cs="Tahoma"/>
          <w:sz w:val="20"/>
          <w:szCs w:val="20"/>
        </w:rPr>
      </w:pPr>
    </w:p>
    <w:p w:rsidR="00014B18" w:rsidRPr="00CE1B5B" w:rsidRDefault="006A7FDE" w:rsidP="00822A28">
      <w:pPr>
        <w:jc w:val="both"/>
        <w:rPr>
          <w:rFonts w:ascii="Tahoma" w:hAnsi="Tahoma" w:cs="Tahoma"/>
          <w:sz w:val="20"/>
          <w:szCs w:val="20"/>
        </w:rPr>
      </w:pPr>
      <w:r w:rsidRPr="00CE1B5B">
        <w:rPr>
          <w:rFonts w:ascii="Tahoma" w:hAnsi="Tahoma" w:cs="Tahoma"/>
          <w:sz w:val="20"/>
          <w:szCs w:val="20"/>
        </w:rPr>
        <w:object w:dxaOrig="9412" w:dyaOrig="7968">
          <v:shape id="_x0000_i1061" type="#_x0000_t75" style="width:451.5pt;height:390.75pt" o:ole="">
            <v:imagedata r:id="rId85" o:title=""/>
          </v:shape>
          <o:OLEObject Type="Embed" ProgID="Excel.Sheet.8" ShapeID="_x0000_i1061" DrawAspect="Content" ObjectID="_1462796468" r:id="rId86"/>
        </w:object>
      </w:r>
    </w:p>
    <w:p w:rsidR="00014B18" w:rsidRPr="00CE1B5B" w:rsidRDefault="00014B18" w:rsidP="00822A28">
      <w:pPr>
        <w:jc w:val="both"/>
        <w:rPr>
          <w:rFonts w:ascii="Tahoma" w:hAnsi="Tahoma" w:cs="Tahoma"/>
          <w:sz w:val="20"/>
          <w:szCs w:val="20"/>
        </w:rPr>
      </w:pPr>
    </w:p>
    <w:p w:rsidR="006054E0" w:rsidRPr="00CE1B5B" w:rsidRDefault="006054E0" w:rsidP="00822A28">
      <w:pPr>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304" w:dyaOrig="3710">
          <v:shape id="_x0000_i1062" type="#_x0000_t75" style="width:451.5pt;height:181.5pt" o:ole="">
            <v:imagedata r:id="rId87" o:title=""/>
          </v:shape>
          <o:OLEObject Type="Embed" ProgID="Excel.Sheet.8" ShapeID="_x0000_i1062" DrawAspect="Content" ObjectID="_1462796469" r:id="rId88"/>
        </w:object>
      </w:r>
    </w:p>
    <w:p w:rsidR="00014B18" w:rsidRPr="00CE1B5B" w:rsidRDefault="00014B18" w:rsidP="00822A28">
      <w:pPr>
        <w:jc w:val="both"/>
        <w:rPr>
          <w:rFonts w:ascii="Tahoma" w:hAnsi="Tahoma" w:cs="Tahoma"/>
          <w:sz w:val="20"/>
          <w:szCs w:val="20"/>
        </w:rPr>
      </w:pPr>
    </w:p>
    <w:p w:rsidR="00014B18" w:rsidRPr="00CE1B5B" w:rsidRDefault="00622C12" w:rsidP="00822A28">
      <w:pPr>
        <w:jc w:val="both"/>
        <w:rPr>
          <w:rFonts w:ascii="Tahoma" w:hAnsi="Tahoma" w:cs="Tahoma"/>
          <w:szCs w:val="20"/>
        </w:rPr>
      </w:pPr>
      <w:r w:rsidRPr="00CE1B5B">
        <w:rPr>
          <w:rFonts w:ascii="Tahoma" w:hAnsi="Tahoma" w:cs="Tahoma"/>
          <w:szCs w:val="20"/>
        </w:rPr>
        <w:object w:dxaOrig="9265" w:dyaOrig="6355">
          <v:shape id="_x0000_i1063" type="#_x0000_t75" style="width:457.5pt;height:320.25pt" o:ole="">
            <v:imagedata r:id="rId89" o:title=""/>
          </v:shape>
          <o:OLEObject Type="Embed" ProgID="Excel.Sheet.8" ShapeID="_x0000_i1063" DrawAspect="Content" ObjectID="_1462796470" r:id="rId90"/>
        </w:object>
      </w:r>
    </w:p>
    <w:p w:rsidR="00014B18" w:rsidRPr="00CE1B5B" w:rsidRDefault="00014B18" w:rsidP="00822A28">
      <w:pPr>
        <w:jc w:val="both"/>
        <w:rPr>
          <w:rFonts w:ascii="Tahoma" w:hAnsi="Tahoma" w:cs="Tahoma"/>
          <w:sz w:val="20"/>
          <w:szCs w:val="20"/>
        </w:rPr>
      </w:pPr>
    </w:p>
    <w:p w:rsidR="00014B18" w:rsidRPr="00CE1B5B" w:rsidRDefault="00014B18" w:rsidP="00E477E2">
      <w:pPr>
        <w:jc w:val="both"/>
        <w:rPr>
          <w:rFonts w:ascii="Tahoma" w:hAnsi="Tahoma" w:cs="Tahoma"/>
          <w:sz w:val="20"/>
          <w:szCs w:val="20"/>
        </w:rPr>
      </w:pPr>
    </w:p>
    <w:p w:rsidR="00622C12" w:rsidRDefault="00622C12" w:rsidP="000B607E">
      <w:pPr>
        <w:pStyle w:val="Zkladntext"/>
        <w:spacing w:before="0"/>
        <w:rPr>
          <w:rFonts w:ascii="Tahoma" w:hAnsi="Tahoma" w:cs="Tahoma"/>
          <w:b/>
          <w:sz w:val="20"/>
        </w:rPr>
      </w:pPr>
    </w:p>
    <w:p w:rsidR="00014B18" w:rsidRPr="00CE1B5B" w:rsidRDefault="00014B18" w:rsidP="000B607E">
      <w:pPr>
        <w:pStyle w:val="Zkladntext"/>
        <w:spacing w:before="0"/>
        <w:rPr>
          <w:rFonts w:ascii="Tahoma" w:hAnsi="Tahoma" w:cs="Tahoma"/>
          <w:b/>
          <w:sz w:val="20"/>
        </w:rPr>
      </w:pPr>
      <w:r w:rsidRPr="00CE1B5B">
        <w:rPr>
          <w:rFonts w:ascii="Tahoma" w:hAnsi="Tahoma" w:cs="Tahoma"/>
          <w:b/>
          <w:sz w:val="20"/>
        </w:rPr>
        <w:t>Odvětví školství</w:t>
      </w:r>
    </w:p>
    <w:p w:rsidR="00014B18" w:rsidRPr="00CE1B5B" w:rsidRDefault="00014B18" w:rsidP="000B607E">
      <w:pPr>
        <w:pStyle w:val="Zkladntext"/>
        <w:spacing w:before="0"/>
        <w:rPr>
          <w:rFonts w:ascii="Tahoma" w:hAnsi="Tahoma" w:cs="Tahoma"/>
          <w:b/>
          <w:sz w:val="20"/>
        </w:rPr>
      </w:pPr>
    </w:p>
    <w:p w:rsidR="00014B18" w:rsidRPr="00CE1B5B" w:rsidRDefault="00014B18" w:rsidP="00BA7030">
      <w:pPr>
        <w:jc w:val="both"/>
        <w:rPr>
          <w:rFonts w:ascii="Tahoma" w:hAnsi="Tahoma" w:cs="Tahoma"/>
          <w:sz w:val="20"/>
          <w:szCs w:val="20"/>
        </w:rPr>
      </w:pPr>
      <w:r w:rsidRPr="00CE1B5B">
        <w:rPr>
          <w:rFonts w:ascii="Tahoma" w:hAnsi="Tahoma" w:cs="Tahoma"/>
          <w:sz w:val="20"/>
          <w:szCs w:val="20"/>
        </w:rPr>
        <w:t xml:space="preserve">Schválený rozpočet výdajů ve výši 1.252.416 tis. Kč v odvětví školství byl celkově navýšen na částku </w:t>
      </w:r>
      <w:r w:rsidR="00E067FA" w:rsidRPr="00CE1B5B">
        <w:rPr>
          <w:rFonts w:ascii="Tahoma" w:hAnsi="Tahoma" w:cs="Tahoma"/>
          <w:bCs/>
          <w:sz w:val="20"/>
          <w:szCs w:val="20"/>
        </w:rPr>
        <w:t xml:space="preserve">11.074.103 </w:t>
      </w:r>
      <w:r w:rsidRPr="00CE1B5B">
        <w:rPr>
          <w:rFonts w:ascii="Tahoma" w:hAnsi="Tahoma" w:cs="Tahoma"/>
          <w:bCs/>
          <w:sz w:val="20"/>
          <w:szCs w:val="20"/>
        </w:rPr>
        <w:t xml:space="preserve">tis. Kč. Jednalo se o úpravu rozpočtu související s neinvestičními dotacemi z kapitoly MŠMT, a to zejména určenými k financování mzdových nákladů celkově v objemu </w:t>
      </w:r>
      <w:r w:rsidR="00E067FA" w:rsidRPr="00CE1B5B">
        <w:rPr>
          <w:rFonts w:ascii="Tahoma" w:hAnsi="Tahoma" w:cs="Tahoma"/>
          <w:bCs/>
          <w:sz w:val="20"/>
          <w:szCs w:val="20"/>
        </w:rPr>
        <w:t>9.437.625</w:t>
      </w:r>
      <w:r w:rsidRPr="00CE1B5B">
        <w:rPr>
          <w:rFonts w:ascii="Tahoma" w:hAnsi="Tahoma" w:cs="Tahoma"/>
          <w:bCs/>
          <w:sz w:val="20"/>
          <w:szCs w:val="20"/>
        </w:rPr>
        <w:t xml:space="preserve"> tis. Kč, z toho na vzdělávání ve školách a školských zařízeních zřizovaných krajem ve výši </w:t>
      </w:r>
      <w:r w:rsidR="00E067FA" w:rsidRPr="00CE1B5B">
        <w:rPr>
          <w:rFonts w:ascii="Tahoma" w:hAnsi="Tahoma" w:cs="Tahoma"/>
          <w:bCs/>
          <w:sz w:val="20"/>
          <w:szCs w:val="20"/>
        </w:rPr>
        <w:t>3.218.369</w:t>
      </w:r>
      <w:r w:rsidRPr="00CE1B5B">
        <w:rPr>
          <w:rFonts w:ascii="Tahoma" w:hAnsi="Tahoma" w:cs="Tahoma"/>
          <w:bCs/>
          <w:sz w:val="20"/>
          <w:szCs w:val="20"/>
        </w:rPr>
        <w:t xml:space="preserve"> tis. Kč, obcemi ve</w:t>
      </w:r>
      <w:r w:rsidR="009F6791" w:rsidRPr="00CE1B5B">
        <w:rPr>
          <w:rFonts w:ascii="Tahoma" w:hAnsi="Tahoma" w:cs="Tahoma"/>
          <w:bCs/>
          <w:sz w:val="20"/>
          <w:szCs w:val="20"/>
        </w:rPr>
        <w:t> </w:t>
      </w:r>
      <w:r w:rsidRPr="00CE1B5B">
        <w:rPr>
          <w:rFonts w:ascii="Tahoma" w:hAnsi="Tahoma" w:cs="Tahoma"/>
          <w:bCs/>
          <w:sz w:val="20"/>
          <w:szCs w:val="20"/>
        </w:rPr>
        <w:t xml:space="preserve">výši </w:t>
      </w:r>
      <w:r w:rsidR="00E067FA" w:rsidRPr="00CE1B5B">
        <w:rPr>
          <w:rFonts w:ascii="Tahoma" w:hAnsi="Tahoma" w:cs="Tahoma"/>
          <w:bCs/>
          <w:sz w:val="20"/>
          <w:szCs w:val="20"/>
        </w:rPr>
        <w:t>5.904.920</w:t>
      </w:r>
      <w:r w:rsidRPr="00CE1B5B">
        <w:rPr>
          <w:rFonts w:ascii="Tahoma" w:hAnsi="Tahoma" w:cs="Tahoma"/>
          <w:bCs/>
          <w:sz w:val="20"/>
          <w:szCs w:val="20"/>
        </w:rPr>
        <w:t xml:space="preserve"> tis. Kč,  pro soukromé školy ve výši </w:t>
      </w:r>
      <w:r w:rsidR="00E067FA" w:rsidRPr="00CE1B5B">
        <w:rPr>
          <w:rFonts w:ascii="Tahoma" w:hAnsi="Tahoma" w:cs="Tahoma"/>
          <w:bCs/>
          <w:sz w:val="20"/>
          <w:szCs w:val="20"/>
        </w:rPr>
        <w:t>304.215</w:t>
      </w:r>
      <w:r w:rsidRPr="00CE1B5B">
        <w:rPr>
          <w:rFonts w:ascii="Tahoma" w:hAnsi="Tahoma" w:cs="Tahoma"/>
          <w:bCs/>
          <w:sz w:val="20"/>
          <w:szCs w:val="20"/>
        </w:rPr>
        <w:t xml:space="preserve"> tis. Kč a prostředky dosud nerozděleny ve výši </w:t>
      </w:r>
      <w:r w:rsidR="00E067FA" w:rsidRPr="00CE1B5B">
        <w:rPr>
          <w:rFonts w:ascii="Tahoma" w:hAnsi="Tahoma" w:cs="Tahoma"/>
          <w:bCs/>
          <w:sz w:val="20"/>
          <w:szCs w:val="20"/>
        </w:rPr>
        <w:t>10.12</w:t>
      </w:r>
      <w:r w:rsidR="00266156" w:rsidRPr="00CE1B5B">
        <w:rPr>
          <w:rFonts w:ascii="Tahoma" w:hAnsi="Tahoma" w:cs="Tahoma"/>
          <w:bCs/>
          <w:sz w:val="20"/>
          <w:szCs w:val="20"/>
        </w:rPr>
        <w:t>1</w:t>
      </w:r>
      <w:r w:rsidRPr="00CE1B5B">
        <w:rPr>
          <w:rFonts w:ascii="Tahoma" w:hAnsi="Tahoma" w:cs="Tahoma"/>
          <w:bCs/>
          <w:sz w:val="20"/>
          <w:szCs w:val="20"/>
        </w:rPr>
        <w:t xml:space="preserve"> tis. Kč. </w:t>
      </w:r>
      <w:r w:rsidRPr="00CE1B5B">
        <w:rPr>
          <w:rFonts w:ascii="Tahoma" w:hAnsi="Tahoma" w:cs="Tahoma"/>
          <w:sz w:val="20"/>
          <w:szCs w:val="20"/>
        </w:rPr>
        <w:t>K navýšení došlo také v souvislosti se zapojením části zůstatku finančních prostředků rozpočtového hospodaření roku 2013 do rozpočtu kraje na rok 2014. Největší část tohoto navýšení tvořily akce spolufinancované z evropských finančních zdrojů (navýšení o </w:t>
      </w:r>
      <w:r w:rsidR="00E067FA" w:rsidRPr="00CE1B5B">
        <w:rPr>
          <w:rFonts w:ascii="Tahoma" w:hAnsi="Tahoma" w:cs="Tahoma"/>
          <w:sz w:val="20"/>
          <w:szCs w:val="20"/>
        </w:rPr>
        <w:t>301.054</w:t>
      </w:r>
      <w:r w:rsidRPr="00CE1B5B">
        <w:rPr>
          <w:rFonts w:ascii="Tahoma" w:hAnsi="Tahoma" w:cs="Tahoma"/>
          <w:sz w:val="20"/>
          <w:szCs w:val="20"/>
        </w:rPr>
        <w:t xml:space="preserve"> tis. Kč). </w:t>
      </w:r>
    </w:p>
    <w:p w:rsidR="00014B18" w:rsidRPr="00CE1B5B" w:rsidRDefault="00014B18" w:rsidP="00CD6A15">
      <w:pPr>
        <w:jc w:val="both"/>
        <w:rPr>
          <w:rFonts w:ascii="Tahoma" w:hAnsi="Tahoma" w:cs="Tahoma"/>
          <w:bCs/>
          <w:sz w:val="20"/>
          <w:szCs w:val="20"/>
        </w:rPr>
      </w:pPr>
      <w:r w:rsidRPr="00CE1B5B">
        <w:rPr>
          <w:rFonts w:ascii="Tahoma" w:hAnsi="Tahoma" w:cs="Tahoma"/>
          <w:bCs/>
          <w:sz w:val="20"/>
          <w:szCs w:val="20"/>
        </w:rPr>
        <w:t>Rozpočet výdajů v odvětví školství byl k </w:t>
      </w:r>
      <w:r w:rsidR="00061E36" w:rsidRPr="00CE1B5B">
        <w:rPr>
          <w:rFonts w:ascii="Tahoma" w:hAnsi="Tahoma" w:cs="Tahoma"/>
          <w:sz w:val="20"/>
          <w:szCs w:val="20"/>
        </w:rPr>
        <w:t>30. 4. 2014</w:t>
      </w:r>
      <w:r w:rsidRPr="00CE1B5B">
        <w:rPr>
          <w:rFonts w:ascii="Tahoma" w:hAnsi="Tahoma" w:cs="Tahoma"/>
          <w:sz w:val="20"/>
          <w:szCs w:val="20"/>
        </w:rPr>
        <w:t xml:space="preserve"> </w:t>
      </w:r>
      <w:r w:rsidRPr="00CE1B5B">
        <w:rPr>
          <w:rFonts w:ascii="Tahoma" w:hAnsi="Tahoma" w:cs="Tahoma"/>
          <w:bCs/>
          <w:sz w:val="20"/>
          <w:szCs w:val="20"/>
        </w:rPr>
        <w:t xml:space="preserve">čerpán ve výši </w:t>
      </w:r>
      <w:r w:rsidR="00670D32" w:rsidRPr="00CE1B5B">
        <w:rPr>
          <w:rFonts w:ascii="Tahoma" w:hAnsi="Tahoma" w:cs="Tahoma"/>
          <w:bCs/>
          <w:sz w:val="20"/>
          <w:szCs w:val="20"/>
        </w:rPr>
        <w:t>3.</w:t>
      </w:r>
      <w:r w:rsidR="00E067FA" w:rsidRPr="00CE1B5B">
        <w:rPr>
          <w:rFonts w:ascii="Tahoma" w:hAnsi="Tahoma" w:cs="Tahoma"/>
          <w:bCs/>
          <w:sz w:val="20"/>
          <w:szCs w:val="20"/>
        </w:rPr>
        <w:t>741.608</w:t>
      </w:r>
      <w:r w:rsidRPr="00CE1B5B">
        <w:rPr>
          <w:rFonts w:ascii="Tahoma" w:hAnsi="Tahoma" w:cs="Tahoma"/>
          <w:bCs/>
          <w:sz w:val="20"/>
          <w:szCs w:val="20"/>
        </w:rPr>
        <w:t> tis. Kč, tj. čerpání na </w:t>
      </w:r>
      <w:r w:rsidR="00E067FA" w:rsidRPr="00CE1B5B">
        <w:rPr>
          <w:rFonts w:ascii="Tahoma" w:hAnsi="Tahoma" w:cs="Tahoma"/>
          <w:bCs/>
          <w:sz w:val="20"/>
          <w:szCs w:val="20"/>
        </w:rPr>
        <w:t>33,8</w:t>
      </w:r>
      <w:r w:rsidRPr="00CE1B5B">
        <w:rPr>
          <w:rFonts w:ascii="Tahoma" w:hAnsi="Tahoma" w:cs="Tahoma"/>
          <w:bCs/>
          <w:sz w:val="20"/>
          <w:szCs w:val="20"/>
        </w:rPr>
        <w:t> % upraveného rozpočtu.</w:t>
      </w:r>
    </w:p>
    <w:p w:rsidR="00014B18" w:rsidRPr="00CE1B5B" w:rsidRDefault="00014B18" w:rsidP="00525142">
      <w:pPr>
        <w:jc w:val="both"/>
        <w:rPr>
          <w:rFonts w:ascii="Tahoma" w:hAnsi="Tahoma" w:cs="Tahoma"/>
          <w:sz w:val="20"/>
          <w:szCs w:val="20"/>
        </w:rPr>
      </w:pPr>
      <w:r w:rsidRPr="00CE1B5B">
        <w:rPr>
          <w:rFonts w:ascii="Tahoma" w:hAnsi="Tahoma" w:cs="Tahoma"/>
          <w:sz w:val="20"/>
          <w:szCs w:val="20"/>
        </w:rPr>
        <w:t>V rámci vyhlášených dotačních programů v odvětví školství byly ve  sledovanému období vyplaceny finanční prostředky</w:t>
      </w:r>
      <w:r w:rsidR="00E067FA" w:rsidRPr="00CE1B5B">
        <w:rPr>
          <w:rFonts w:ascii="Tahoma" w:hAnsi="Tahoma" w:cs="Tahoma"/>
          <w:sz w:val="20"/>
          <w:szCs w:val="20"/>
        </w:rPr>
        <w:t xml:space="preserve"> ve výši 4.363 tis. Kč</w:t>
      </w:r>
      <w:r w:rsidRPr="00CE1B5B">
        <w:rPr>
          <w:rFonts w:ascii="Tahoma" w:hAnsi="Tahoma" w:cs="Tahoma"/>
          <w:sz w:val="20"/>
          <w:szCs w:val="20"/>
        </w:rPr>
        <w:t>.</w:t>
      </w:r>
    </w:p>
    <w:p w:rsidR="00014B18" w:rsidRPr="00CE1B5B" w:rsidRDefault="00014B18" w:rsidP="00CD6A15">
      <w:pPr>
        <w:jc w:val="both"/>
        <w:rPr>
          <w:rFonts w:ascii="Tahoma" w:hAnsi="Tahoma" w:cs="Tahoma"/>
          <w:sz w:val="20"/>
          <w:szCs w:val="20"/>
        </w:rPr>
      </w:pPr>
      <w:r w:rsidRPr="00CE1B5B">
        <w:rPr>
          <w:rFonts w:ascii="Tahoma" w:hAnsi="Tahoma" w:cs="Tahoma"/>
          <w:bCs/>
          <w:sz w:val="20"/>
          <w:szCs w:val="20"/>
        </w:rPr>
        <w:t>Příspěvkovým organizacím v odvětví školství bylo</w:t>
      </w:r>
      <w:r w:rsidRPr="00CE1B5B">
        <w:rPr>
          <w:rFonts w:ascii="Tahoma" w:hAnsi="Tahoma" w:cs="Tahoma"/>
          <w:sz w:val="20"/>
          <w:szCs w:val="20"/>
        </w:rPr>
        <w:t xml:space="preserve"> k </w:t>
      </w:r>
      <w:r w:rsidR="00061E36" w:rsidRPr="00CE1B5B">
        <w:rPr>
          <w:rFonts w:ascii="Tahoma" w:hAnsi="Tahoma" w:cs="Tahoma"/>
          <w:sz w:val="20"/>
          <w:szCs w:val="20"/>
        </w:rPr>
        <w:t>30. 4. 2014</w:t>
      </w:r>
      <w:r w:rsidRPr="00CE1B5B">
        <w:rPr>
          <w:rFonts w:ascii="Tahoma" w:hAnsi="Tahoma" w:cs="Tahoma"/>
          <w:sz w:val="20"/>
          <w:szCs w:val="20"/>
        </w:rPr>
        <w:t xml:space="preserve"> poskytnuto </w:t>
      </w:r>
      <w:r w:rsidR="00670D32" w:rsidRPr="00CE1B5B">
        <w:rPr>
          <w:rFonts w:ascii="Tahoma" w:hAnsi="Tahoma" w:cs="Tahoma"/>
          <w:sz w:val="20"/>
          <w:szCs w:val="20"/>
        </w:rPr>
        <w:t>1.</w:t>
      </w:r>
      <w:r w:rsidR="00E067FA" w:rsidRPr="00CE1B5B">
        <w:rPr>
          <w:rFonts w:ascii="Tahoma" w:hAnsi="Tahoma" w:cs="Tahoma"/>
          <w:sz w:val="20"/>
          <w:szCs w:val="20"/>
        </w:rPr>
        <w:t>291.591</w:t>
      </w:r>
      <w:r w:rsidRPr="00CE1B5B">
        <w:rPr>
          <w:rFonts w:ascii="Tahoma" w:hAnsi="Tahoma" w:cs="Tahoma"/>
          <w:sz w:val="20"/>
          <w:szCs w:val="20"/>
        </w:rPr>
        <w:t xml:space="preserve"> tis. Kč, z toho např. na financování mzdových </w:t>
      </w:r>
      <w:r w:rsidRPr="00CE1B5B">
        <w:rPr>
          <w:rFonts w:ascii="Tahoma" w:hAnsi="Tahoma" w:cs="Tahoma"/>
          <w:bCs/>
          <w:sz w:val="20"/>
          <w:szCs w:val="20"/>
        </w:rPr>
        <w:t xml:space="preserve">nákladů na vzdělávání ve školách a školských zařízeních zřizovaných krajem </w:t>
      </w:r>
      <w:r w:rsidRPr="00CE1B5B">
        <w:rPr>
          <w:rFonts w:ascii="Tahoma" w:hAnsi="Tahoma" w:cs="Tahoma"/>
          <w:sz w:val="20"/>
          <w:szCs w:val="20"/>
        </w:rPr>
        <w:t>celkem 1.</w:t>
      </w:r>
      <w:r w:rsidR="00E067FA" w:rsidRPr="00CE1B5B">
        <w:rPr>
          <w:rFonts w:ascii="Tahoma" w:hAnsi="Tahoma" w:cs="Tahoma"/>
          <w:sz w:val="20"/>
          <w:szCs w:val="20"/>
        </w:rPr>
        <w:t>071.906</w:t>
      </w:r>
      <w:r w:rsidRPr="00CE1B5B">
        <w:rPr>
          <w:rFonts w:ascii="Tahoma" w:hAnsi="Tahoma" w:cs="Tahoma"/>
          <w:sz w:val="20"/>
          <w:szCs w:val="20"/>
        </w:rPr>
        <w:t xml:space="preserve"> tis. Kč a na zajištění jejich běžného provozu </w:t>
      </w:r>
      <w:r w:rsidR="00E067FA" w:rsidRPr="00CE1B5B">
        <w:rPr>
          <w:rFonts w:ascii="Tahoma" w:hAnsi="Tahoma" w:cs="Tahoma"/>
          <w:sz w:val="20"/>
          <w:szCs w:val="20"/>
        </w:rPr>
        <w:t>215.187</w:t>
      </w:r>
      <w:r w:rsidRPr="00CE1B5B">
        <w:rPr>
          <w:rFonts w:ascii="Tahoma" w:hAnsi="Tahoma" w:cs="Tahoma"/>
          <w:sz w:val="20"/>
          <w:szCs w:val="20"/>
        </w:rPr>
        <w:t xml:space="preserve"> tis. Kč. Prostředky ve výši </w:t>
      </w:r>
      <w:r w:rsidR="00266156" w:rsidRPr="00CE1B5B">
        <w:rPr>
          <w:rFonts w:ascii="Tahoma" w:hAnsi="Tahoma" w:cs="Tahoma"/>
          <w:sz w:val="20"/>
          <w:szCs w:val="20"/>
        </w:rPr>
        <w:t>22.488</w:t>
      </w:r>
      <w:r w:rsidRPr="00CE1B5B">
        <w:rPr>
          <w:rFonts w:ascii="Tahoma" w:hAnsi="Tahoma" w:cs="Tahoma"/>
          <w:sz w:val="20"/>
          <w:szCs w:val="20"/>
        </w:rPr>
        <w:t xml:space="preserve"> tis. Kč schválené jako návratné finanční výpomoci z rozpočtu kraje příspěvkovým organizacím v tomto odvětví byly poskytnuty v souvislosti s realizací jednotlivých akcí spolufinancovaných z evropských finančních zdrojů.</w:t>
      </w:r>
    </w:p>
    <w:p w:rsidR="00014B18" w:rsidRPr="00CE1B5B" w:rsidRDefault="00014B18" w:rsidP="00693B64">
      <w:pPr>
        <w:jc w:val="both"/>
        <w:rPr>
          <w:rFonts w:ascii="Tahoma" w:hAnsi="Tahoma" w:cs="Tahoma"/>
          <w:sz w:val="20"/>
          <w:szCs w:val="20"/>
        </w:rPr>
      </w:pPr>
      <w:r w:rsidRPr="00CE1B5B">
        <w:rPr>
          <w:rFonts w:ascii="Tahoma" w:hAnsi="Tahoma" w:cs="Tahoma"/>
          <w:sz w:val="20"/>
          <w:szCs w:val="20"/>
        </w:rPr>
        <w:t>Na reprodukci majetku kraje svěřeného do správy příspěvkových organizací v odvětví školství bylo k</w:t>
      </w:r>
      <w:r w:rsidR="00E067FA" w:rsidRPr="00CE1B5B">
        <w:rPr>
          <w:rFonts w:ascii="Tahoma" w:hAnsi="Tahoma" w:cs="Tahoma"/>
          <w:sz w:val="20"/>
          <w:szCs w:val="20"/>
        </w:rPr>
        <w:t> </w:t>
      </w:r>
      <w:r w:rsidR="00061E36" w:rsidRPr="00CE1B5B">
        <w:rPr>
          <w:rFonts w:ascii="Tahoma" w:hAnsi="Tahoma" w:cs="Tahoma"/>
          <w:sz w:val="20"/>
          <w:szCs w:val="20"/>
        </w:rPr>
        <w:t>30.</w:t>
      </w:r>
      <w:r w:rsidR="00E067FA" w:rsidRPr="00CE1B5B">
        <w:rPr>
          <w:rFonts w:ascii="Tahoma" w:hAnsi="Tahoma" w:cs="Tahoma"/>
          <w:sz w:val="20"/>
          <w:szCs w:val="20"/>
        </w:rPr>
        <w:t> </w:t>
      </w:r>
      <w:r w:rsidR="00061E36" w:rsidRPr="00CE1B5B">
        <w:rPr>
          <w:rFonts w:ascii="Tahoma" w:hAnsi="Tahoma" w:cs="Tahoma"/>
          <w:sz w:val="20"/>
          <w:szCs w:val="20"/>
        </w:rPr>
        <w:t>4. 2014</w:t>
      </w:r>
      <w:r w:rsidRPr="00CE1B5B">
        <w:rPr>
          <w:rFonts w:ascii="Tahoma" w:hAnsi="Tahoma" w:cs="Tahoma"/>
          <w:sz w:val="20"/>
          <w:szCs w:val="20"/>
        </w:rPr>
        <w:t xml:space="preserve"> z vyčleněných prostředků ve výši </w:t>
      </w:r>
      <w:r w:rsidR="00E067FA" w:rsidRPr="00CE1B5B">
        <w:rPr>
          <w:rFonts w:ascii="Tahoma" w:hAnsi="Tahoma" w:cs="Tahoma"/>
          <w:sz w:val="20"/>
          <w:szCs w:val="20"/>
        </w:rPr>
        <w:t>107.586</w:t>
      </w:r>
      <w:r w:rsidRPr="00CE1B5B">
        <w:rPr>
          <w:rFonts w:ascii="Tahoma" w:hAnsi="Tahoma" w:cs="Tahoma"/>
          <w:sz w:val="20"/>
          <w:szCs w:val="20"/>
        </w:rPr>
        <w:t xml:space="preserve"> tis. Kč vyčerpáno </w:t>
      </w:r>
      <w:r w:rsidR="00E067FA" w:rsidRPr="00CE1B5B">
        <w:rPr>
          <w:rFonts w:ascii="Tahoma" w:hAnsi="Tahoma" w:cs="Tahoma"/>
          <w:sz w:val="20"/>
          <w:szCs w:val="20"/>
        </w:rPr>
        <w:t>1.62</w:t>
      </w:r>
      <w:r w:rsidR="00266156" w:rsidRPr="00CE1B5B">
        <w:rPr>
          <w:rFonts w:ascii="Tahoma" w:hAnsi="Tahoma" w:cs="Tahoma"/>
          <w:sz w:val="20"/>
          <w:szCs w:val="20"/>
        </w:rPr>
        <w:t>9</w:t>
      </w:r>
      <w:r w:rsidRPr="00CE1B5B">
        <w:rPr>
          <w:rFonts w:ascii="Tahoma" w:hAnsi="Tahoma" w:cs="Tahoma"/>
          <w:sz w:val="20"/>
          <w:szCs w:val="20"/>
        </w:rPr>
        <w:t xml:space="preserve"> tis. Kč (více viz příloha č. 4 materiálu). </w:t>
      </w:r>
    </w:p>
    <w:p w:rsidR="00014B18" w:rsidRPr="00CE1B5B" w:rsidRDefault="00014B18" w:rsidP="00CD6A15">
      <w:pPr>
        <w:jc w:val="both"/>
        <w:rPr>
          <w:rFonts w:ascii="Tahoma" w:hAnsi="Tahoma" w:cs="Tahoma"/>
          <w:sz w:val="20"/>
          <w:szCs w:val="20"/>
        </w:rPr>
      </w:pPr>
      <w:r w:rsidRPr="00CE1B5B">
        <w:rPr>
          <w:rFonts w:ascii="Tahoma" w:hAnsi="Tahoma" w:cs="Tahoma"/>
          <w:sz w:val="20"/>
          <w:szCs w:val="20"/>
        </w:rPr>
        <w:t xml:space="preserve">Ve sledovaném období byly v tomto odvětví čerpány finanční prostředky i v rámci akcí spolufinancovaných z evropských finančních zdrojů, a to v částce </w:t>
      </w:r>
      <w:r w:rsidR="00E067FA" w:rsidRPr="00CE1B5B">
        <w:rPr>
          <w:rFonts w:ascii="Tahoma" w:hAnsi="Tahoma" w:cs="Tahoma"/>
          <w:sz w:val="20"/>
          <w:szCs w:val="20"/>
        </w:rPr>
        <w:t>138.768</w:t>
      </w:r>
      <w:r w:rsidRPr="00CE1B5B">
        <w:rPr>
          <w:rFonts w:ascii="Tahoma" w:hAnsi="Tahoma" w:cs="Tahoma"/>
          <w:sz w:val="20"/>
          <w:szCs w:val="20"/>
        </w:rPr>
        <w:t xml:space="preserve"> tis. Kč (více viz příloha č. 5 materiálu).</w:t>
      </w:r>
    </w:p>
    <w:p w:rsidR="00014B18" w:rsidRPr="00CE1B5B" w:rsidRDefault="00014B18" w:rsidP="00CD6A15">
      <w:pPr>
        <w:jc w:val="both"/>
        <w:rPr>
          <w:rFonts w:ascii="Tahoma" w:hAnsi="Tahoma" w:cs="Tahoma"/>
          <w:sz w:val="20"/>
          <w:szCs w:val="20"/>
        </w:rPr>
      </w:pPr>
    </w:p>
    <w:p w:rsidR="00014B18" w:rsidRPr="00CE1B5B" w:rsidRDefault="00014B18" w:rsidP="00CD6A15">
      <w:pPr>
        <w:jc w:val="both"/>
        <w:rPr>
          <w:rFonts w:ascii="Tahoma" w:hAnsi="Tahoma" w:cs="Tahoma"/>
          <w:sz w:val="20"/>
          <w:szCs w:val="20"/>
        </w:rPr>
      </w:pPr>
    </w:p>
    <w:p w:rsidR="00014B18" w:rsidRPr="00CE1B5B" w:rsidRDefault="00A8524E" w:rsidP="00CD6A15">
      <w:pPr>
        <w:jc w:val="both"/>
        <w:rPr>
          <w:rFonts w:ascii="Tahoma" w:hAnsi="Tahoma" w:cs="Tahoma"/>
          <w:sz w:val="20"/>
          <w:szCs w:val="20"/>
        </w:rPr>
      </w:pPr>
      <w:r w:rsidRPr="00CE1B5B">
        <w:rPr>
          <w:rFonts w:ascii="Tahoma" w:hAnsi="Tahoma" w:cs="Tahoma"/>
          <w:sz w:val="20"/>
          <w:szCs w:val="20"/>
        </w:rPr>
        <w:object w:dxaOrig="9458" w:dyaOrig="2595">
          <v:shape id="_x0000_i1064" type="#_x0000_t75" style="width:453pt;height:124.5pt" o:ole="">
            <v:imagedata r:id="rId91" o:title=""/>
          </v:shape>
          <o:OLEObject Type="Embed" ProgID="Excel.Sheet.8" ShapeID="_x0000_i1064" DrawAspect="Content" ObjectID="_1462796471" r:id="rId92"/>
        </w:object>
      </w:r>
    </w:p>
    <w:p w:rsidR="00A22034" w:rsidRPr="00CE1B5B" w:rsidRDefault="00A22034">
      <w:pPr>
        <w:rPr>
          <w:rFonts w:ascii="Tahoma" w:hAnsi="Tahoma" w:cs="Tahoma"/>
          <w:sz w:val="20"/>
          <w:szCs w:val="20"/>
        </w:rPr>
      </w:pPr>
    </w:p>
    <w:p w:rsidR="00014B18" w:rsidRPr="00CE1B5B" w:rsidRDefault="00014B18" w:rsidP="00CD6A15">
      <w:pPr>
        <w:jc w:val="both"/>
        <w:rPr>
          <w:rFonts w:ascii="Tahoma" w:hAnsi="Tahoma" w:cs="Tahoma"/>
          <w:sz w:val="20"/>
          <w:szCs w:val="20"/>
        </w:rPr>
      </w:pPr>
    </w:p>
    <w:p w:rsidR="00014B18" w:rsidRPr="00CE1B5B" w:rsidRDefault="00A8524E" w:rsidP="00CD6A15">
      <w:pPr>
        <w:jc w:val="both"/>
        <w:rPr>
          <w:rFonts w:ascii="Tahoma" w:hAnsi="Tahoma" w:cs="Tahoma"/>
          <w:sz w:val="20"/>
          <w:szCs w:val="20"/>
        </w:rPr>
      </w:pPr>
      <w:r w:rsidRPr="00CE1B5B">
        <w:rPr>
          <w:rFonts w:ascii="Tahoma" w:hAnsi="Tahoma" w:cs="Tahoma"/>
          <w:sz w:val="20"/>
          <w:szCs w:val="20"/>
        </w:rPr>
        <w:object w:dxaOrig="9793" w:dyaOrig="11197">
          <v:shape id="_x0000_i1065" type="#_x0000_t75" style="width:455.25pt;height:520.5pt" o:ole="">
            <v:imagedata r:id="rId93" o:title=""/>
          </v:shape>
          <o:OLEObject Type="Embed" ProgID="Excel.Sheet.8" ShapeID="_x0000_i1065" DrawAspect="Content" ObjectID="_1462796472" r:id="rId94"/>
        </w:object>
      </w:r>
    </w:p>
    <w:p w:rsidR="00014B18" w:rsidRPr="00CE1B5B" w:rsidRDefault="00014B18" w:rsidP="00CD6A15">
      <w:pPr>
        <w:jc w:val="both"/>
        <w:rPr>
          <w:rFonts w:ascii="Tahoma" w:hAnsi="Tahoma" w:cs="Tahoma"/>
          <w:sz w:val="20"/>
          <w:szCs w:val="20"/>
        </w:rPr>
      </w:pPr>
    </w:p>
    <w:p w:rsidR="00014B18" w:rsidRPr="00CE1B5B" w:rsidRDefault="00014B18" w:rsidP="00CD6A15">
      <w:pPr>
        <w:jc w:val="both"/>
        <w:rPr>
          <w:rFonts w:ascii="Tahoma" w:hAnsi="Tahoma" w:cs="Tahoma"/>
          <w:sz w:val="20"/>
          <w:szCs w:val="20"/>
        </w:rPr>
      </w:pPr>
    </w:p>
    <w:p w:rsidR="00014B18" w:rsidRPr="00CE1B5B" w:rsidRDefault="00A8524E" w:rsidP="00822A28">
      <w:pPr>
        <w:pStyle w:val="Zkladntext"/>
        <w:spacing w:before="360"/>
        <w:rPr>
          <w:rFonts w:ascii="Tahoma" w:hAnsi="Tahoma" w:cs="Tahoma"/>
          <w:sz w:val="20"/>
          <w:szCs w:val="20"/>
        </w:rPr>
      </w:pPr>
      <w:r w:rsidRPr="00CE1B5B">
        <w:rPr>
          <w:rFonts w:ascii="Tahoma" w:hAnsi="Tahoma" w:cs="Tahoma"/>
          <w:sz w:val="20"/>
          <w:szCs w:val="20"/>
        </w:rPr>
        <w:object w:dxaOrig="9410" w:dyaOrig="8393">
          <v:shape id="_x0000_i1066" type="#_x0000_t75" style="width:451.5pt;height:403.5pt" o:ole="">
            <v:imagedata r:id="rId95" o:title=""/>
          </v:shape>
          <o:OLEObject Type="Embed" ProgID="Excel.Sheet.8" ShapeID="_x0000_i1066" DrawAspect="Content" ObjectID="_1462796473" r:id="rId96"/>
        </w:object>
      </w:r>
    </w:p>
    <w:p w:rsidR="00622C12" w:rsidRDefault="00622C12" w:rsidP="00822A28">
      <w:pPr>
        <w:pStyle w:val="Zkladntext"/>
        <w:spacing w:before="360"/>
        <w:rPr>
          <w:rFonts w:ascii="Tahoma" w:hAnsi="Tahoma" w:cs="Tahoma"/>
          <w:b/>
          <w:sz w:val="20"/>
        </w:rPr>
      </w:pPr>
    </w:p>
    <w:p w:rsidR="00014B18" w:rsidRPr="00CE1B5B" w:rsidRDefault="00014B18" w:rsidP="00822A28">
      <w:pPr>
        <w:pStyle w:val="Zkladntext"/>
        <w:spacing w:before="360"/>
        <w:rPr>
          <w:rFonts w:ascii="Tahoma" w:hAnsi="Tahoma" w:cs="Tahoma"/>
          <w:b/>
          <w:sz w:val="20"/>
        </w:rPr>
      </w:pPr>
      <w:r w:rsidRPr="00CE1B5B">
        <w:rPr>
          <w:rFonts w:ascii="Tahoma" w:hAnsi="Tahoma" w:cs="Tahoma"/>
          <w:b/>
          <w:sz w:val="20"/>
        </w:rPr>
        <w:t>Odvětví územního plánování a stavebního řádu</w:t>
      </w:r>
    </w:p>
    <w:p w:rsidR="00014B18" w:rsidRPr="00CE1B5B" w:rsidRDefault="00014B18" w:rsidP="00822A28">
      <w:pPr>
        <w:jc w:val="both"/>
        <w:rPr>
          <w:rFonts w:ascii="Tahoma" w:hAnsi="Tahoma" w:cs="Tahoma"/>
          <w:sz w:val="20"/>
          <w:szCs w:val="20"/>
        </w:rPr>
      </w:pPr>
    </w:p>
    <w:p w:rsidR="00014B18" w:rsidRPr="00CE1B5B" w:rsidRDefault="00014B18" w:rsidP="00822A28">
      <w:pPr>
        <w:jc w:val="both"/>
        <w:rPr>
          <w:rFonts w:ascii="Tahoma" w:hAnsi="Tahoma" w:cs="Tahoma"/>
          <w:sz w:val="20"/>
          <w:szCs w:val="20"/>
        </w:rPr>
      </w:pPr>
      <w:r w:rsidRPr="00CE1B5B">
        <w:rPr>
          <w:rFonts w:ascii="Tahoma" w:hAnsi="Tahoma" w:cs="Tahoma"/>
          <w:sz w:val="20"/>
          <w:szCs w:val="20"/>
        </w:rPr>
        <w:t>Rozpočet výdajů v odvětví územního plánování a stavebního řádu byl schválen ve výši 2.300 tis. Kč a následně upraven na 4.607 tis. Kč. K této úpravě došlo v důsledku zapojení části zůstatku finančních prostředků rozpočtového hospodaření roku 2013 do rozpočtu kraje na rok 2014, a to zejména na doplatky dotačního programu na podporu tvorby územních plánů obcí a na navýšení objemu prostředků vymezených pro Studie k aktualizaci zásad územního rozvoje. Výdaje v odvětví dosud nebyly čerpány.</w:t>
      </w:r>
    </w:p>
    <w:p w:rsidR="00014B18" w:rsidRPr="00CE1B5B" w:rsidRDefault="00014B18" w:rsidP="00822A28">
      <w:pPr>
        <w:jc w:val="both"/>
        <w:rPr>
          <w:rFonts w:ascii="Tahoma" w:hAnsi="Tahoma" w:cs="Tahoma"/>
          <w:sz w:val="20"/>
          <w:szCs w:val="20"/>
        </w:rPr>
      </w:pPr>
    </w:p>
    <w:p w:rsidR="00014B18" w:rsidRPr="00CE1B5B" w:rsidRDefault="00A8524E" w:rsidP="00822A28">
      <w:pPr>
        <w:jc w:val="both"/>
        <w:rPr>
          <w:rFonts w:ascii="Tahoma" w:hAnsi="Tahoma" w:cs="Tahoma"/>
          <w:sz w:val="20"/>
          <w:szCs w:val="20"/>
        </w:rPr>
      </w:pPr>
      <w:r w:rsidRPr="00CE1B5B">
        <w:rPr>
          <w:rFonts w:ascii="Tahoma" w:hAnsi="Tahoma" w:cs="Tahoma"/>
          <w:sz w:val="20"/>
          <w:szCs w:val="20"/>
        </w:rPr>
        <w:object w:dxaOrig="9239" w:dyaOrig="2465">
          <v:shape id="_x0000_i1067" type="#_x0000_t75" style="width:453pt;height:120.75pt" o:ole="">
            <v:imagedata r:id="rId97" o:title=""/>
          </v:shape>
          <o:OLEObject Type="Embed" ProgID="Excel.Sheet.8" ShapeID="_x0000_i1067" DrawAspect="Content" ObjectID="_1462796474" r:id="rId98"/>
        </w:object>
      </w:r>
    </w:p>
    <w:p w:rsidR="00014B18" w:rsidRPr="00CE1B5B" w:rsidRDefault="00014B18" w:rsidP="00822A28">
      <w:pPr>
        <w:jc w:val="both"/>
        <w:rPr>
          <w:rFonts w:ascii="Tahoma" w:hAnsi="Tahoma" w:cs="Tahoma"/>
          <w:sz w:val="20"/>
          <w:szCs w:val="20"/>
        </w:rPr>
      </w:pPr>
    </w:p>
    <w:p w:rsidR="00014B18" w:rsidRPr="00CE1B5B" w:rsidRDefault="00622C12" w:rsidP="00822A28">
      <w:pPr>
        <w:jc w:val="both"/>
        <w:rPr>
          <w:rFonts w:ascii="Tahoma" w:hAnsi="Tahoma" w:cs="Tahoma"/>
          <w:sz w:val="20"/>
          <w:szCs w:val="20"/>
        </w:rPr>
      </w:pPr>
      <w:r w:rsidRPr="00CE1B5B">
        <w:rPr>
          <w:rFonts w:ascii="Tahoma" w:hAnsi="Tahoma" w:cs="Tahoma"/>
          <w:sz w:val="20"/>
          <w:szCs w:val="20"/>
        </w:rPr>
        <w:object w:dxaOrig="9299" w:dyaOrig="2636">
          <v:shape id="_x0000_i1068" type="#_x0000_t75" style="width:456.75pt;height:135pt" o:ole="">
            <v:imagedata r:id="rId99" o:title=""/>
          </v:shape>
          <o:OLEObject Type="Embed" ProgID="Excel.Sheet.8" ShapeID="_x0000_i1068" DrawAspect="Content" ObjectID="_1462796475" r:id="rId100"/>
        </w:object>
      </w:r>
    </w:p>
    <w:p w:rsidR="00014B18" w:rsidRPr="00CE1B5B" w:rsidRDefault="00014B18" w:rsidP="00F33EB1">
      <w:pPr>
        <w:pStyle w:val="Zkladntext"/>
        <w:spacing w:before="360"/>
        <w:rPr>
          <w:rFonts w:ascii="Tahoma" w:hAnsi="Tahoma" w:cs="Tahoma"/>
          <w:b/>
          <w:sz w:val="20"/>
        </w:rPr>
      </w:pPr>
      <w:r w:rsidRPr="00CE1B5B">
        <w:rPr>
          <w:rFonts w:ascii="Tahoma" w:hAnsi="Tahoma" w:cs="Tahoma"/>
          <w:b/>
          <w:sz w:val="20"/>
        </w:rPr>
        <w:t>Odvětví zdravotnictví</w:t>
      </w:r>
    </w:p>
    <w:p w:rsidR="00014B18" w:rsidRPr="00CE1B5B" w:rsidRDefault="00014B18" w:rsidP="00F33EB1">
      <w:pPr>
        <w:jc w:val="both"/>
        <w:rPr>
          <w:rFonts w:ascii="Tahoma" w:hAnsi="Tahoma" w:cs="Tahoma"/>
          <w:sz w:val="20"/>
          <w:szCs w:val="20"/>
        </w:rPr>
      </w:pPr>
    </w:p>
    <w:p w:rsidR="00014B18" w:rsidRPr="00CE1B5B" w:rsidRDefault="00014B18" w:rsidP="00203089">
      <w:pPr>
        <w:jc w:val="both"/>
        <w:rPr>
          <w:rFonts w:ascii="Tahoma" w:hAnsi="Tahoma" w:cs="Tahoma"/>
          <w:sz w:val="20"/>
          <w:szCs w:val="20"/>
        </w:rPr>
      </w:pPr>
      <w:r w:rsidRPr="00CE1B5B">
        <w:rPr>
          <w:rFonts w:ascii="Tahoma" w:hAnsi="Tahoma" w:cs="Tahoma"/>
          <w:sz w:val="20"/>
          <w:szCs w:val="20"/>
        </w:rPr>
        <w:t>Schválený rozpočet výdajů v odvětví zdravotnictví představuje částku 905.045 tis. Kč. K </w:t>
      </w:r>
      <w:r w:rsidR="00061E36" w:rsidRPr="00CE1B5B">
        <w:rPr>
          <w:rFonts w:ascii="Tahoma" w:hAnsi="Tahoma" w:cs="Tahoma"/>
          <w:sz w:val="20"/>
          <w:szCs w:val="20"/>
        </w:rPr>
        <w:t>30. 4. 2014</w:t>
      </w:r>
      <w:r w:rsidRPr="00CE1B5B">
        <w:rPr>
          <w:rFonts w:ascii="Tahoma" w:hAnsi="Tahoma" w:cs="Tahoma"/>
          <w:sz w:val="20"/>
          <w:szCs w:val="20"/>
        </w:rPr>
        <w:t xml:space="preserve"> činil upravený rozpočet </w:t>
      </w:r>
      <w:r w:rsidR="00747FFE" w:rsidRPr="00CE1B5B">
        <w:rPr>
          <w:rFonts w:ascii="Tahoma" w:hAnsi="Tahoma" w:cs="Tahoma"/>
          <w:sz w:val="20"/>
          <w:szCs w:val="20"/>
        </w:rPr>
        <w:t>997.932</w:t>
      </w:r>
      <w:r w:rsidRPr="00CE1B5B">
        <w:rPr>
          <w:rFonts w:ascii="Tahoma" w:hAnsi="Tahoma" w:cs="Tahoma"/>
          <w:sz w:val="20"/>
          <w:szCs w:val="20"/>
        </w:rPr>
        <w:t xml:space="preserve"> tis. Kč. K navýšení došlo především zapojením části zůstatku finančních prostředků rozpočtového hospodaření roku 2013 do rozpočtu kraje roku 2014 </w:t>
      </w:r>
      <w:r w:rsidR="00747FFE" w:rsidRPr="00CE1B5B">
        <w:rPr>
          <w:rFonts w:ascii="Tahoma" w:hAnsi="Tahoma" w:cs="Tahoma"/>
          <w:sz w:val="20"/>
          <w:szCs w:val="20"/>
        </w:rPr>
        <w:t xml:space="preserve">u akcí reprodukce majetku kraje (navýšení o 74.807 tis. Kč) a </w:t>
      </w:r>
      <w:r w:rsidRPr="00CE1B5B">
        <w:rPr>
          <w:rFonts w:ascii="Tahoma" w:hAnsi="Tahoma" w:cs="Tahoma"/>
          <w:sz w:val="20"/>
          <w:szCs w:val="20"/>
        </w:rPr>
        <w:t xml:space="preserve">u akcí spolufinancovaných z evropských finančních zdrojů (navýšení o </w:t>
      </w:r>
      <w:r w:rsidR="00747FFE" w:rsidRPr="00CE1B5B">
        <w:rPr>
          <w:rFonts w:ascii="Tahoma" w:hAnsi="Tahoma" w:cs="Tahoma"/>
          <w:sz w:val="20"/>
          <w:szCs w:val="20"/>
        </w:rPr>
        <w:t>7.223</w:t>
      </w:r>
      <w:r w:rsidRPr="00CE1B5B">
        <w:rPr>
          <w:rFonts w:ascii="Tahoma" w:hAnsi="Tahoma" w:cs="Tahoma"/>
          <w:sz w:val="20"/>
          <w:szCs w:val="20"/>
        </w:rPr>
        <w:t xml:space="preserve"> tis. Kč). K úpravě rozpočtu v tomto odvětví došlo také např. navýšením prostředků v objemu 3.356 tis. Kč v souvislosti s vypořádáním závazků Nemocnice s poliklinikou v Novém Jičíně a navýšením prostředků na </w:t>
      </w:r>
      <w:r w:rsidR="00981487" w:rsidRPr="00CE1B5B">
        <w:rPr>
          <w:rFonts w:ascii="Tahoma" w:hAnsi="Tahoma" w:cs="Tahoma"/>
          <w:sz w:val="20"/>
          <w:szCs w:val="20"/>
        </w:rPr>
        <w:t>Optimalizaci</w:t>
      </w:r>
      <w:r w:rsidRPr="00CE1B5B">
        <w:rPr>
          <w:rFonts w:ascii="Tahoma" w:hAnsi="Tahoma" w:cs="Tahoma"/>
          <w:sz w:val="20"/>
          <w:szCs w:val="20"/>
        </w:rPr>
        <w:t xml:space="preserve"> </w:t>
      </w:r>
      <w:r w:rsidR="00981487" w:rsidRPr="00CE1B5B">
        <w:rPr>
          <w:rFonts w:ascii="Tahoma" w:hAnsi="Tahoma" w:cs="Tahoma"/>
          <w:sz w:val="20"/>
          <w:szCs w:val="20"/>
        </w:rPr>
        <w:t>řízení</w:t>
      </w:r>
      <w:r w:rsidRPr="00CE1B5B">
        <w:rPr>
          <w:rFonts w:ascii="Tahoma" w:hAnsi="Tahoma" w:cs="Tahoma"/>
          <w:sz w:val="20"/>
          <w:szCs w:val="20"/>
        </w:rPr>
        <w:t xml:space="preserve"> zdravotnických zařízení v objemu </w:t>
      </w:r>
      <w:r w:rsidR="007A3E9E" w:rsidRPr="00CE1B5B">
        <w:rPr>
          <w:rFonts w:ascii="Tahoma" w:hAnsi="Tahoma" w:cs="Tahoma"/>
          <w:sz w:val="20"/>
          <w:szCs w:val="20"/>
        </w:rPr>
        <w:t>1.545 </w:t>
      </w:r>
      <w:r w:rsidRPr="00CE1B5B">
        <w:rPr>
          <w:rFonts w:ascii="Tahoma" w:hAnsi="Tahoma" w:cs="Tahoma"/>
          <w:sz w:val="20"/>
          <w:szCs w:val="20"/>
        </w:rPr>
        <w:t>tis. Kč souvisejících se zajištěním konzultačních a poradenských služeb v oblasti sledování, vykazování a vyúčtování zdravotní péče zdravotnických zařízení zřizovaných Moravskoslezským krajem</w:t>
      </w:r>
      <w:r w:rsidRPr="00CE1B5B">
        <w:rPr>
          <w:rFonts w:ascii="Tahoma" w:hAnsi="Tahoma" w:cs="Tahoma"/>
          <w:sz w:val="20"/>
        </w:rPr>
        <w:t xml:space="preserve">. </w:t>
      </w:r>
      <w:r w:rsidR="00981487" w:rsidRPr="00CE1B5B">
        <w:rPr>
          <w:rFonts w:ascii="Tahoma" w:hAnsi="Tahoma" w:cs="Tahoma"/>
          <w:sz w:val="20"/>
        </w:rPr>
        <w:t>Navýšení rozpočtu v odvětví zdravotnictví souviselo také s podporou mediální</w:t>
      </w:r>
      <w:r w:rsidR="00A4725A" w:rsidRPr="00CE1B5B">
        <w:rPr>
          <w:rFonts w:ascii="Tahoma" w:hAnsi="Tahoma" w:cs="Tahoma"/>
          <w:sz w:val="20"/>
        </w:rPr>
        <w:t xml:space="preserve"> publicity v tomto odvětví</w:t>
      </w:r>
      <w:r w:rsidR="00E46B26" w:rsidRPr="00CE1B5B">
        <w:rPr>
          <w:rFonts w:ascii="Tahoma" w:hAnsi="Tahoma" w:cs="Tahoma"/>
          <w:sz w:val="20"/>
        </w:rPr>
        <w:t>, a to</w:t>
      </w:r>
      <w:r w:rsidR="00A4725A" w:rsidRPr="00CE1B5B">
        <w:rPr>
          <w:rFonts w:ascii="Tahoma" w:hAnsi="Tahoma" w:cs="Tahoma"/>
          <w:sz w:val="20"/>
        </w:rPr>
        <w:t xml:space="preserve"> </w:t>
      </w:r>
      <w:r w:rsidR="007A3E9E" w:rsidRPr="00CE1B5B">
        <w:rPr>
          <w:rFonts w:ascii="Tahoma" w:hAnsi="Tahoma" w:cs="Tahoma"/>
          <w:sz w:val="20"/>
        </w:rPr>
        <w:t xml:space="preserve">celkově </w:t>
      </w:r>
      <w:r w:rsidR="00A4725A" w:rsidRPr="00CE1B5B">
        <w:rPr>
          <w:rFonts w:ascii="Tahoma" w:hAnsi="Tahoma" w:cs="Tahoma"/>
          <w:sz w:val="20"/>
        </w:rPr>
        <w:t>o 4</w:t>
      </w:r>
      <w:r w:rsidR="007A3E9E" w:rsidRPr="00CE1B5B">
        <w:rPr>
          <w:rFonts w:ascii="Tahoma" w:hAnsi="Tahoma" w:cs="Tahoma"/>
          <w:sz w:val="20"/>
        </w:rPr>
        <w:t>6</w:t>
      </w:r>
      <w:r w:rsidR="00A4725A" w:rsidRPr="00CE1B5B">
        <w:rPr>
          <w:rFonts w:ascii="Tahoma" w:hAnsi="Tahoma" w:cs="Tahoma"/>
          <w:sz w:val="20"/>
        </w:rPr>
        <w:t>0 tis. Kč</w:t>
      </w:r>
      <w:r w:rsidR="00E46B26" w:rsidRPr="00CE1B5B">
        <w:rPr>
          <w:rFonts w:ascii="Tahoma" w:hAnsi="Tahoma" w:cs="Tahoma"/>
          <w:sz w:val="20"/>
        </w:rPr>
        <w:t xml:space="preserve"> </w:t>
      </w:r>
      <w:r w:rsidR="007A3E9E" w:rsidRPr="00CE1B5B">
        <w:rPr>
          <w:rFonts w:ascii="Tahoma" w:hAnsi="Tahoma" w:cs="Tahoma"/>
          <w:sz w:val="20"/>
        </w:rPr>
        <w:t>(</w:t>
      </w:r>
      <w:r w:rsidR="00A4725A" w:rsidRPr="00CE1B5B">
        <w:rPr>
          <w:rFonts w:ascii="Tahoma" w:hAnsi="Tahoma" w:cs="Tahoma"/>
          <w:sz w:val="20"/>
        </w:rPr>
        <w:t xml:space="preserve">zejména </w:t>
      </w:r>
      <w:r w:rsidR="007A3E9E" w:rsidRPr="00CE1B5B">
        <w:rPr>
          <w:rFonts w:ascii="Tahoma" w:hAnsi="Tahoma" w:cs="Tahoma"/>
          <w:sz w:val="20"/>
        </w:rPr>
        <w:t xml:space="preserve">v souvislosti </w:t>
      </w:r>
      <w:r w:rsidR="00A4725A" w:rsidRPr="00CE1B5B">
        <w:rPr>
          <w:rFonts w:ascii="Tahoma" w:hAnsi="Tahoma" w:cs="Tahoma"/>
          <w:sz w:val="20"/>
        </w:rPr>
        <w:t>s</w:t>
      </w:r>
      <w:r w:rsidR="001D2384" w:rsidRPr="00CE1B5B">
        <w:rPr>
          <w:rFonts w:ascii="Tahoma" w:hAnsi="Tahoma" w:cs="Tahoma"/>
          <w:sz w:val="20"/>
        </w:rPr>
        <w:t xml:space="preserve"> televizním </w:t>
      </w:r>
      <w:r w:rsidR="00A4725A" w:rsidRPr="00CE1B5B">
        <w:rPr>
          <w:rFonts w:ascii="Tahoma" w:hAnsi="Tahoma" w:cs="Tahoma"/>
          <w:sz w:val="20"/>
        </w:rPr>
        <w:t>pořadem „Medicína“</w:t>
      </w:r>
      <w:r w:rsidR="007A3E9E" w:rsidRPr="00CE1B5B">
        <w:rPr>
          <w:rFonts w:ascii="Tahoma" w:hAnsi="Tahoma" w:cs="Tahoma"/>
          <w:sz w:val="20"/>
        </w:rPr>
        <w:t>)</w:t>
      </w:r>
      <w:r w:rsidR="00A4725A" w:rsidRPr="00CE1B5B">
        <w:rPr>
          <w:rFonts w:ascii="Tahoma" w:hAnsi="Tahoma" w:cs="Tahoma"/>
          <w:sz w:val="20"/>
        </w:rPr>
        <w:t>.</w:t>
      </w:r>
    </w:p>
    <w:p w:rsidR="00014B18" w:rsidRPr="00CE1B5B" w:rsidRDefault="00014B18" w:rsidP="00F33EB1">
      <w:pPr>
        <w:jc w:val="both"/>
        <w:rPr>
          <w:rFonts w:ascii="Tahoma" w:hAnsi="Tahoma" w:cs="Tahoma"/>
          <w:sz w:val="20"/>
          <w:szCs w:val="20"/>
        </w:rPr>
      </w:pPr>
      <w:r w:rsidRPr="00CE1B5B">
        <w:rPr>
          <w:rFonts w:ascii="Tahoma" w:hAnsi="Tahoma" w:cs="Tahoma"/>
          <w:sz w:val="20"/>
          <w:szCs w:val="20"/>
        </w:rPr>
        <w:t xml:space="preserve">Vyčerpáno bylo v odvětví zdravotnictví celkem </w:t>
      </w:r>
      <w:r w:rsidR="00747FFE" w:rsidRPr="00CE1B5B">
        <w:rPr>
          <w:rFonts w:ascii="Tahoma" w:hAnsi="Tahoma" w:cs="Tahoma"/>
          <w:sz w:val="20"/>
          <w:szCs w:val="20"/>
        </w:rPr>
        <w:t>253.388</w:t>
      </w:r>
      <w:r w:rsidRPr="00CE1B5B">
        <w:rPr>
          <w:rFonts w:ascii="Tahoma" w:hAnsi="Tahoma" w:cs="Tahoma"/>
          <w:sz w:val="20"/>
          <w:szCs w:val="20"/>
        </w:rPr>
        <w:t xml:space="preserve"> tis. Kč, což představuje čerpání </w:t>
      </w:r>
      <w:r w:rsidR="00747FFE" w:rsidRPr="00CE1B5B">
        <w:rPr>
          <w:rFonts w:ascii="Tahoma" w:hAnsi="Tahoma" w:cs="Tahoma"/>
          <w:sz w:val="20"/>
          <w:szCs w:val="20"/>
        </w:rPr>
        <w:t>25,4</w:t>
      </w:r>
      <w:r w:rsidRPr="00CE1B5B">
        <w:rPr>
          <w:rFonts w:ascii="Tahoma" w:hAnsi="Tahoma" w:cs="Tahoma"/>
          <w:sz w:val="20"/>
          <w:szCs w:val="20"/>
        </w:rPr>
        <w:t xml:space="preserve">% upraveného rozpočtu. </w:t>
      </w:r>
    </w:p>
    <w:p w:rsidR="00014B18" w:rsidRPr="00CE1B5B" w:rsidRDefault="00014B18" w:rsidP="00525142">
      <w:pPr>
        <w:jc w:val="both"/>
        <w:rPr>
          <w:rFonts w:ascii="Tahoma" w:hAnsi="Tahoma" w:cs="Tahoma"/>
          <w:sz w:val="20"/>
          <w:szCs w:val="20"/>
        </w:rPr>
      </w:pPr>
      <w:r w:rsidRPr="00CE1B5B">
        <w:rPr>
          <w:rFonts w:ascii="Tahoma" w:hAnsi="Tahoma" w:cs="Tahoma"/>
          <w:sz w:val="20"/>
          <w:szCs w:val="20"/>
        </w:rPr>
        <w:t xml:space="preserve">V rámci </w:t>
      </w:r>
      <w:r w:rsidR="00747FFE" w:rsidRPr="00CE1B5B">
        <w:rPr>
          <w:rFonts w:ascii="Tahoma" w:hAnsi="Tahoma" w:cs="Tahoma"/>
          <w:sz w:val="20"/>
          <w:szCs w:val="20"/>
        </w:rPr>
        <w:t xml:space="preserve">vyhlášeného dotačního programu </w:t>
      </w:r>
      <w:r w:rsidRPr="00CE1B5B">
        <w:rPr>
          <w:rFonts w:ascii="Tahoma" w:hAnsi="Tahoma" w:cs="Tahoma"/>
          <w:sz w:val="20"/>
          <w:szCs w:val="20"/>
        </w:rPr>
        <w:t>byly ve sledovaném období vyplaceny finanční prostředky</w:t>
      </w:r>
      <w:r w:rsidR="00747FFE" w:rsidRPr="00CE1B5B">
        <w:rPr>
          <w:rFonts w:ascii="Tahoma" w:hAnsi="Tahoma" w:cs="Tahoma"/>
          <w:sz w:val="20"/>
          <w:szCs w:val="20"/>
        </w:rPr>
        <w:t xml:space="preserve"> ve</w:t>
      </w:r>
      <w:r w:rsidR="00622C12">
        <w:rPr>
          <w:rFonts w:ascii="Tahoma" w:hAnsi="Tahoma" w:cs="Tahoma"/>
          <w:sz w:val="20"/>
          <w:szCs w:val="20"/>
        </w:rPr>
        <w:t> </w:t>
      </w:r>
      <w:r w:rsidR="00747FFE" w:rsidRPr="00CE1B5B">
        <w:rPr>
          <w:rFonts w:ascii="Tahoma" w:hAnsi="Tahoma" w:cs="Tahoma"/>
          <w:sz w:val="20"/>
          <w:szCs w:val="20"/>
        </w:rPr>
        <w:t>výši 608 tis. Kč</w:t>
      </w:r>
      <w:r w:rsidRPr="00CE1B5B">
        <w:rPr>
          <w:rFonts w:ascii="Tahoma" w:hAnsi="Tahoma" w:cs="Tahoma"/>
          <w:sz w:val="20"/>
          <w:szCs w:val="20"/>
        </w:rPr>
        <w:t>.</w:t>
      </w:r>
    </w:p>
    <w:p w:rsidR="00014B18" w:rsidRPr="00CE1B5B" w:rsidRDefault="00014B18" w:rsidP="006D0C65">
      <w:pPr>
        <w:jc w:val="both"/>
        <w:rPr>
          <w:rFonts w:ascii="Tahoma" w:hAnsi="Tahoma" w:cs="Tahoma"/>
          <w:sz w:val="20"/>
          <w:szCs w:val="20"/>
        </w:rPr>
      </w:pPr>
      <w:r w:rsidRPr="00CE1B5B">
        <w:rPr>
          <w:rFonts w:ascii="Tahoma" w:hAnsi="Tahoma" w:cs="Tahoma"/>
          <w:sz w:val="20"/>
          <w:szCs w:val="20"/>
        </w:rPr>
        <w:t xml:space="preserve">Příspěvkovým organizacím v tomto odvětví bylo poskytnuto </w:t>
      </w:r>
      <w:r w:rsidR="00747FFE" w:rsidRPr="00CE1B5B">
        <w:rPr>
          <w:rFonts w:ascii="Tahoma" w:hAnsi="Tahoma" w:cs="Tahoma"/>
          <w:sz w:val="20"/>
          <w:szCs w:val="20"/>
        </w:rPr>
        <w:t>142.482</w:t>
      </w:r>
      <w:r w:rsidRPr="00CE1B5B">
        <w:rPr>
          <w:rFonts w:ascii="Tahoma" w:hAnsi="Tahoma" w:cs="Tahoma"/>
          <w:sz w:val="20"/>
          <w:szCs w:val="20"/>
        </w:rPr>
        <w:t xml:space="preserve"> tis. Kč, z toho k zajištění jejich běžného provozu celkem </w:t>
      </w:r>
      <w:r w:rsidR="00747FFE" w:rsidRPr="00CE1B5B">
        <w:rPr>
          <w:rFonts w:ascii="Tahoma" w:hAnsi="Tahoma" w:cs="Tahoma"/>
          <w:sz w:val="20"/>
          <w:szCs w:val="20"/>
        </w:rPr>
        <w:t>130.296</w:t>
      </w:r>
      <w:r w:rsidRPr="00CE1B5B">
        <w:rPr>
          <w:rFonts w:ascii="Tahoma" w:hAnsi="Tahoma" w:cs="Tahoma"/>
          <w:sz w:val="20"/>
          <w:szCs w:val="20"/>
        </w:rPr>
        <w:t xml:space="preserve"> tis. Kč. </w:t>
      </w:r>
    </w:p>
    <w:p w:rsidR="00014B18" w:rsidRPr="00CE1B5B" w:rsidRDefault="00014B18" w:rsidP="006D0C65">
      <w:pPr>
        <w:jc w:val="both"/>
        <w:rPr>
          <w:rFonts w:ascii="Tahoma" w:hAnsi="Tahoma" w:cs="Tahoma"/>
          <w:sz w:val="20"/>
          <w:szCs w:val="20"/>
        </w:rPr>
      </w:pPr>
      <w:r w:rsidRPr="00CE1B5B">
        <w:rPr>
          <w:rFonts w:ascii="Tahoma" w:hAnsi="Tahoma" w:cs="Tahoma"/>
          <w:sz w:val="20"/>
          <w:szCs w:val="20"/>
        </w:rPr>
        <w:t>Prostředky ve výši 2.084 tis. Kč</w:t>
      </w:r>
      <w:r w:rsidR="009443B3" w:rsidRPr="00CE1B5B">
        <w:rPr>
          <w:rFonts w:ascii="Tahoma" w:hAnsi="Tahoma" w:cs="Tahoma"/>
          <w:sz w:val="20"/>
          <w:szCs w:val="20"/>
        </w:rPr>
        <w:t>,</w:t>
      </w:r>
      <w:r w:rsidRPr="00CE1B5B">
        <w:rPr>
          <w:rFonts w:ascii="Tahoma" w:hAnsi="Tahoma" w:cs="Tahoma"/>
          <w:sz w:val="20"/>
          <w:szCs w:val="20"/>
        </w:rPr>
        <w:t xml:space="preserve"> schválené příspěvkové organizaci v tomto odvětví jako návratná finanční výpomoc z rozpočtu kraje v souvislosti s realizaci akce spolufinancované z evropských finančních zdrojů</w:t>
      </w:r>
      <w:r w:rsidR="009443B3" w:rsidRPr="00CE1B5B">
        <w:rPr>
          <w:rFonts w:ascii="Tahoma" w:hAnsi="Tahoma" w:cs="Tahoma"/>
          <w:sz w:val="20"/>
          <w:szCs w:val="20"/>
        </w:rPr>
        <w:t>,</w:t>
      </w:r>
      <w:r w:rsidRPr="00CE1B5B">
        <w:rPr>
          <w:rFonts w:ascii="Tahoma" w:hAnsi="Tahoma" w:cs="Tahoma"/>
          <w:sz w:val="20"/>
          <w:szCs w:val="20"/>
        </w:rPr>
        <w:t xml:space="preserve"> nebyly dosud poskytnuty.</w:t>
      </w:r>
    </w:p>
    <w:p w:rsidR="00014B18" w:rsidRPr="00CE1B5B" w:rsidRDefault="00014B18" w:rsidP="00693B64">
      <w:pPr>
        <w:jc w:val="both"/>
        <w:rPr>
          <w:rFonts w:ascii="Tahoma" w:hAnsi="Tahoma" w:cs="Tahoma"/>
          <w:sz w:val="20"/>
          <w:szCs w:val="20"/>
        </w:rPr>
      </w:pPr>
      <w:r w:rsidRPr="00CE1B5B">
        <w:rPr>
          <w:rFonts w:ascii="Tahoma" w:hAnsi="Tahoma" w:cs="Tahoma"/>
          <w:sz w:val="20"/>
          <w:szCs w:val="20"/>
        </w:rPr>
        <w:t xml:space="preserve">Na reprodukci majetku kraje svěřeného do správy příspěvkovým organizacím </w:t>
      </w:r>
      <w:r w:rsidRPr="00CE1B5B">
        <w:rPr>
          <w:rFonts w:ascii="Tahoma" w:hAnsi="Tahoma" w:cs="Tahoma"/>
          <w:bCs/>
          <w:sz w:val="20"/>
          <w:szCs w:val="20"/>
        </w:rPr>
        <w:t xml:space="preserve">v odvětví zdravotnictví </w:t>
      </w:r>
      <w:r w:rsidRPr="00CE1B5B">
        <w:rPr>
          <w:rFonts w:ascii="Tahoma" w:hAnsi="Tahoma" w:cs="Tahoma"/>
          <w:sz w:val="20"/>
          <w:szCs w:val="20"/>
        </w:rPr>
        <w:t>bylo k </w:t>
      </w:r>
      <w:r w:rsidR="00061E36" w:rsidRPr="00CE1B5B">
        <w:rPr>
          <w:rFonts w:ascii="Tahoma" w:hAnsi="Tahoma" w:cs="Tahoma"/>
          <w:sz w:val="20"/>
          <w:szCs w:val="20"/>
        </w:rPr>
        <w:t>30. 4. 2014</w:t>
      </w:r>
      <w:r w:rsidRPr="00CE1B5B">
        <w:rPr>
          <w:rFonts w:ascii="Tahoma" w:hAnsi="Tahoma" w:cs="Tahoma"/>
          <w:sz w:val="20"/>
          <w:szCs w:val="20"/>
        </w:rPr>
        <w:t xml:space="preserve"> z prozatím z vyčleněných prostředků ve výši </w:t>
      </w:r>
      <w:r w:rsidR="00747FFE" w:rsidRPr="00CE1B5B">
        <w:rPr>
          <w:rFonts w:ascii="Tahoma" w:hAnsi="Tahoma" w:cs="Tahoma"/>
          <w:sz w:val="20"/>
          <w:szCs w:val="20"/>
        </w:rPr>
        <w:t>93.439</w:t>
      </w:r>
      <w:r w:rsidRPr="00CE1B5B">
        <w:rPr>
          <w:rFonts w:ascii="Tahoma" w:hAnsi="Tahoma" w:cs="Tahoma"/>
          <w:sz w:val="20"/>
          <w:szCs w:val="20"/>
        </w:rPr>
        <w:t xml:space="preserve"> tis. Kč vyčerpáno </w:t>
      </w:r>
      <w:r w:rsidR="00747FFE" w:rsidRPr="00CE1B5B">
        <w:rPr>
          <w:rFonts w:ascii="Tahoma" w:hAnsi="Tahoma" w:cs="Tahoma"/>
          <w:sz w:val="20"/>
          <w:szCs w:val="20"/>
        </w:rPr>
        <w:t>2.952</w:t>
      </w:r>
      <w:r w:rsidRPr="00CE1B5B">
        <w:rPr>
          <w:rFonts w:ascii="Tahoma" w:hAnsi="Tahoma" w:cs="Tahoma"/>
          <w:sz w:val="20"/>
          <w:szCs w:val="20"/>
        </w:rPr>
        <w:t xml:space="preserve"> tis. Kč (více viz příloha č. 4 materiálu). </w:t>
      </w:r>
    </w:p>
    <w:p w:rsidR="00014B18" w:rsidRPr="00CE1B5B" w:rsidRDefault="00014B18" w:rsidP="00F33EB1">
      <w:pPr>
        <w:jc w:val="both"/>
        <w:rPr>
          <w:rFonts w:ascii="Tahoma" w:hAnsi="Tahoma" w:cs="Tahoma"/>
          <w:sz w:val="20"/>
          <w:szCs w:val="20"/>
        </w:rPr>
      </w:pPr>
      <w:r w:rsidRPr="00CE1B5B">
        <w:rPr>
          <w:rFonts w:ascii="Tahoma" w:hAnsi="Tahoma" w:cs="Tahoma"/>
          <w:sz w:val="20"/>
          <w:szCs w:val="20"/>
        </w:rPr>
        <w:t>Akce spolufinancované z evropských finančních zdrojů byly v tomto odvětví k </w:t>
      </w:r>
      <w:r w:rsidR="00061E36" w:rsidRPr="00CE1B5B">
        <w:rPr>
          <w:rFonts w:ascii="Tahoma" w:hAnsi="Tahoma" w:cs="Tahoma"/>
          <w:sz w:val="20"/>
          <w:szCs w:val="20"/>
        </w:rPr>
        <w:t>30. 4. 2014</w:t>
      </w:r>
      <w:r w:rsidRPr="00CE1B5B">
        <w:rPr>
          <w:rFonts w:ascii="Tahoma" w:hAnsi="Tahoma" w:cs="Tahoma"/>
          <w:sz w:val="20"/>
          <w:szCs w:val="20"/>
        </w:rPr>
        <w:t xml:space="preserve"> čerpány ve výši </w:t>
      </w:r>
      <w:r w:rsidR="00747FFE" w:rsidRPr="00CE1B5B">
        <w:rPr>
          <w:rFonts w:ascii="Tahoma" w:hAnsi="Tahoma" w:cs="Tahoma"/>
          <w:sz w:val="20"/>
          <w:szCs w:val="20"/>
        </w:rPr>
        <w:t>100.647</w:t>
      </w:r>
      <w:r w:rsidRPr="00CE1B5B">
        <w:rPr>
          <w:rFonts w:ascii="Tahoma" w:hAnsi="Tahoma" w:cs="Tahoma"/>
          <w:sz w:val="20"/>
          <w:szCs w:val="20"/>
        </w:rPr>
        <w:t xml:space="preserve"> tis. Kč (více viz příloha č. 5 materiálu).</w:t>
      </w:r>
    </w:p>
    <w:p w:rsidR="00014B18" w:rsidRPr="00CE1B5B" w:rsidRDefault="00014B18" w:rsidP="00F33EB1">
      <w:pPr>
        <w:jc w:val="both"/>
        <w:rPr>
          <w:rFonts w:ascii="Tahoma" w:hAnsi="Tahoma" w:cs="Tahoma"/>
          <w:sz w:val="20"/>
          <w:szCs w:val="20"/>
        </w:rPr>
      </w:pPr>
    </w:p>
    <w:p w:rsidR="00E46B26" w:rsidRPr="00CE1B5B" w:rsidRDefault="00A8524E" w:rsidP="00F33EB1">
      <w:pPr>
        <w:jc w:val="both"/>
        <w:rPr>
          <w:rFonts w:ascii="Tahoma" w:hAnsi="Tahoma" w:cs="Tahoma"/>
          <w:sz w:val="20"/>
          <w:szCs w:val="20"/>
        </w:rPr>
      </w:pPr>
      <w:r w:rsidRPr="00CE1B5B">
        <w:rPr>
          <w:rFonts w:ascii="Tahoma" w:hAnsi="Tahoma" w:cs="Tahoma"/>
          <w:sz w:val="20"/>
          <w:szCs w:val="20"/>
        </w:rPr>
        <w:object w:dxaOrig="9160" w:dyaOrig="2638">
          <v:shape id="_x0000_i1069" type="#_x0000_t75" style="width:458.25pt;height:132pt" o:ole="">
            <v:imagedata r:id="rId101" o:title=""/>
          </v:shape>
          <o:OLEObject Type="Embed" ProgID="Excel.Sheet.8" ShapeID="_x0000_i1069" DrawAspect="Content" ObjectID="_1462796476" r:id="rId102"/>
        </w:object>
      </w:r>
    </w:p>
    <w:p w:rsidR="00E46B26" w:rsidRPr="00CE1B5B" w:rsidRDefault="00E46B26">
      <w:pPr>
        <w:rPr>
          <w:rFonts w:ascii="Tahoma" w:hAnsi="Tahoma" w:cs="Tahoma"/>
          <w:sz w:val="20"/>
          <w:szCs w:val="20"/>
        </w:rPr>
      </w:pPr>
      <w:r w:rsidRPr="00CE1B5B">
        <w:rPr>
          <w:rFonts w:ascii="Tahoma" w:hAnsi="Tahoma" w:cs="Tahoma"/>
          <w:sz w:val="20"/>
          <w:szCs w:val="20"/>
        </w:rPr>
        <w:br w:type="page"/>
      </w:r>
    </w:p>
    <w:p w:rsidR="00014B18" w:rsidRPr="00CE1B5B" w:rsidRDefault="00014B18" w:rsidP="00F33EB1">
      <w:pPr>
        <w:jc w:val="both"/>
        <w:rPr>
          <w:rFonts w:ascii="Tahoma" w:hAnsi="Tahoma" w:cs="Tahoma"/>
          <w:sz w:val="20"/>
          <w:szCs w:val="20"/>
        </w:rPr>
      </w:pPr>
    </w:p>
    <w:p w:rsidR="00014B18" w:rsidRPr="00CE1B5B" w:rsidRDefault="00A8524E" w:rsidP="00F33EB1">
      <w:pPr>
        <w:jc w:val="both"/>
        <w:rPr>
          <w:rFonts w:ascii="Tahoma" w:hAnsi="Tahoma" w:cs="Tahoma"/>
          <w:sz w:val="20"/>
          <w:szCs w:val="20"/>
        </w:rPr>
      </w:pPr>
      <w:r w:rsidRPr="00CE1B5B">
        <w:rPr>
          <w:rFonts w:ascii="Tahoma" w:hAnsi="Tahoma" w:cs="Tahoma"/>
          <w:sz w:val="20"/>
          <w:szCs w:val="20"/>
        </w:rPr>
        <w:object w:dxaOrig="9203" w:dyaOrig="5386">
          <v:shape id="_x0000_i1070" type="#_x0000_t75" style="width:455.25pt;height:266.25pt" o:ole="">
            <v:imagedata r:id="rId103" o:title=""/>
          </v:shape>
          <o:OLEObject Type="Embed" ProgID="Excel.Sheet.8" ShapeID="_x0000_i1070" DrawAspect="Content" ObjectID="_1462796477" r:id="rId104"/>
        </w:object>
      </w:r>
    </w:p>
    <w:p w:rsidR="00014B18" w:rsidRPr="00CE1B5B" w:rsidRDefault="00014B18" w:rsidP="00F33EB1">
      <w:pPr>
        <w:jc w:val="both"/>
        <w:rPr>
          <w:rFonts w:ascii="Tahoma" w:hAnsi="Tahoma" w:cs="Tahoma"/>
          <w:sz w:val="20"/>
          <w:szCs w:val="20"/>
        </w:rPr>
      </w:pPr>
    </w:p>
    <w:p w:rsidR="00014B18" w:rsidRPr="00CE1B5B" w:rsidRDefault="00A8524E" w:rsidP="009354EC">
      <w:pPr>
        <w:jc w:val="both"/>
        <w:rPr>
          <w:rFonts w:ascii="Tahoma" w:hAnsi="Tahoma" w:cs="Tahoma"/>
        </w:rPr>
      </w:pPr>
      <w:r w:rsidRPr="00CE1B5B">
        <w:rPr>
          <w:rFonts w:ascii="Tahoma" w:hAnsi="Tahoma" w:cs="Tahoma"/>
        </w:rPr>
        <w:object w:dxaOrig="9253" w:dyaOrig="4725">
          <v:shape id="_x0000_i1071" type="#_x0000_t75" style="width:453.75pt;height:231.75pt" o:ole="">
            <v:imagedata r:id="rId105" o:title=""/>
          </v:shape>
          <o:OLEObject Type="Embed" ProgID="Excel.Sheet.8" ShapeID="_x0000_i1071" DrawAspect="Content" ObjectID="_1462796478" r:id="rId106"/>
        </w:object>
      </w:r>
    </w:p>
    <w:p w:rsidR="00014B18" w:rsidRPr="00CE1B5B" w:rsidRDefault="00014B18" w:rsidP="000214EF">
      <w:pPr>
        <w:pStyle w:val="Zkladntext"/>
        <w:spacing w:before="360"/>
        <w:rPr>
          <w:rFonts w:ascii="Tahoma" w:hAnsi="Tahoma" w:cs="Tahoma"/>
          <w:b/>
          <w:sz w:val="20"/>
        </w:rPr>
      </w:pPr>
      <w:r w:rsidRPr="00CE1B5B">
        <w:rPr>
          <w:rFonts w:ascii="Tahoma" w:hAnsi="Tahoma" w:cs="Tahoma"/>
          <w:b/>
          <w:sz w:val="20"/>
        </w:rPr>
        <w:t>Odvětví životního prostředí</w:t>
      </w:r>
    </w:p>
    <w:p w:rsidR="00014B18" w:rsidRPr="00CE1B5B" w:rsidRDefault="00014B18" w:rsidP="000214EF">
      <w:pPr>
        <w:jc w:val="both"/>
        <w:rPr>
          <w:rFonts w:ascii="Tahoma" w:hAnsi="Tahoma" w:cs="Tahoma"/>
          <w:sz w:val="20"/>
          <w:szCs w:val="20"/>
        </w:rPr>
      </w:pPr>
    </w:p>
    <w:p w:rsidR="00014B18" w:rsidRPr="00CE1B5B" w:rsidRDefault="00014B18" w:rsidP="00BF7E1C">
      <w:pPr>
        <w:pStyle w:val="FormtovanvHTML"/>
        <w:jc w:val="both"/>
        <w:rPr>
          <w:rFonts w:ascii="Tahoma" w:hAnsi="Tahoma" w:cs="Tahoma"/>
        </w:rPr>
      </w:pPr>
      <w:r w:rsidRPr="00CE1B5B">
        <w:rPr>
          <w:rFonts w:ascii="Tahoma" w:hAnsi="Tahoma" w:cs="Tahoma"/>
        </w:rPr>
        <w:t>Schválený rozpočet výdajů v odvětví životního prostředí představuje částku 76.992 tis. Kč. K</w:t>
      </w:r>
      <w:r w:rsidR="00747FFE" w:rsidRPr="00CE1B5B">
        <w:rPr>
          <w:rFonts w:ascii="Tahoma" w:hAnsi="Tahoma" w:cs="Tahoma"/>
        </w:rPr>
        <w:t> </w:t>
      </w:r>
      <w:r w:rsidR="00061E36" w:rsidRPr="00CE1B5B">
        <w:rPr>
          <w:rFonts w:ascii="Tahoma" w:hAnsi="Tahoma" w:cs="Tahoma"/>
        </w:rPr>
        <w:t>30.</w:t>
      </w:r>
      <w:r w:rsidR="00747FFE" w:rsidRPr="00CE1B5B">
        <w:rPr>
          <w:rFonts w:ascii="Tahoma" w:hAnsi="Tahoma" w:cs="Tahoma"/>
        </w:rPr>
        <w:t> </w:t>
      </w:r>
      <w:r w:rsidR="00061E36" w:rsidRPr="00CE1B5B">
        <w:rPr>
          <w:rFonts w:ascii="Tahoma" w:hAnsi="Tahoma" w:cs="Tahoma"/>
        </w:rPr>
        <w:t>4.</w:t>
      </w:r>
      <w:r w:rsidR="00747FFE" w:rsidRPr="00CE1B5B">
        <w:rPr>
          <w:rFonts w:ascii="Tahoma" w:hAnsi="Tahoma" w:cs="Tahoma"/>
        </w:rPr>
        <w:t> </w:t>
      </w:r>
      <w:r w:rsidR="00061E36" w:rsidRPr="00CE1B5B">
        <w:rPr>
          <w:rFonts w:ascii="Tahoma" w:hAnsi="Tahoma" w:cs="Tahoma"/>
        </w:rPr>
        <w:t>2014</w:t>
      </w:r>
      <w:r w:rsidRPr="00CE1B5B">
        <w:rPr>
          <w:rFonts w:ascii="Tahoma" w:hAnsi="Tahoma" w:cs="Tahoma"/>
        </w:rPr>
        <w:t xml:space="preserve"> činil upravený rozpočet </w:t>
      </w:r>
      <w:r w:rsidR="00747FFE" w:rsidRPr="00CE1B5B">
        <w:rPr>
          <w:rFonts w:ascii="Tahoma" w:hAnsi="Tahoma" w:cs="Tahoma"/>
        </w:rPr>
        <w:t>152.519</w:t>
      </w:r>
      <w:r w:rsidRPr="00CE1B5B">
        <w:rPr>
          <w:rFonts w:ascii="Tahoma" w:hAnsi="Tahoma" w:cs="Tahoma"/>
        </w:rPr>
        <w:t> tis. Kč. Výrazný nárůst oproti schválenému rozpočtu způsobilo především zapojení části zůstatku finančních prostředků rozpočtového hospodaření roku 2013 do rozpočtu kraje na rok 2014, a to zejména prostředků na výdaje související s podporou projektů s</w:t>
      </w:r>
      <w:r w:rsidR="009F6791" w:rsidRPr="00CE1B5B">
        <w:rPr>
          <w:rFonts w:ascii="Tahoma" w:hAnsi="Tahoma" w:cs="Tahoma"/>
        </w:rPr>
        <w:t> </w:t>
      </w:r>
      <w:r w:rsidRPr="00CE1B5B">
        <w:rPr>
          <w:rFonts w:ascii="Tahoma" w:hAnsi="Tahoma" w:cs="Tahoma"/>
        </w:rPr>
        <w:t>cílem zlepšení kvality ŽP, odstraňováním následků havárií dle zákona o vodách, na odběr podzemní vody</w:t>
      </w:r>
      <w:r w:rsidR="006E66BF" w:rsidRPr="00CE1B5B">
        <w:rPr>
          <w:rFonts w:ascii="Tahoma" w:hAnsi="Tahoma" w:cs="Tahoma"/>
        </w:rPr>
        <w:t>, podpory propagace v oblasti životního prostředí</w:t>
      </w:r>
      <w:r w:rsidRPr="00CE1B5B">
        <w:rPr>
          <w:rFonts w:ascii="Tahoma" w:hAnsi="Tahoma" w:cs="Tahoma"/>
        </w:rPr>
        <w:t xml:space="preserve"> a navýšení dotačního programu určeného na</w:t>
      </w:r>
      <w:r w:rsidR="00622C12">
        <w:rPr>
          <w:rFonts w:ascii="Tahoma" w:hAnsi="Tahoma" w:cs="Tahoma"/>
        </w:rPr>
        <w:t> </w:t>
      </w:r>
      <w:r w:rsidRPr="00CE1B5B">
        <w:rPr>
          <w:rFonts w:ascii="Tahoma" w:hAnsi="Tahoma" w:cs="Tahoma"/>
        </w:rPr>
        <w:t>drobné vodohospodářské akce.</w:t>
      </w:r>
    </w:p>
    <w:p w:rsidR="00014B18" w:rsidRPr="00CE1B5B" w:rsidRDefault="00014B18" w:rsidP="00BF7E1C">
      <w:pPr>
        <w:pStyle w:val="FormtovanvHTML"/>
        <w:jc w:val="both"/>
        <w:rPr>
          <w:rFonts w:ascii="Tahoma" w:hAnsi="Tahoma" w:cs="Tahoma"/>
        </w:rPr>
      </w:pPr>
      <w:r w:rsidRPr="00CE1B5B">
        <w:rPr>
          <w:rFonts w:ascii="Tahoma" w:hAnsi="Tahoma" w:cs="Tahoma"/>
        </w:rPr>
        <w:t xml:space="preserve">Úprava výdajů v odvětví životního prostředí se týkala i Fondu životního prostředí. Část finančních prostředků Fondu životního prostředí je nyní alokováno pro Dotační program na podporu výměny starých kotlů, a to pro I. a II. společnou výzvu vyhlášenou pro „Společný program Moravskoslezského kraje a Ministerstva životního prostředí na podporu výměny stávajících ručně plněných kotlů na tuhá paliva za nové </w:t>
      </w:r>
      <w:r w:rsidR="005847E3" w:rsidRPr="00CE1B5B">
        <w:rPr>
          <w:rFonts w:ascii="Tahoma" w:hAnsi="Tahoma" w:cs="Tahoma"/>
        </w:rPr>
        <w:t>nízko emisní</w:t>
      </w:r>
      <w:r w:rsidRPr="00CE1B5B">
        <w:rPr>
          <w:rFonts w:ascii="Tahoma" w:hAnsi="Tahoma" w:cs="Tahoma"/>
        </w:rPr>
        <w:t xml:space="preserve"> automatické kotle na uhlí, biomasu nebo uhlí a biomasu v Moravskoslezském kraji“. K </w:t>
      </w:r>
      <w:r w:rsidR="00061E36" w:rsidRPr="00CE1B5B">
        <w:rPr>
          <w:rFonts w:ascii="Tahoma" w:hAnsi="Tahoma" w:cs="Tahoma"/>
        </w:rPr>
        <w:t>30. 4. 2014</w:t>
      </w:r>
      <w:r w:rsidRPr="00CE1B5B">
        <w:rPr>
          <w:rFonts w:ascii="Tahoma" w:hAnsi="Tahoma" w:cs="Tahoma"/>
        </w:rPr>
        <w:t xml:space="preserve"> jsou z výše uvedeného fondu přiděleny investiční dotace v celkové výši </w:t>
      </w:r>
      <w:r w:rsidR="00747FFE" w:rsidRPr="00CE1B5B">
        <w:rPr>
          <w:rFonts w:ascii="Tahoma" w:hAnsi="Tahoma" w:cs="Tahoma"/>
        </w:rPr>
        <w:t>12.395</w:t>
      </w:r>
      <w:r w:rsidRPr="00CE1B5B">
        <w:rPr>
          <w:rFonts w:ascii="Tahoma" w:hAnsi="Tahoma" w:cs="Tahoma"/>
        </w:rPr>
        <w:t xml:space="preserve"> tis. Kč, vyplaceny ve výši </w:t>
      </w:r>
      <w:r w:rsidR="00747FFE" w:rsidRPr="00CE1B5B">
        <w:rPr>
          <w:rFonts w:ascii="Tahoma" w:hAnsi="Tahoma" w:cs="Tahoma"/>
        </w:rPr>
        <w:t>6.950</w:t>
      </w:r>
      <w:r w:rsidRPr="00CE1B5B">
        <w:rPr>
          <w:rFonts w:ascii="Tahoma" w:hAnsi="Tahoma" w:cs="Tahoma"/>
        </w:rPr>
        <w:t xml:space="preserve"> tis. Kč.</w:t>
      </w:r>
    </w:p>
    <w:p w:rsidR="00014B18" w:rsidRPr="00CE1B5B" w:rsidRDefault="00014B18" w:rsidP="000214EF">
      <w:pPr>
        <w:jc w:val="both"/>
        <w:rPr>
          <w:rFonts w:ascii="Tahoma" w:hAnsi="Tahoma" w:cs="Tahoma"/>
          <w:sz w:val="20"/>
          <w:szCs w:val="20"/>
        </w:rPr>
      </w:pPr>
      <w:r w:rsidRPr="00CE1B5B">
        <w:rPr>
          <w:rFonts w:ascii="Tahoma" w:hAnsi="Tahoma" w:cs="Tahoma"/>
          <w:sz w:val="20"/>
          <w:szCs w:val="20"/>
        </w:rPr>
        <w:lastRenderedPageBreak/>
        <w:t xml:space="preserve">Výdaje v tomto odvětví byly čerpány v celkové výši </w:t>
      </w:r>
      <w:r w:rsidR="00747FFE" w:rsidRPr="00CE1B5B">
        <w:rPr>
          <w:rFonts w:ascii="Tahoma" w:hAnsi="Tahoma" w:cs="Tahoma"/>
          <w:sz w:val="20"/>
          <w:szCs w:val="20"/>
        </w:rPr>
        <w:t>22.138</w:t>
      </w:r>
      <w:r w:rsidRPr="00CE1B5B">
        <w:rPr>
          <w:rFonts w:ascii="Tahoma" w:hAnsi="Tahoma" w:cs="Tahoma"/>
          <w:sz w:val="20"/>
          <w:szCs w:val="20"/>
        </w:rPr>
        <w:t xml:space="preserve"> tis. Kč, tj. </w:t>
      </w:r>
      <w:r w:rsidR="00747FFE" w:rsidRPr="00CE1B5B">
        <w:rPr>
          <w:rFonts w:ascii="Tahoma" w:hAnsi="Tahoma" w:cs="Tahoma"/>
          <w:sz w:val="20"/>
          <w:szCs w:val="20"/>
        </w:rPr>
        <w:t>14,5</w:t>
      </w:r>
      <w:r w:rsidRPr="00CE1B5B">
        <w:rPr>
          <w:rFonts w:ascii="Tahoma" w:hAnsi="Tahoma" w:cs="Tahoma"/>
          <w:sz w:val="20"/>
          <w:szCs w:val="20"/>
        </w:rPr>
        <w:t xml:space="preserve"> % upraveného rozpočtu. </w:t>
      </w:r>
    </w:p>
    <w:p w:rsidR="00014B18" w:rsidRPr="00CE1B5B" w:rsidRDefault="00014B18" w:rsidP="000214EF">
      <w:pPr>
        <w:jc w:val="both"/>
        <w:rPr>
          <w:rFonts w:ascii="Tahoma" w:hAnsi="Tahoma" w:cs="Tahoma"/>
          <w:sz w:val="20"/>
          <w:szCs w:val="20"/>
        </w:rPr>
      </w:pPr>
      <w:r w:rsidRPr="00CE1B5B">
        <w:rPr>
          <w:rFonts w:ascii="Tahoma" w:hAnsi="Tahoma" w:cs="Tahoma"/>
          <w:sz w:val="20"/>
          <w:szCs w:val="20"/>
        </w:rPr>
        <w:t xml:space="preserve">U akcí spolufinancovaných z evropských finančních zdrojů bylo vyčerpáno celkem </w:t>
      </w:r>
      <w:r w:rsidR="005847E3" w:rsidRPr="00CE1B5B">
        <w:rPr>
          <w:rFonts w:ascii="Tahoma" w:hAnsi="Tahoma" w:cs="Tahoma"/>
          <w:sz w:val="20"/>
          <w:szCs w:val="20"/>
        </w:rPr>
        <w:t>3.607</w:t>
      </w:r>
      <w:r w:rsidRPr="00CE1B5B">
        <w:rPr>
          <w:rFonts w:ascii="Tahoma" w:hAnsi="Tahoma" w:cs="Tahoma"/>
          <w:sz w:val="20"/>
          <w:szCs w:val="20"/>
        </w:rPr>
        <w:t xml:space="preserve"> tis. Kč (více</w:t>
      </w:r>
      <w:r w:rsidR="009F6791" w:rsidRPr="00CE1B5B">
        <w:rPr>
          <w:rFonts w:ascii="Tahoma" w:hAnsi="Tahoma" w:cs="Tahoma"/>
          <w:sz w:val="20"/>
          <w:szCs w:val="20"/>
        </w:rPr>
        <w:t> </w:t>
      </w:r>
      <w:r w:rsidRPr="00CE1B5B">
        <w:rPr>
          <w:rFonts w:ascii="Tahoma" w:hAnsi="Tahoma" w:cs="Tahoma"/>
          <w:sz w:val="20"/>
          <w:szCs w:val="20"/>
        </w:rPr>
        <w:t>viz</w:t>
      </w:r>
      <w:r w:rsidR="009F6791" w:rsidRPr="00CE1B5B">
        <w:rPr>
          <w:rFonts w:ascii="Tahoma" w:hAnsi="Tahoma" w:cs="Tahoma"/>
          <w:sz w:val="20"/>
          <w:szCs w:val="20"/>
        </w:rPr>
        <w:t> </w:t>
      </w:r>
      <w:r w:rsidRPr="00CE1B5B">
        <w:rPr>
          <w:rFonts w:ascii="Tahoma" w:hAnsi="Tahoma" w:cs="Tahoma"/>
          <w:sz w:val="20"/>
          <w:szCs w:val="20"/>
        </w:rPr>
        <w:t>příloha č. 5 materiálu).</w:t>
      </w:r>
    </w:p>
    <w:p w:rsidR="00014B18" w:rsidRPr="00CE1B5B" w:rsidRDefault="00014B18" w:rsidP="000214EF">
      <w:pPr>
        <w:jc w:val="both"/>
        <w:rPr>
          <w:rFonts w:ascii="Tahoma" w:hAnsi="Tahoma" w:cs="Tahoma"/>
          <w:sz w:val="20"/>
          <w:szCs w:val="20"/>
        </w:rPr>
      </w:pPr>
    </w:p>
    <w:p w:rsidR="00014B18" w:rsidRPr="00CE1B5B" w:rsidRDefault="006D44DD" w:rsidP="000214EF">
      <w:pPr>
        <w:jc w:val="both"/>
        <w:rPr>
          <w:rFonts w:ascii="Tahoma" w:hAnsi="Tahoma" w:cs="Tahoma"/>
          <w:sz w:val="20"/>
          <w:szCs w:val="20"/>
        </w:rPr>
      </w:pPr>
      <w:r w:rsidRPr="00CE1B5B">
        <w:rPr>
          <w:rFonts w:ascii="Tahoma" w:hAnsi="Tahoma" w:cs="Tahoma"/>
          <w:sz w:val="20"/>
          <w:szCs w:val="20"/>
        </w:rPr>
        <w:object w:dxaOrig="9109" w:dyaOrig="2390">
          <v:shape id="_x0000_i1072" type="#_x0000_t75" style="width:455.25pt;height:119.25pt" o:ole="">
            <v:imagedata r:id="rId107" o:title=""/>
          </v:shape>
          <o:OLEObject Type="Embed" ProgID="Excel.Sheet.8" ShapeID="_x0000_i1072" DrawAspect="Content" ObjectID="_1462796479" r:id="rId108"/>
        </w:object>
      </w:r>
    </w:p>
    <w:p w:rsidR="00A2104A" w:rsidRPr="00CE1B5B" w:rsidRDefault="00A2104A">
      <w:pPr>
        <w:rPr>
          <w:rFonts w:ascii="Tahoma" w:hAnsi="Tahoma" w:cs="Tahoma"/>
          <w:sz w:val="20"/>
          <w:szCs w:val="20"/>
        </w:rPr>
      </w:pPr>
      <w:r w:rsidRPr="00CE1B5B">
        <w:rPr>
          <w:rFonts w:ascii="Tahoma" w:hAnsi="Tahoma" w:cs="Tahoma"/>
          <w:sz w:val="20"/>
          <w:szCs w:val="20"/>
        </w:rPr>
        <w:br w:type="page"/>
      </w:r>
    </w:p>
    <w:p w:rsidR="00014B18" w:rsidRPr="00CE1B5B" w:rsidRDefault="006D44DD" w:rsidP="00F3663C">
      <w:pPr>
        <w:tabs>
          <w:tab w:val="left" w:pos="1080"/>
        </w:tabs>
        <w:jc w:val="both"/>
        <w:rPr>
          <w:rFonts w:ascii="Tahoma" w:hAnsi="Tahoma" w:cs="Tahoma"/>
          <w:sz w:val="20"/>
          <w:szCs w:val="20"/>
        </w:rPr>
      </w:pPr>
      <w:r w:rsidRPr="00CE1B5B">
        <w:rPr>
          <w:rFonts w:ascii="Tahoma" w:hAnsi="Tahoma" w:cs="Tahoma"/>
          <w:sz w:val="20"/>
          <w:szCs w:val="20"/>
        </w:rPr>
        <w:object w:dxaOrig="9810" w:dyaOrig="11709">
          <v:shape id="_x0000_i1073" type="#_x0000_t75" style="width:456.75pt;height:585.75pt" o:ole="">
            <v:imagedata r:id="rId109" o:title=""/>
          </v:shape>
          <o:OLEObject Type="Embed" ProgID="Excel.Sheet.8" ShapeID="_x0000_i1073" DrawAspect="Content" ObjectID="_1462796480" r:id="rId110"/>
        </w:object>
      </w:r>
    </w:p>
    <w:p w:rsidR="00F256B3" w:rsidRPr="00CE1B5B" w:rsidRDefault="00F256B3">
      <w:pPr>
        <w:rPr>
          <w:rFonts w:ascii="Tahoma" w:hAnsi="Tahoma" w:cs="Tahoma"/>
          <w:b/>
          <w:sz w:val="20"/>
        </w:rPr>
      </w:pPr>
    </w:p>
    <w:p w:rsidR="00014B18" w:rsidRPr="00CE1B5B" w:rsidRDefault="00014B18" w:rsidP="002F0C5C">
      <w:pPr>
        <w:pStyle w:val="Zkladntext"/>
        <w:rPr>
          <w:rFonts w:ascii="Tahoma" w:hAnsi="Tahoma" w:cs="Tahoma"/>
          <w:b/>
          <w:sz w:val="20"/>
        </w:rPr>
      </w:pPr>
      <w:r w:rsidRPr="00CE1B5B">
        <w:rPr>
          <w:rFonts w:ascii="Tahoma" w:hAnsi="Tahoma" w:cs="Tahoma"/>
          <w:b/>
          <w:sz w:val="20"/>
        </w:rPr>
        <w:t>Ostatní výdaje</w:t>
      </w:r>
    </w:p>
    <w:p w:rsidR="00014B18" w:rsidRPr="00CE1B5B" w:rsidRDefault="00014B18" w:rsidP="002B65F5">
      <w:pPr>
        <w:jc w:val="both"/>
        <w:rPr>
          <w:rFonts w:ascii="Tahoma" w:hAnsi="Tahoma" w:cs="Tahoma"/>
          <w:sz w:val="20"/>
          <w:szCs w:val="20"/>
        </w:rPr>
      </w:pPr>
    </w:p>
    <w:p w:rsidR="00014B18" w:rsidRPr="00CE1B5B" w:rsidRDefault="00014B18" w:rsidP="005D4028">
      <w:pPr>
        <w:jc w:val="both"/>
        <w:rPr>
          <w:rFonts w:ascii="Tahoma" w:hAnsi="Tahoma" w:cs="Tahoma"/>
          <w:sz w:val="20"/>
          <w:szCs w:val="20"/>
        </w:rPr>
      </w:pPr>
      <w:r w:rsidRPr="00CE1B5B">
        <w:rPr>
          <w:rFonts w:ascii="Tahoma" w:hAnsi="Tahoma" w:cs="Tahoma"/>
          <w:sz w:val="20"/>
          <w:szCs w:val="20"/>
        </w:rPr>
        <w:t xml:space="preserve">Schválený rozpočet na ostatní výdaje (Sociální fond) byl ve výši 8.304 tis. Kč, přičemž výdaje byly čerpány ve výši </w:t>
      </w:r>
      <w:r w:rsidR="007A3E9E" w:rsidRPr="00CE1B5B">
        <w:rPr>
          <w:rFonts w:ascii="Tahoma" w:hAnsi="Tahoma" w:cs="Tahoma"/>
          <w:sz w:val="20"/>
          <w:szCs w:val="20"/>
        </w:rPr>
        <w:t>3.01</w:t>
      </w:r>
      <w:r w:rsidR="00CE1B5B" w:rsidRPr="00CE1B5B">
        <w:rPr>
          <w:rFonts w:ascii="Tahoma" w:hAnsi="Tahoma" w:cs="Tahoma"/>
          <w:sz w:val="20"/>
          <w:szCs w:val="20"/>
        </w:rPr>
        <w:t>9</w:t>
      </w:r>
      <w:r w:rsidRPr="00CE1B5B">
        <w:rPr>
          <w:rFonts w:ascii="Tahoma" w:hAnsi="Tahoma" w:cs="Tahoma"/>
          <w:sz w:val="20"/>
          <w:szCs w:val="20"/>
        </w:rPr>
        <w:t xml:space="preserve"> tis. Kč, tj. </w:t>
      </w:r>
      <w:r w:rsidR="007A3E9E" w:rsidRPr="00CE1B5B">
        <w:rPr>
          <w:rFonts w:ascii="Tahoma" w:hAnsi="Tahoma" w:cs="Tahoma"/>
          <w:sz w:val="20"/>
          <w:szCs w:val="20"/>
        </w:rPr>
        <w:t xml:space="preserve">36,3 </w:t>
      </w:r>
      <w:r w:rsidRPr="00CE1B5B">
        <w:rPr>
          <w:rFonts w:ascii="Tahoma" w:hAnsi="Tahoma" w:cs="Tahoma"/>
          <w:sz w:val="20"/>
          <w:szCs w:val="20"/>
        </w:rPr>
        <w:t xml:space="preserve">% upraveného rozpočtu. </w:t>
      </w:r>
    </w:p>
    <w:p w:rsidR="00014B18" w:rsidRPr="00CE1B5B" w:rsidRDefault="00014B18" w:rsidP="00C96D1F">
      <w:pPr>
        <w:jc w:val="both"/>
        <w:rPr>
          <w:rFonts w:ascii="Tahoma" w:hAnsi="Tahoma" w:cs="Tahoma"/>
          <w:sz w:val="20"/>
          <w:szCs w:val="20"/>
        </w:rPr>
      </w:pPr>
      <w:r w:rsidRPr="00CE1B5B">
        <w:rPr>
          <w:rFonts w:ascii="Tahoma" w:hAnsi="Tahoma" w:cs="Tahoma"/>
          <w:sz w:val="20"/>
          <w:szCs w:val="20"/>
        </w:rPr>
        <w:t xml:space="preserve">Čerpání ostatních výdajů představují příspěvky a výdaje hrazené ze sociálního fondu, konkrétně jde o příspěvky na penzijní připojištění, životní pojištění ve výši </w:t>
      </w:r>
      <w:r w:rsidR="001D2384" w:rsidRPr="00CE1B5B">
        <w:rPr>
          <w:rFonts w:ascii="Tahoma" w:hAnsi="Tahoma" w:cs="Tahoma"/>
          <w:sz w:val="20"/>
          <w:szCs w:val="20"/>
        </w:rPr>
        <w:t>1.</w:t>
      </w:r>
      <w:r w:rsidR="006551A2" w:rsidRPr="00CE1B5B">
        <w:rPr>
          <w:rFonts w:ascii="Tahoma" w:hAnsi="Tahoma" w:cs="Tahoma"/>
          <w:sz w:val="20"/>
          <w:szCs w:val="20"/>
        </w:rPr>
        <w:t>790</w:t>
      </w:r>
      <w:r w:rsidRPr="00CE1B5B">
        <w:rPr>
          <w:rFonts w:ascii="Tahoma" w:hAnsi="Tahoma" w:cs="Tahoma"/>
          <w:sz w:val="20"/>
          <w:szCs w:val="20"/>
        </w:rPr>
        <w:t xml:space="preserve"> tis. Kč a příspěvky na ošacení ve výši  1.</w:t>
      </w:r>
      <w:r w:rsidR="006551A2" w:rsidRPr="00CE1B5B">
        <w:rPr>
          <w:rFonts w:ascii="Tahoma" w:hAnsi="Tahoma" w:cs="Tahoma"/>
          <w:sz w:val="20"/>
          <w:szCs w:val="20"/>
        </w:rPr>
        <w:t>228</w:t>
      </w:r>
      <w:r w:rsidRPr="00CE1B5B">
        <w:rPr>
          <w:rFonts w:ascii="Tahoma" w:hAnsi="Tahoma" w:cs="Tahoma"/>
          <w:sz w:val="20"/>
          <w:szCs w:val="20"/>
        </w:rPr>
        <w:t> tis. Kč.</w:t>
      </w:r>
    </w:p>
    <w:p w:rsidR="00014B18" w:rsidRPr="00CE1B5B" w:rsidRDefault="00014B18" w:rsidP="00EC4FBE">
      <w:pPr>
        <w:rPr>
          <w:rFonts w:ascii="Tahoma" w:hAnsi="Tahoma" w:cs="Tahoma"/>
        </w:rPr>
      </w:pPr>
    </w:p>
    <w:p w:rsidR="00027099" w:rsidRPr="00CE1B5B" w:rsidRDefault="00027099" w:rsidP="00EC4FBE">
      <w:pPr>
        <w:rPr>
          <w:rFonts w:ascii="Tahoma" w:hAnsi="Tahoma" w:cs="Tahoma"/>
        </w:rPr>
      </w:pPr>
    </w:p>
    <w:p w:rsidR="00027099" w:rsidRPr="00CE1B5B" w:rsidRDefault="00027099" w:rsidP="00EC4FBE">
      <w:pPr>
        <w:rPr>
          <w:rFonts w:ascii="Tahoma" w:hAnsi="Tahoma" w:cs="Tahoma"/>
        </w:rPr>
      </w:pPr>
    </w:p>
    <w:p w:rsidR="00014B18" w:rsidRPr="00CE1B5B" w:rsidRDefault="00014B18" w:rsidP="00EC4FBE">
      <w:pPr>
        <w:rPr>
          <w:rFonts w:ascii="Tahoma" w:hAnsi="Tahoma" w:cs="Tahoma"/>
        </w:rPr>
      </w:pPr>
    </w:p>
    <w:p w:rsidR="00014B18" w:rsidRPr="00CE1B5B" w:rsidRDefault="00014B18" w:rsidP="00027099">
      <w:pPr>
        <w:pStyle w:val="Nadpis1"/>
        <w:spacing w:line="240" w:lineRule="atLeast"/>
        <w:ind w:left="0" w:firstLine="0"/>
        <w:jc w:val="both"/>
        <w:rPr>
          <w:rFonts w:ascii="Tahoma" w:hAnsi="Tahoma" w:cs="Tahoma"/>
          <w:sz w:val="24"/>
        </w:rPr>
      </w:pPr>
      <w:r w:rsidRPr="00CE1B5B">
        <w:rPr>
          <w:rFonts w:ascii="Tahoma" w:hAnsi="Tahoma" w:cs="Tahoma"/>
          <w:sz w:val="24"/>
        </w:rPr>
        <w:t>Přehled financování dotačních pr</w:t>
      </w:r>
      <w:r w:rsidR="002B3C8C" w:rsidRPr="00CE1B5B">
        <w:rPr>
          <w:rFonts w:ascii="Tahoma" w:hAnsi="Tahoma" w:cs="Tahoma"/>
          <w:sz w:val="24"/>
        </w:rPr>
        <w:t xml:space="preserve">ogramů a individuálních dotací </w:t>
      </w:r>
      <w:r w:rsidRPr="00CE1B5B">
        <w:rPr>
          <w:rFonts w:ascii="Tahoma" w:hAnsi="Tahoma" w:cs="Tahoma"/>
          <w:sz w:val="24"/>
        </w:rPr>
        <w:t>k</w:t>
      </w:r>
      <w:r w:rsidR="00622C12">
        <w:rPr>
          <w:rFonts w:ascii="Tahoma" w:hAnsi="Tahoma" w:cs="Tahoma"/>
          <w:sz w:val="24"/>
        </w:rPr>
        <w:t> </w:t>
      </w:r>
      <w:r w:rsidR="00061E36" w:rsidRPr="00CE1B5B">
        <w:rPr>
          <w:rFonts w:ascii="Tahoma" w:hAnsi="Tahoma" w:cs="Tahoma"/>
          <w:sz w:val="24"/>
        </w:rPr>
        <w:t>30.</w:t>
      </w:r>
      <w:r w:rsidR="00622C12">
        <w:rPr>
          <w:rFonts w:ascii="Tahoma" w:hAnsi="Tahoma" w:cs="Tahoma"/>
          <w:sz w:val="24"/>
        </w:rPr>
        <w:t> </w:t>
      </w:r>
      <w:r w:rsidR="00061E36" w:rsidRPr="00CE1B5B">
        <w:rPr>
          <w:rFonts w:ascii="Tahoma" w:hAnsi="Tahoma" w:cs="Tahoma"/>
          <w:sz w:val="24"/>
        </w:rPr>
        <w:t>4.</w:t>
      </w:r>
      <w:r w:rsidR="00622C12">
        <w:rPr>
          <w:rFonts w:ascii="Tahoma" w:hAnsi="Tahoma" w:cs="Tahoma"/>
          <w:sz w:val="24"/>
        </w:rPr>
        <w:t> </w:t>
      </w:r>
      <w:r w:rsidR="00061E36" w:rsidRPr="00CE1B5B">
        <w:rPr>
          <w:rFonts w:ascii="Tahoma" w:hAnsi="Tahoma" w:cs="Tahoma"/>
          <w:sz w:val="24"/>
        </w:rPr>
        <w:t>2014</w:t>
      </w:r>
    </w:p>
    <w:p w:rsidR="00014B18" w:rsidRPr="00CE1B5B" w:rsidRDefault="00014B18" w:rsidP="00770C2A">
      <w:pPr>
        <w:rPr>
          <w:rFonts w:ascii="Tahoma" w:hAnsi="Tahoma" w:cs="Tahoma"/>
          <w:sz w:val="20"/>
          <w:szCs w:val="20"/>
        </w:rPr>
      </w:pPr>
    </w:p>
    <w:p w:rsidR="00014B18" w:rsidRPr="00CE1B5B" w:rsidRDefault="00014B18" w:rsidP="00B87AD6">
      <w:pPr>
        <w:jc w:val="both"/>
        <w:rPr>
          <w:rFonts w:ascii="Tahoma" w:hAnsi="Tahoma" w:cs="Tahoma"/>
          <w:sz w:val="20"/>
          <w:szCs w:val="20"/>
        </w:rPr>
      </w:pPr>
      <w:r w:rsidRPr="00CE1B5B">
        <w:rPr>
          <w:rFonts w:ascii="Tahoma" w:hAnsi="Tahoma" w:cs="Tahoma"/>
          <w:sz w:val="20"/>
          <w:szCs w:val="20"/>
        </w:rPr>
        <w:t xml:space="preserve">V roce 2014 bylo ve schváleném rozpočtu kraje vyčleněno na financování dotačních programů celkem 116.000 tis. Kč. Za sledované období došlo k úpravám rozpočtu, a to nárůstu o </w:t>
      </w:r>
      <w:r w:rsidR="006551A2" w:rsidRPr="00CE1B5B">
        <w:rPr>
          <w:rFonts w:ascii="Tahoma" w:hAnsi="Tahoma" w:cs="Tahoma"/>
          <w:sz w:val="20"/>
          <w:szCs w:val="20"/>
        </w:rPr>
        <w:t>99.530</w:t>
      </w:r>
      <w:r w:rsidRPr="00CE1B5B">
        <w:rPr>
          <w:rFonts w:ascii="Tahoma" w:hAnsi="Tahoma" w:cs="Tahoma"/>
          <w:sz w:val="20"/>
          <w:szCs w:val="20"/>
        </w:rPr>
        <w:t xml:space="preserve"> tis. Kč. Navýšení bylo způsobeno zapojením části zůstatku finančních prostředků roku 2013 do rozpočtu roku 2014 zejména za účelem výplaty víceletých projektů. V částce převáděné</w:t>
      </w:r>
      <w:r w:rsidR="009F6791" w:rsidRPr="00CE1B5B">
        <w:rPr>
          <w:rFonts w:ascii="Tahoma" w:hAnsi="Tahoma" w:cs="Tahoma"/>
          <w:sz w:val="20"/>
          <w:szCs w:val="20"/>
        </w:rPr>
        <w:t xml:space="preserve"> do rozpočtu 2014 je zahrnuto i </w:t>
      </w:r>
      <w:r w:rsidRPr="00CE1B5B">
        <w:rPr>
          <w:rFonts w:ascii="Tahoma" w:hAnsi="Tahoma" w:cs="Tahoma"/>
          <w:sz w:val="20"/>
          <w:szCs w:val="20"/>
        </w:rPr>
        <w:t xml:space="preserve">proplácení dotací vázaných na doložení závěrečného vyúčtování z dotačních programů vyhlášených v předešlých letech. </w:t>
      </w:r>
    </w:p>
    <w:p w:rsidR="00014B18" w:rsidRPr="00CE1B5B" w:rsidRDefault="00014B18" w:rsidP="00B87AD6">
      <w:pPr>
        <w:jc w:val="both"/>
        <w:rPr>
          <w:rFonts w:ascii="Tahoma" w:hAnsi="Tahoma" w:cs="Tahoma"/>
          <w:sz w:val="20"/>
          <w:szCs w:val="20"/>
        </w:rPr>
      </w:pPr>
      <w:r w:rsidRPr="00CE1B5B">
        <w:rPr>
          <w:rFonts w:ascii="Tahoma" w:hAnsi="Tahoma" w:cs="Tahoma"/>
          <w:sz w:val="20"/>
          <w:szCs w:val="20"/>
        </w:rPr>
        <w:t>K </w:t>
      </w:r>
      <w:r w:rsidR="00061E36" w:rsidRPr="00CE1B5B">
        <w:rPr>
          <w:rFonts w:ascii="Tahoma" w:hAnsi="Tahoma" w:cs="Tahoma"/>
          <w:sz w:val="20"/>
          <w:szCs w:val="20"/>
        </w:rPr>
        <w:t>30. 4. 2014</w:t>
      </w:r>
      <w:r w:rsidRPr="00CE1B5B">
        <w:rPr>
          <w:rFonts w:ascii="Tahoma" w:hAnsi="Tahoma" w:cs="Tahoma"/>
          <w:sz w:val="20"/>
          <w:szCs w:val="20"/>
        </w:rPr>
        <w:t xml:space="preserve"> bylo vyčerpáno </w:t>
      </w:r>
      <w:r w:rsidR="006551A2" w:rsidRPr="00CE1B5B">
        <w:rPr>
          <w:rFonts w:ascii="Tahoma" w:hAnsi="Tahoma" w:cs="Tahoma"/>
          <w:sz w:val="20"/>
          <w:szCs w:val="20"/>
        </w:rPr>
        <w:t>35.702</w:t>
      </w:r>
      <w:r w:rsidRPr="00CE1B5B">
        <w:rPr>
          <w:rFonts w:ascii="Tahoma" w:hAnsi="Tahoma" w:cs="Tahoma"/>
          <w:sz w:val="20"/>
          <w:szCs w:val="20"/>
        </w:rPr>
        <w:t xml:space="preserve"> tis. Kč. Z počátku roku jsou dotační programy vyhlašovány, po termínu pro předložení žádostí jsou tyto žádosti posuzovány a předkládány do zastupitelstva kraje ke schválení.</w:t>
      </w:r>
    </w:p>
    <w:p w:rsidR="00014B18" w:rsidRPr="00CE1B5B" w:rsidRDefault="00014B18" w:rsidP="00770C2A">
      <w:pPr>
        <w:rPr>
          <w:rFonts w:ascii="Tahoma" w:hAnsi="Tahoma" w:cs="Tahoma"/>
          <w:sz w:val="20"/>
          <w:szCs w:val="20"/>
        </w:rPr>
      </w:pPr>
    </w:p>
    <w:p w:rsidR="00014B18" w:rsidRPr="00CE1B5B" w:rsidRDefault="00CE1B5B" w:rsidP="00770C2A">
      <w:pPr>
        <w:rPr>
          <w:rFonts w:ascii="Tahoma" w:hAnsi="Tahoma" w:cs="Tahoma"/>
          <w:sz w:val="20"/>
          <w:szCs w:val="20"/>
        </w:rPr>
      </w:pPr>
      <w:r w:rsidRPr="00CE1B5B">
        <w:rPr>
          <w:rFonts w:ascii="Tahoma" w:hAnsi="Tahoma" w:cs="Tahoma"/>
          <w:sz w:val="20"/>
          <w:szCs w:val="20"/>
        </w:rPr>
        <w:object w:dxaOrig="9112" w:dyaOrig="3369">
          <v:shape id="_x0000_i1074" type="#_x0000_t75" style="width:455.25pt;height:168.75pt" o:ole="">
            <v:imagedata r:id="rId111" o:title=""/>
          </v:shape>
          <o:OLEObject Type="Embed" ProgID="Excel.Sheet.8" ShapeID="_x0000_i1074" DrawAspect="Content" ObjectID="_1462796481" r:id="rId112"/>
        </w:object>
      </w:r>
    </w:p>
    <w:p w:rsidR="00014B18" w:rsidRPr="00CE1B5B" w:rsidRDefault="00014B18" w:rsidP="00770C2A">
      <w:pPr>
        <w:rPr>
          <w:rFonts w:ascii="Tahoma" w:hAnsi="Tahoma" w:cs="Tahoma"/>
          <w:sz w:val="20"/>
          <w:szCs w:val="20"/>
        </w:rPr>
      </w:pPr>
    </w:p>
    <w:p w:rsidR="00014B18" w:rsidRPr="00CE1B5B" w:rsidRDefault="00CE1B5B" w:rsidP="00AC44ED">
      <w:pPr>
        <w:jc w:val="both"/>
        <w:rPr>
          <w:rFonts w:ascii="Tahoma" w:hAnsi="Tahoma" w:cs="Tahoma"/>
          <w:sz w:val="20"/>
          <w:szCs w:val="20"/>
        </w:rPr>
      </w:pPr>
      <w:r w:rsidRPr="00CE1B5B">
        <w:rPr>
          <w:rFonts w:ascii="Tahoma" w:hAnsi="Tahoma" w:cs="Tahoma"/>
          <w:sz w:val="20"/>
          <w:szCs w:val="20"/>
        </w:rPr>
        <w:object w:dxaOrig="9141" w:dyaOrig="2611">
          <v:shape id="_x0000_i1075" type="#_x0000_t75" style="width:456.75pt;height:130.5pt" o:ole="">
            <v:imagedata r:id="rId113" o:title=""/>
          </v:shape>
          <o:OLEObject Type="Embed" ProgID="Excel.Sheet.8" ShapeID="_x0000_i1075" DrawAspect="Content" ObjectID="_1462796482" r:id="rId114"/>
        </w:object>
      </w:r>
      <w:r w:rsidR="00014B18" w:rsidRPr="00CE1B5B">
        <w:rPr>
          <w:rFonts w:ascii="Tahoma" w:hAnsi="Tahoma" w:cs="Tahoma"/>
          <w:sz w:val="20"/>
          <w:szCs w:val="20"/>
        </w:rPr>
        <w:t>V tabulce individuálních dotací nejsou zahrnuty výdaje na konkrétní samosprávné akce v jednotlivých odvětvích (účelově určené výdaje v daném odvětví) financované formou dotace.</w:t>
      </w:r>
    </w:p>
    <w:p w:rsidR="00014B18" w:rsidRPr="00CE1B5B" w:rsidRDefault="00014B18" w:rsidP="00770C2A">
      <w:pPr>
        <w:rPr>
          <w:rFonts w:ascii="Tahoma" w:hAnsi="Tahoma" w:cs="Tahoma"/>
          <w:sz w:val="20"/>
          <w:szCs w:val="20"/>
        </w:rPr>
      </w:pPr>
    </w:p>
    <w:p w:rsidR="00014B18" w:rsidRPr="00CE1B5B" w:rsidRDefault="00014B18" w:rsidP="00770C2A">
      <w:pPr>
        <w:rPr>
          <w:rFonts w:ascii="Tahoma" w:hAnsi="Tahoma" w:cs="Tahoma"/>
          <w:sz w:val="20"/>
          <w:szCs w:val="20"/>
        </w:rPr>
      </w:pPr>
    </w:p>
    <w:p w:rsidR="00014B18" w:rsidRPr="00CE1B5B" w:rsidRDefault="00014B18" w:rsidP="00770C2A">
      <w:pPr>
        <w:rPr>
          <w:rFonts w:ascii="Tahoma" w:hAnsi="Tahoma" w:cs="Tahoma"/>
          <w:sz w:val="20"/>
          <w:szCs w:val="20"/>
        </w:rPr>
      </w:pPr>
    </w:p>
    <w:p w:rsidR="00F256B3" w:rsidRPr="00CE1B5B" w:rsidRDefault="00F256B3">
      <w:pPr>
        <w:rPr>
          <w:rFonts w:ascii="Tahoma" w:hAnsi="Tahoma" w:cs="Tahoma"/>
          <w:b/>
          <w:bCs/>
        </w:rPr>
      </w:pPr>
      <w:r w:rsidRPr="00CE1B5B">
        <w:rPr>
          <w:rFonts w:ascii="Tahoma" w:hAnsi="Tahoma" w:cs="Tahoma"/>
        </w:rPr>
        <w:br w:type="page"/>
      </w:r>
    </w:p>
    <w:p w:rsidR="00014B18" w:rsidRPr="00CE1B5B" w:rsidRDefault="00014B18" w:rsidP="00027099">
      <w:pPr>
        <w:pStyle w:val="Nadpis1"/>
        <w:spacing w:line="240" w:lineRule="atLeast"/>
        <w:ind w:left="0" w:firstLine="0"/>
        <w:jc w:val="both"/>
        <w:rPr>
          <w:rFonts w:ascii="Tahoma" w:hAnsi="Tahoma" w:cs="Tahoma"/>
          <w:sz w:val="24"/>
        </w:rPr>
      </w:pPr>
      <w:r w:rsidRPr="00CE1B5B">
        <w:rPr>
          <w:rFonts w:ascii="Tahoma" w:hAnsi="Tahoma" w:cs="Tahoma"/>
          <w:sz w:val="24"/>
        </w:rPr>
        <w:lastRenderedPageBreak/>
        <w:t>Přehled výdajů na reprodukci majetku kraje (vyjma reprodukce majetku kraje v rámci akcí spolufinancovaných z evropských zdrojů) k </w:t>
      </w:r>
      <w:r w:rsidR="00061E36" w:rsidRPr="00CE1B5B">
        <w:rPr>
          <w:rFonts w:ascii="Tahoma" w:hAnsi="Tahoma" w:cs="Tahoma"/>
          <w:sz w:val="24"/>
        </w:rPr>
        <w:t>30. 4. 2014</w:t>
      </w:r>
      <w:r w:rsidRPr="00CE1B5B">
        <w:rPr>
          <w:rFonts w:ascii="Tahoma" w:hAnsi="Tahoma" w:cs="Tahoma"/>
          <w:sz w:val="24"/>
        </w:rPr>
        <w:t xml:space="preserve"> v členění dle odvětví</w:t>
      </w:r>
    </w:p>
    <w:p w:rsidR="00014B18" w:rsidRPr="00CE1B5B" w:rsidRDefault="00014B18" w:rsidP="001E0DB0">
      <w:pPr>
        <w:rPr>
          <w:rFonts w:ascii="Tahoma" w:hAnsi="Tahoma" w:cs="Tahoma"/>
          <w:sz w:val="20"/>
          <w:szCs w:val="20"/>
        </w:rPr>
      </w:pPr>
    </w:p>
    <w:p w:rsidR="00014B18" w:rsidRPr="00CE1B5B" w:rsidRDefault="00014B18" w:rsidP="00A27528">
      <w:pPr>
        <w:jc w:val="both"/>
        <w:rPr>
          <w:rFonts w:ascii="Tahoma" w:hAnsi="Tahoma" w:cs="Tahoma"/>
          <w:sz w:val="20"/>
          <w:szCs w:val="20"/>
        </w:rPr>
      </w:pPr>
      <w:r w:rsidRPr="00CE1B5B">
        <w:rPr>
          <w:rFonts w:ascii="Tahoma" w:hAnsi="Tahoma" w:cs="Tahoma"/>
          <w:sz w:val="20"/>
          <w:szCs w:val="20"/>
        </w:rPr>
        <w:t xml:space="preserve">Schváleným rozpočtem na rok 2014 byla na obnovu stávajícího a pořízení nového majetku kraje vyčleněna částka ve výši 193.111 tis. Kč. Zejména zapojením části zůstatku finančních prostředků rozpočtového hospodaření roku 2013 do rozpočtu kraje na rok 2014 došlo k úpravě rozpočtu výdajů určených na reprodukci majetku na částku </w:t>
      </w:r>
      <w:r w:rsidR="006551A2" w:rsidRPr="00CE1B5B">
        <w:rPr>
          <w:rFonts w:ascii="Tahoma" w:hAnsi="Tahoma" w:cs="Tahoma"/>
          <w:sz w:val="20"/>
          <w:szCs w:val="20"/>
        </w:rPr>
        <w:t>419.391</w:t>
      </w:r>
      <w:r w:rsidRPr="00CE1B5B">
        <w:rPr>
          <w:rFonts w:ascii="Tahoma" w:hAnsi="Tahoma" w:cs="Tahoma"/>
          <w:sz w:val="20"/>
          <w:szCs w:val="20"/>
        </w:rPr>
        <w:t> tis. Kč.</w:t>
      </w:r>
      <w:r w:rsidRPr="00CE1B5B">
        <w:rPr>
          <w:rFonts w:ascii="Tahoma" w:hAnsi="Tahoma" w:cs="Tahoma"/>
        </w:rPr>
        <w:t xml:space="preserve"> </w:t>
      </w:r>
    </w:p>
    <w:p w:rsidR="00014B18" w:rsidRPr="00CE1B5B" w:rsidRDefault="00014B18" w:rsidP="00C37A41">
      <w:pPr>
        <w:pStyle w:val="FormtovanvHTML"/>
        <w:jc w:val="both"/>
        <w:rPr>
          <w:rFonts w:ascii="Tahoma" w:hAnsi="Tahoma" w:cs="Tahoma"/>
        </w:rPr>
      </w:pPr>
      <w:r w:rsidRPr="00CE1B5B">
        <w:rPr>
          <w:rFonts w:ascii="Tahoma" w:hAnsi="Tahoma" w:cs="Tahoma"/>
        </w:rPr>
        <w:t>Čerpání výdajů určených na reprodukci majetku kraje v jednotlivých odvětvích činilo k </w:t>
      </w:r>
      <w:r w:rsidR="00061E36" w:rsidRPr="00CE1B5B">
        <w:rPr>
          <w:rFonts w:ascii="Tahoma" w:hAnsi="Tahoma" w:cs="Tahoma"/>
        </w:rPr>
        <w:t>30. 4. 2014</w:t>
      </w:r>
      <w:r w:rsidRPr="00CE1B5B">
        <w:rPr>
          <w:rFonts w:ascii="Tahoma" w:hAnsi="Tahoma" w:cs="Tahoma"/>
        </w:rPr>
        <w:t xml:space="preserve"> úhrnně </w:t>
      </w:r>
      <w:r w:rsidR="006551A2" w:rsidRPr="00CE1B5B">
        <w:rPr>
          <w:rFonts w:ascii="Tahoma" w:hAnsi="Tahoma" w:cs="Tahoma"/>
        </w:rPr>
        <w:t>17.772</w:t>
      </w:r>
      <w:r w:rsidR="002B3C8C" w:rsidRPr="00CE1B5B">
        <w:rPr>
          <w:rFonts w:ascii="Tahoma" w:hAnsi="Tahoma" w:cs="Tahoma"/>
        </w:rPr>
        <w:t> tis. Kč, tj. čerpání na 4,</w:t>
      </w:r>
      <w:r w:rsidR="006551A2" w:rsidRPr="00CE1B5B">
        <w:rPr>
          <w:rFonts w:ascii="Tahoma" w:hAnsi="Tahoma" w:cs="Tahoma"/>
        </w:rPr>
        <w:t>2</w:t>
      </w:r>
      <w:r w:rsidRPr="00CE1B5B">
        <w:rPr>
          <w:rFonts w:ascii="Tahoma" w:hAnsi="Tahoma" w:cs="Tahoma"/>
        </w:rPr>
        <w:t> % upraveného rozpočtu.</w:t>
      </w:r>
    </w:p>
    <w:p w:rsidR="00014B18" w:rsidRPr="00CE1B5B" w:rsidRDefault="00014B18" w:rsidP="00C041D9">
      <w:pPr>
        <w:rPr>
          <w:rFonts w:ascii="Tahoma" w:hAnsi="Tahoma" w:cs="Tahoma"/>
          <w:sz w:val="20"/>
          <w:szCs w:val="20"/>
        </w:rPr>
      </w:pPr>
    </w:p>
    <w:p w:rsidR="00014B18" w:rsidRPr="00CE1B5B" w:rsidRDefault="00CE1B5B" w:rsidP="008427AE">
      <w:pPr>
        <w:rPr>
          <w:rFonts w:ascii="Tahoma" w:hAnsi="Tahoma" w:cs="Tahoma"/>
          <w:sz w:val="20"/>
          <w:szCs w:val="20"/>
        </w:rPr>
      </w:pPr>
      <w:r w:rsidRPr="00CE1B5B">
        <w:rPr>
          <w:rFonts w:ascii="Tahoma" w:hAnsi="Tahoma" w:cs="Tahoma"/>
          <w:sz w:val="20"/>
          <w:szCs w:val="20"/>
        </w:rPr>
        <w:object w:dxaOrig="9097" w:dyaOrig="4126">
          <v:shape id="_x0000_i1076" type="#_x0000_t75" style="width:454.5pt;height:206.25pt" o:ole="">
            <v:imagedata r:id="rId115" o:title=""/>
          </v:shape>
          <o:OLEObject Type="Embed" ProgID="Excel.Sheet.8" ShapeID="_x0000_i1076" DrawAspect="Content" ObjectID="_1462796483" r:id="rId116"/>
        </w:object>
      </w:r>
    </w:p>
    <w:p w:rsidR="00014B18" w:rsidRPr="00CE1B5B" w:rsidRDefault="00014B18" w:rsidP="00C041D9">
      <w:pPr>
        <w:jc w:val="both"/>
        <w:rPr>
          <w:rFonts w:ascii="Tahoma" w:hAnsi="Tahoma" w:cs="Tahoma"/>
          <w:sz w:val="20"/>
          <w:szCs w:val="20"/>
        </w:rPr>
      </w:pPr>
      <w:r w:rsidRPr="00CE1B5B">
        <w:rPr>
          <w:rFonts w:ascii="Tahoma" w:hAnsi="Tahoma" w:cs="Tahoma"/>
          <w:sz w:val="20"/>
          <w:szCs w:val="20"/>
        </w:rPr>
        <w:t>Podrobný přehled akcí v oblasti reprodukce majetku kraje, a to v členění na jednotlivá odvětví je uveden v příloze č. 4 materiálu.</w:t>
      </w:r>
    </w:p>
    <w:p w:rsidR="00014B18" w:rsidRPr="00CE1B5B" w:rsidRDefault="00014B18" w:rsidP="00C041D9">
      <w:pPr>
        <w:rPr>
          <w:rFonts w:ascii="Tahoma" w:hAnsi="Tahoma" w:cs="Tahoma"/>
          <w:sz w:val="20"/>
          <w:szCs w:val="20"/>
        </w:rPr>
      </w:pPr>
    </w:p>
    <w:p w:rsidR="00014B18" w:rsidRPr="00CE1B5B" w:rsidRDefault="00014B18" w:rsidP="00C041D9">
      <w:pPr>
        <w:rPr>
          <w:rFonts w:ascii="Tahoma" w:hAnsi="Tahoma" w:cs="Tahoma"/>
          <w:sz w:val="20"/>
          <w:szCs w:val="20"/>
        </w:rPr>
      </w:pPr>
    </w:p>
    <w:p w:rsidR="00014B18" w:rsidRPr="00CE1B5B" w:rsidRDefault="00014B18" w:rsidP="00027099">
      <w:pPr>
        <w:pStyle w:val="Nadpis1"/>
        <w:tabs>
          <w:tab w:val="clear" w:pos="624"/>
          <w:tab w:val="left" w:pos="720"/>
        </w:tabs>
        <w:ind w:left="0" w:firstLine="0"/>
        <w:jc w:val="both"/>
        <w:rPr>
          <w:rFonts w:ascii="Tahoma" w:hAnsi="Tahoma" w:cs="Tahoma"/>
          <w:sz w:val="24"/>
        </w:rPr>
      </w:pPr>
      <w:r w:rsidRPr="00CE1B5B">
        <w:rPr>
          <w:rFonts w:ascii="Tahoma" w:hAnsi="Tahoma" w:cs="Tahoma"/>
          <w:sz w:val="24"/>
        </w:rPr>
        <w:t>Přehled výdajů na akce spolufi</w:t>
      </w:r>
      <w:r w:rsidR="00027099" w:rsidRPr="00CE1B5B">
        <w:rPr>
          <w:rFonts w:ascii="Tahoma" w:hAnsi="Tahoma" w:cs="Tahoma"/>
          <w:sz w:val="24"/>
        </w:rPr>
        <w:t>nancované z evropských zdrojů k </w:t>
      </w:r>
      <w:r w:rsidR="00061E36" w:rsidRPr="00CE1B5B">
        <w:rPr>
          <w:rFonts w:ascii="Tahoma" w:hAnsi="Tahoma" w:cs="Tahoma"/>
          <w:sz w:val="24"/>
        </w:rPr>
        <w:t>30. 4. 2014</w:t>
      </w:r>
      <w:r w:rsidRPr="00CE1B5B">
        <w:rPr>
          <w:rFonts w:ascii="Tahoma" w:hAnsi="Tahoma" w:cs="Tahoma"/>
          <w:sz w:val="24"/>
        </w:rPr>
        <w:t xml:space="preserve"> v členění dle odvětví</w:t>
      </w:r>
    </w:p>
    <w:p w:rsidR="00014B18" w:rsidRPr="00CE1B5B" w:rsidRDefault="00014B18" w:rsidP="00D407CB">
      <w:pPr>
        <w:jc w:val="both"/>
        <w:rPr>
          <w:rFonts w:ascii="Tahoma" w:hAnsi="Tahoma" w:cs="Tahoma"/>
          <w:sz w:val="20"/>
          <w:szCs w:val="20"/>
        </w:rPr>
      </w:pPr>
    </w:p>
    <w:p w:rsidR="00014B18" w:rsidRPr="00CE1B5B" w:rsidRDefault="00014B18" w:rsidP="00D407CB">
      <w:pPr>
        <w:jc w:val="both"/>
        <w:rPr>
          <w:rFonts w:ascii="Tahoma" w:hAnsi="Tahoma" w:cs="Tahoma"/>
          <w:sz w:val="20"/>
          <w:szCs w:val="20"/>
        </w:rPr>
      </w:pPr>
      <w:r w:rsidRPr="00CE1B5B">
        <w:rPr>
          <w:rFonts w:ascii="Tahoma" w:hAnsi="Tahoma" w:cs="Tahoma"/>
          <w:sz w:val="20"/>
          <w:szCs w:val="20"/>
        </w:rPr>
        <w:t>Na akce spolufinancované z evropských zdrojů bylo pro rok 2014 ve schváleném rozpočtu vyčleněno 3.467.778 tis. Kč. V průběhu měsíce ledna 2014 došlo ke zvýšení výdajové části rozpočtu zejména zapojením části účelového zůstatku finančních prostředků rozpočtového hospodaření roku 2013 do rozpočtu 2014. Další úpravy rozpočtu roku 2014 byly především v souvislosti s přijetím dotací z jednotlivých kapitol státního rozpočtu. K </w:t>
      </w:r>
      <w:r w:rsidR="00061E36" w:rsidRPr="00CE1B5B">
        <w:rPr>
          <w:rFonts w:ascii="Tahoma" w:hAnsi="Tahoma" w:cs="Tahoma"/>
          <w:sz w:val="20"/>
          <w:szCs w:val="20"/>
        </w:rPr>
        <w:t>30. 4. 2014</w:t>
      </w:r>
      <w:r w:rsidRPr="00CE1B5B">
        <w:rPr>
          <w:rFonts w:ascii="Tahoma" w:hAnsi="Tahoma" w:cs="Tahoma"/>
          <w:sz w:val="20"/>
          <w:szCs w:val="20"/>
        </w:rPr>
        <w:t xml:space="preserve"> vyčerpáno na tyto akce </w:t>
      </w:r>
      <w:r w:rsidR="006551A2" w:rsidRPr="00CE1B5B">
        <w:rPr>
          <w:rFonts w:ascii="Tahoma" w:hAnsi="Tahoma" w:cs="Tahoma"/>
          <w:sz w:val="20"/>
          <w:szCs w:val="20"/>
        </w:rPr>
        <w:t>10,</w:t>
      </w:r>
      <w:r w:rsidR="00622C12">
        <w:rPr>
          <w:rFonts w:ascii="Tahoma" w:hAnsi="Tahoma" w:cs="Tahoma"/>
          <w:sz w:val="20"/>
          <w:szCs w:val="20"/>
        </w:rPr>
        <w:t>5</w:t>
      </w:r>
      <w:r w:rsidRPr="00CE1B5B">
        <w:rPr>
          <w:rFonts w:ascii="Tahoma" w:hAnsi="Tahoma" w:cs="Tahoma"/>
          <w:sz w:val="20"/>
          <w:szCs w:val="20"/>
        </w:rPr>
        <w:t xml:space="preserve"> % upraveného rozpočtu, tj. </w:t>
      </w:r>
      <w:r w:rsidR="006551A2" w:rsidRPr="00CE1B5B">
        <w:rPr>
          <w:rFonts w:ascii="Tahoma" w:hAnsi="Tahoma" w:cs="Tahoma"/>
          <w:sz w:val="20"/>
          <w:szCs w:val="20"/>
        </w:rPr>
        <w:t>387.422</w:t>
      </w:r>
      <w:r w:rsidRPr="00CE1B5B">
        <w:rPr>
          <w:rFonts w:ascii="Tahoma" w:hAnsi="Tahoma" w:cs="Tahoma"/>
          <w:sz w:val="20"/>
          <w:szCs w:val="20"/>
        </w:rPr>
        <w:t xml:space="preserve"> tis. Kč.</w:t>
      </w:r>
    </w:p>
    <w:p w:rsidR="00014B18" w:rsidRPr="00CE1B5B" w:rsidRDefault="00014B18" w:rsidP="00D407CB">
      <w:pPr>
        <w:jc w:val="both"/>
        <w:rPr>
          <w:rFonts w:ascii="Tahoma" w:hAnsi="Tahoma" w:cs="Tahoma"/>
          <w:sz w:val="20"/>
          <w:szCs w:val="20"/>
        </w:rPr>
      </w:pPr>
    </w:p>
    <w:p w:rsidR="00014B18" w:rsidRPr="00CE1B5B" w:rsidRDefault="00CE1B5B" w:rsidP="00BF1F7E">
      <w:pPr>
        <w:rPr>
          <w:rFonts w:ascii="Tahoma" w:hAnsi="Tahoma" w:cs="Tahoma"/>
          <w:sz w:val="20"/>
          <w:szCs w:val="20"/>
        </w:rPr>
      </w:pPr>
      <w:r w:rsidRPr="00CE1B5B">
        <w:rPr>
          <w:rFonts w:ascii="Tahoma" w:hAnsi="Tahoma" w:cs="Tahoma"/>
          <w:sz w:val="20"/>
          <w:szCs w:val="20"/>
        </w:rPr>
        <w:object w:dxaOrig="9129" w:dyaOrig="3645">
          <v:shape id="_x0000_i1077" type="#_x0000_t75" style="width:456.75pt;height:182.25pt" o:ole="">
            <v:imagedata r:id="rId117" o:title=""/>
          </v:shape>
          <o:OLEObject Type="Embed" ProgID="Excel.Sheet.8" ShapeID="_x0000_i1077" DrawAspect="Content" ObjectID="_1462796484" r:id="rId118"/>
        </w:object>
      </w:r>
    </w:p>
    <w:p w:rsidR="00014B18" w:rsidRPr="00CE1B5B" w:rsidRDefault="00014B18" w:rsidP="00BF1F7E">
      <w:pPr>
        <w:jc w:val="both"/>
        <w:rPr>
          <w:rFonts w:ascii="Tahoma" w:hAnsi="Tahoma" w:cs="Tahoma"/>
          <w:sz w:val="20"/>
          <w:szCs w:val="20"/>
        </w:rPr>
      </w:pPr>
      <w:r w:rsidRPr="00CE1B5B">
        <w:rPr>
          <w:rFonts w:ascii="Tahoma" w:hAnsi="Tahoma" w:cs="Tahoma"/>
          <w:sz w:val="20"/>
          <w:szCs w:val="20"/>
        </w:rPr>
        <w:t>Podrobný přehled akcí spolufinancovaných z evropských finančních zdrojů za jednotlivá odvětví a jejich financování ve sledovaném období je uveden v příloze č. 5 materiálu.</w:t>
      </w:r>
    </w:p>
    <w:p w:rsidR="00014B18" w:rsidRPr="00CE1B5B" w:rsidRDefault="00014B18" w:rsidP="009645EA">
      <w:pPr>
        <w:pStyle w:val="Zkladntext2"/>
        <w:jc w:val="left"/>
        <w:rPr>
          <w:rFonts w:ascii="Tahoma" w:hAnsi="Tahoma" w:cs="Tahoma"/>
        </w:rPr>
      </w:pPr>
    </w:p>
    <w:p w:rsidR="00014B18" w:rsidRPr="00CE1B5B" w:rsidRDefault="00014B18" w:rsidP="003C43D7">
      <w:pPr>
        <w:pStyle w:val="xl33"/>
        <w:tabs>
          <w:tab w:val="left" w:pos="2160"/>
        </w:tabs>
        <w:spacing w:before="400" w:beforeAutospacing="0" w:after="120" w:afterAutospacing="0"/>
        <w:ind w:left="360"/>
        <w:textAlignment w:val="auto"/>
        <w:rPr>
          <w:rFonts w:ascii="Tahoma" w:hAnsi="Tahoma" w:cs="Tahoma"/>
          <w:bCs w:val="0"/>
          <w:sz w:val="16"/>
          <w:szCs w:val="16"/>
          <w:u w:val="single"/>
        </w:rPr>
      </w:pPr>
      <w:r w:rsidRPr="00CE1B5B">
        <w:rPr>
          <w:rFonts w:ascii="Tahoma" w:hAnsi="Tahoma" w:cs="Tahoma"/>
          <w:bCs w:val="0"/>
          <w:sz w:val="16"/>
          <w:szCs w:val="16"/>
          <w:u w:val="single"/>
        </w:rPr>
        <w:t>Seznam použitých zkratek:</w:t>
      </w:r>
    </w:p>
    <w:p w:rsidR="00014B18" w:rsidRPr="00CE1B5B" w:rsidRDefault="00014B18" w:rsidP="00360AD3">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a.s.</w:t>
      </w:r>
      <w:r w:rsidRPr="00CE1B5B">
        <w:rPr>
          <w:rFonts w:ascii="Tahoma" w:hAnsi="Tahoma" w:cs="Tahoma"/>
          <w:b w:val="0"/>
          <w:sz w:val="18"/>
          <w:szCs w:val="18"/>
        </w:rPr>
        <w:tab/>
        <w:t>akciová společnost</w:t>
      </w:r>
    </w:p>
    <w:p w:rsidR="00014B18" w:rsidRPr="00CE1B5B" w:rsidRDefault="00014B18" w:rsidP="00360AD3">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CR</w:t>
      </w:r>
      <w:r w:rsidRPr="00CE1B5B">
        <w:rPr>
          <w:rFonts w:ascii="Tahoma" w:hAnsi="Tahoma" w:cs="Tahoma"/>
          <w:b w:val="0"/>
          <w:sz w:val="18"/>
          <w:szCs w:val="18"/>
        </w:rPr>
        <w:tab/>
        <w:t>cestovní ruch</w:t>
      </w:r>
    </w:p>
    <w:p w:rsidR="00014B18" w:rsidRPr="00CE1B5B" w:rsidRDefault="00014B18" w:rsidP="00360AD3">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ČR</w:t>
      </w:r>
      <w:r w:rsidRPr="00CE1B5B">
        <w:rPr>
          <w:rFonts w:ascii="Tahoma" w:hAnsi="Tahoma" w:cs="Tahoma"/>
          <w:b w:val="0"/>
          <w:sz w:val="18"/>
          <w:szCs w:val="18"/>
        </w:rPr>
        <w:tab/>
        <w:t>Česká republika</w:t>
      </w:r>
    </w:p>
    <w:p w:rsidR="00014B18" w:rsidRPr="00CE1B5B" w:rsidRDefault="00014B18" w:rsidP="00360AD3">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ČSOB</w:t>
      </w:r>
      <w:r w:rsidRPr="00CE1B5B">
        <w:rPr>
          <w:rFonts w:ascii="Tahoma" w:hAnsi="Tahoma" w:cs="Tahoma"/>
          <w:b w:val="0"/>
          <w:sz w:val="18"/>
          <w:szCs w:val="18"/>
        </w:rPr>
        <w:tab/>
        <w:t>Československá obchodní banka, a.s.</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DP</w:t>
      </w:r>
      <w:r w:rsidRPr="00CE1B5B">
        <w:rPr>
          <w:rFonts w:ascii="Tahoma" w:hAnsi="Tahoma" w:cs="Tahoma"/>
          <w:b w:val="0"/>
          <w:sz w:val="18"/>
          <w:szCs w:val="18"/>
        </w:rPr>
        <w:tab/>
        <w:t>Dotační program</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DPH</w:t>
      </w:r>
      <w:r w:rsidRPr="00CE1B5B">
        <w:rPr>
          <w:rFonts w:ascii="Tahoma" w:hAnsi="Tahoma" w:cs="Tahoma"/>
          <w:b w:val="0"/>
          <w:sz w:val="18"/>
          <w:szCs w:val="18"/>
        </w:rPr>
        <w:tab/>
        <w:t>daň z přidané hodnoty</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EIA</w:t>
      </w:r>
      <w:r w:rsidRPr="00CE1B5B">
        <w:rPr>
          <w:rFonts w:ascii="Tahoma" w:hAnsi="Tahoma" w:cs="Tahoma"/>
          <w:b w:val="0"/>
          <w:sz w:val="18"/>
          <w:szCs w:val="18"/>
        </w:rPr>
        <w:tab/>
      </w:r>
      <w:proofErr w:type="spellStart"/>
      <w:r w:rsidRPr="00CE1B5B">
        <w:rPr>
          <w:rFonts w:ascii="Tahoma" w:hAnsi="Tahoma" w:cs="Tahoma"/>
          <w:b w:val="0"/>
          <w:sz w:val="18"/>
          <w:szCs w:val="18"/>
        </w:rPr>
        <w:t>Environmental</w:t>
      </w:r>
      <w:proofErr w:type="spellEnd"/>
      <w:r w:rsidRPr="00CE1B5B">
        <w:rPr>
          <w:rFonts w:ascii="Tahoma" w:hAnsi="Tahoma" w:cs="Tahoma"/>
          <w:b w:val="0"/>
          <w:sz w:val="18"/>
          <w:szCs w:val="18"/>
        </w:rPr>
        <w:t xml:space="preserve"> </w:t>
      </w:r>
      <w:proofErr w:type="spellStart"/>
      <w:r w:rsidRPr="00CE1B5B">
        <w:rPr>
          <w:rFonts w:ascii="Tahoma" w:hAnsi="Tahoma" w:cs="Tahoma"/>
          <w:b w:val="0"/>
          <w:sz w:val="18"/>
          <w:szCs w:val="18"/>
        </w:rPr>
        <w:t>Impact</w:t>
      </w:r>
      <w:proofErr w:type="spellEnd"/>
      <w:r w:rsidRPr="00CE1B5B">
        <w:rPr>
          <w:rFonts w:ascii="Tahoma" w:hAnsi="Tahoma" w:cs="Tahoma"/>
          <w:b w:val="0"/>
          <w:sz w:val="18"/>
          <w:szCs w:val="18"/>
        </w:rPr>
        <w:t xml:space="preserve"> </w:t>
      </w:r>
      <w:proofErr w:type="spellStart"/>
      <w:r w:rsidRPr="00CE1B5B">
        <w:rPr>
          <w:rFonts w:ascii="Tahoma" w:hAnsi="Tahoma" w:cs="Tahoma"/>
          <w:b w:val="0"/>
          <w:sz w:val="18"/>
          <w:szCs w:val="18"/>
        </w:rPr>
        <w:t>Assessment</w:t>
      </w:r>
      <w:proofErr w:type="spellEnd"/>
      <w:r w:rsidRPr="00CE1B5B">
        <w:rPr>
          <w:rFonts w:ascii="Tahoma" w:hAnsi="Tahoma" w:cs="Tahoma"/>
          <w:b w:val="0"/>
          <w:sz w:val="18"/>
          <w:szCs w:val="18"/>
        </w:rPr>
        <w:t xml:space="preserve"> (hodnocení vlivů na ŽP)</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EIB</w:t>
      </w:r>
      <w:r w:rsidRPr="00CE1B5B">
        <w:rPr>
          <w:rFonts w:ascii="Tahoma" w:hAnsi="Tahoma" w:cs="Tahoma"/>
          <w:b w:val="0"/>
          <w:sz w:val="18"/>
          <w:szCs w:val="18"/>
        </w:rPr>
        <w:tab/>
        <w:t>Evropská investiční banka</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EMAS</w:t>
      </w:r>
      <w:r w:rsidRPr="00CE1B5B">
        <w:rPr>
          <w:rFonts w:ascii="Tahoma" w:hAnsi="Tahoma" w:cs="Tahoma"/>
          <w:b w:val="0"/>
          <w:sz w:val="18"/>
          <w:szCs w:val="18"/>
        </w:rPr>
        <w:tab/>
        <w:t>environmentální systém řízení a auditu</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EPIC</w:t>
      </w:r>
      <w:r w:rsidRPr="00CE1B5B">
        <w:rPr>
          <w:rFonts w:ascii="Tahoma" w:hAnsi="Tahoma" w:cs="Tahoma"/>
          <w:b w:val="0"/>
          <w:sz w:val="18"/>
          <w:szCs w:val="18"/>
        </w:rPr>
        <w:tab/>
        <w:t>environmentální poradenská a informační centra</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EU</w:t>
      </w:r>
      <w:r w:rsidRPr="00CE1B5B">
        <w:rPr>
          <w:rFonts w:ascii="Tahoma" w:hAnsi="Tahoma" w:cs="Tahoma"/>
          <w:b w:val="0"/>
          <w:sz w:val="18"/>
          <w:szCs w:val="18"/>
        </w:rPr>
        <w:tab/>
        <w:t>Evropská unie</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EVVO</w:t>
      </w:r>
      <w:r w:rsidRPr="00CE1B5B">
        <w:rPr>
          <w:rFonts w:ascii="Tahoma" w:hAnsi="Tahoma" w:cs="Tahoma"/>
          <w:b w:val="0"/>
          <w:sz w:val="18"/>
          <w:szCs w:val="18"/>
        </w:rPr>
        <w:tab/>
        <w:t>environmentální vzdělávání, výchova a osvěta</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FO</w:t>
      </w:r>
      <w:r w:rsidRPr="00CE1B5B">
        <w:rPr>
          <w:rFonts w:ascii="Tahoma" w:hAnsi="Tahoma" w:cs="Tahoma"/>
          <w:b w:val="0"/>
          <w:sz w:val="18"/>
          <w:szCs w:val="18"/>
        </w:rPr>
        <w:tab/>
        <w:t>fyzická osoba</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HMMC</w:t>
      </w:r>
      <w:r w:rsidRPr="00CE1B5B">
        <w:rPr>
          <w:rFonts w:ascii="Tahoma" w:hAnsi="Tahoma" w:cs="Tahoma"/>
          <w:b w:val="0"/>
          <w:sz w:val="18"/>
          <w:szCs w:val="18"/>
        </w:rPr>
        <w:tab/>
        <w:t>Hyundai Motor Manufacturing Czech s. r. o.</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HW</w:t>
      </w:r>
      <w:r w:rsidRPr="00CE1B5B">
        <w:rPr>
          <w:rFonts w:ascii="Tahoma" w:hAnsi="Tahoma" w:cs="Tahoma"/>
          <w:b w:val="0"/>
          <w:sz w:val="18"/>
          <w:szCs w:val="18"/>
        </w:rPr>
        <w:tab/>
        <w:t>hardware</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HZS MSK</w:t>
      </w:r>
      <w:r w:rsidRPr="00CE1B5B">
        <w:rPr>
          <w:rFonts w:ascii="Tahoma" w:hAnsi="Tahoma" w:cs="Tahoma"/>
          <w:b w:val="0"/>
          <w:sz w:val="18"/>
          <w:szCs w:val="18"/>
        </w:rPr>
        <w:tab/>
        <w:t>Hasičský záchranný sbor Moravskoslezského kraje</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ICT</w:t>
      </w:r>
      <w:r w:rsidRPr="00CE1B5B">
        <w:rPr>
          <w:rFonts w:ascii="Tahoma" w:hAnsi="Tahoma" w:cs="Tahoma"/>
          <w:b w:val="0"/>
          <w:sz w:val="18"/>
          <w:szCs w:val="18"/>
        </w:rPr>
        <w:tab/>
        <w:t>informační a komunikační technologie</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ID</w:t>
      </w:r>
      <w:r w:rsidRPr="00CE1B5B">
        <w:rPr>
          <w:rFonts w:ascii="Tahoma" w:hAnsi="Tahoma" w:cs="Tahoma"/>
          <w:b w:val="0"/>
          <w:sz w:val="18"/>
          <w:szCs w:val="18"/>
        </w:rPr>
        <w:tab/>
        <w:t>individuální dotace</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ISPROFIN</w:t>
      </w:r>
      <w:r w:rsidRPr="00CE1B5B">
        <w:rPr>
          <w:rFonts w:ascii="Tahoma" w:hAnsi="Tahoma" w:cs="Tahoma"/>
          <w:b w:val="0"/>
          <w:sz w:val="18"/>
          <w:szCs w:val="18"/>
        </w:rPr>
        <w:tab/>
        <w:t>informační systém programového financování</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IZS</w:t>
      </w:r>
      <w:r w:rsidRPr="00CE1B5B">
        <w:rPr>
          <w:rFonts w:ascii="Tahoma" w:hAnsi="Tahoma" w:cs="Tahoma"/>
          <w:b w:val="0"/>
          <w:sz w:val="18"/>
          <w:szCs w:val="18"/>
        </w:rPr>
        <w:tab/>
        <w:t>Integrovaný záchranný systém</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KD</w:t>
      </w:r>
      <w:r w:rsidRPr="00CE1B5B">
        <w:rPr>
          <w:rFonts w:ascii="Tahoma" w:hAnsi="Tahoma" w:cs="Tahoma"/>
          <w:b w:val="0"/>
          <w:sz w:val="18"/>
          <w:szCs w:val="18"/>
        </w:rPr>
        <w:tab/>
        <w:t>kulturní dům</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LIFE</w:t>
      </w:r>
      <w:r w:rsidRPr="00CE1B5B">
        <w:rPr>
          <w:rFonts w:ascii="Tahoma" w:hAnsi="Tahoma" w:cs="Tahoma"/>
          <w:b w:val="0"/>
          <w:sz w:val="18"/>
          <w:szCs w:val="18"/>
        </w:rPr>
        <w:tab/>
        <w:t>komunitární program</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MA 21</w:t>
      </w:r>
      <w:r w:rsidRPr="00CE1B5B">
        <w:rPr>
          <w:rFonts w:ascii="Tahoma" w:hAnsi="Tahoma" w:cs="Tahoma"/>
          <w:b w:val="0"/>
          <w:sz w:val="18"/>
          <w:szCs w:val="18"/>
        </w:rPr>
        <w:tab/>
        <w:t>Místní Agenda 21</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MSK</w:t>
      </w:r>
      <w:r w:rsidRPr="00CE1B5B">
        <w:rPr>
          <w:rFonts w:ascii="Tahoma" w:hAnsi="Tahoma" w:cs="Tahoma"/>
          <w:b w:val="0"/>
          <w:sz w:val="18"/>
          <w:szCs w:val="18"/>
        </w:rPr>
        <w:tab/>
        <w:t>Moravskoslezský kraj</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MŠMT</w:t>
      </w:r>
      <w:r w:rsidRPr="00CE1B5B">
        <w:rPr>
          <w:rFonts w:ascii="Tahoma" w:hAnsi="Tahoma" w:cs="Tahoma"/>
          <w:b w:val="0"/>
          <w:sz w:val="18"/>
          <w:szCs w:val="18"/>
        </w:rPr>
        <w:tab/>
        <w:t>Ministerstvo školství, mládeže a tělovýchovy</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NATO</w:t>
      </w:r>
      <w:r w:rsidRPr="00CE1B5B">
        <w:rPr>
          <w:rFonts w:ascii="Tahoma" w:hAnsi="Tahoma" w:cs="Tahoma"/>
          <w:b w:val="0"/>
          <w:sz w:val="18"/>
          <w:szCs w:val="18"/>
        </w:rPr>
        <w:tab/>
        <w:t>Severoatlantická aliance</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NKP</w:t>
      </w:r>
      <w:r w:rsidRPr="00CE1B5B">
        <w:rPr>
          <w:rFonts w:ascii="Tahoma" w:hAnsi="Tahoma" w:cs="Tahoma"/>
          <w:b w:val="0"/>
          <w:sz w:val="18"/>
          <w:szCs w:val="18"/>
        </w:rPr>
        <w:tab/>
        <w:t>Národní kulturní památka</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OP</w:t>
      </w:r>
      <w:r w:rsidRPr="00CE1B5B">
        <w:rPr>
          <w:rFonts w:ascii="Tahoma" w:hAnsi="Tahoma" w:cs="Tahoma"/>
          <w:b w:val="0"/>
          <w:sz w:val="18"/>
          <w:szCs w:val="18"/>
        </w:rPr>
        <w:tab/>
        <w:t>operační program</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PD</w:t>
      </w:r>
      <w:r w:rsidRPr="00CE1B5B">
        <w:rPr>
          <w:rFonts w:ascii="Tahoma" w:hAnsi="Tahoma" w:cs="Tahoma"/>
          <w:b w:val="0"/>
          <w:sz w:val="18"/>
          <w:szCs w:val="18"/>
        </w:rPr>
        <w:tab/>
        <w:t>projektová dokumentace</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PO</w:t>
      </w:r>
      <w:r w:rsidRPr="00CE1B5B">
        <w:rPr>
          <w:rFonts w:ascii="Tahoma" w:hAnsi="Tahoma" w:cs="Tahoma"/>
          <w:b w:val="0"/>
          <w:sz w:val="18"/>
          <w:szCs w:val="18"/>
        </w:rPr>
        <w:tab/>
        <w:t>právnická osoba</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p. o.</w:t>
      </w:r>
      <w:r w:rsidRPr="00CE1B5B">
        <w:rPr>
          <w:rFonts w:ascii="Tahoma" w:hAnsi="Tahoma" w:cs="Tahoma"/>
          <w:b w:val="0"/>
          <w:sz w:val="18"/>
          <w:szCs w:val="18"/>
        </w:rPr>
        <w:tab/>
        <w:t>příspěvková organizace</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RURÚ</w:t>
      </w:r>
      <w:r w:rsidRPr="00CE1B5B">
        <w:rPr>
          <w:rFonts w:ascii="Tahoma" w:hAnsi="Tahoma" w:cs="Tahoma"/>
          <w:b w:val="0"/>
          <w:sz w:val="18"/>
          <w:szCs w:val="18"/>
        </w:rPr>
        <w:tab/>
        <w:t>rozbor udržitelného rozvoje území</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SFDI</w:t>
      </w:r>
      <w:r w:rsidRPr="00CE1B5B">
        <w:rPr>
          <w:rFonts w:ascii="Tahoma" w:hAnsi="Tahoma" w:cs="Tahoma"/>
          <w:b w:val="0"/>
          <w:sz w:val="18"/>
          <w:szCs w:val="18"/>
        </w:rPr>
        <w:tab/>
        <w:t>Státní fond dopravní infrastruktury</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s. p.</w:t>
      </w:r>
      <w:r w:rsidRPr="00CE1B5B">
        <w:rPr>
          <w:rFonts w:ascii="Tahoma" w:hAnsi="Tahoma" w:cs="Tahoma"/>
          <w:b w:val="0"/>
          <w:sz w:val="18"/>
          <w:szCs w:val="18"/>
        </w:rPr>
        <w:tab/>
        <w:t>státní podnik</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s. r. o.</w:t>
      </w:r>
      <w:r w:rsidRPr="00CE1B5B">
        <w:rPr>
          <w:rFonts w:ascii="Tahoma" w:hAnsi="Tahoma" w:cs="Tahoma"/>
          <w:b w:val="0"/>
          <w:sz w:val="18"/>
          <w:szCs w:val="18"/>
        </w:rPr>
        <w:tab/>
        <w:t>společnost s ručením omezeným</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SR</w:t>
      </w:r>
      <w:r w:rsidRPr="00CE1B5B">
        <w:rPr>
          <w:rFonts w:ascii="Tahoma" w:hAnsi="Tahoma" w:cs="Tahoma"/>
          <w:b w:val="0"/>
          <w:sz w:val="18"/>
          <w:szCs w:val="18"/>
        </w:rPr>
        <w:tab/>
        <w:t>Státní rozpočet</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SW</w:t>
      </w:r>
      <w:r w:rsidRPr="00CE1B5B">
        <w:rPr>
          <w:rFonts w:ascii="Tahoma" w:hAnsi="Tahoma" w:cs="Tahoma"/>
          <w:b w:val="0"/>
          <w:sz w:val="18"/>
          <w:szCs w:val="18"/>
        </w:rPr>
        <w:tab/>
        <w:t>software</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TBC</w:t>
      </w:r>
      <w:r w:rsidRPr="00CE1B5B">
        <w:rPr>
          <w:rFonts w:ascii="Tahoma" w:hAnsi="Tahoma" w:cs="Tahoma"/>
          <w:b w:val="0"/>
          <w:sz w:val="18"/>
          <w:szCs w:val="18"/>
        </w:rPr>
        <w:tab/>
        <w:t>Tuberkulóza</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UR</w:t>
      </w:r>
      <w:r w:rsidRPr="00CE1B5B">
        <w:rPr>
          <w:rFonts w:ascii="Tahoma" w:hAnsi="Tahoma" w:cs="Tahoma"/>
          <w:b w:val="0"/>
          <w:sz w:val="18"/>
          <w:szCs w:val="18"/>
        </w:rPr>
        <w:tab/>
        <w:t>upravený rozpočet</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ÚZ</w:t>
      </w:r>
      <w:r w:rsidRPr="00CE1B5B">
        <w:rPr>
          <w:rFonts w:ascii="Tahoma" w:hAnsi="Tahoma" w:cs="Tahoma"/>
          <w:b w:val="0"/>
          <w:sz w:val="18"/>
          <w:szCs w:val="18"/>
        </w:rPr>
        <w:tab/>
        <w:t>účelový znak</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ÚZK</w:t>
      </w:r>
      <w:r w:rsidRPr="00CE1B5B">
        <w:rPr>
          <w:rFonts w:ascii="Tahoma" w:hAnsi="Tahoma" w:cs="Tahoma"/>
          <w:b w:val="0"/>
          <w:sz w:val="18"/>
          <w:szCs w:val="18"/>
        </w:rPr>
        <w:tab/>
        <w:t>územní znalecká komise</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VŠB-TU</w:t>
      </w:r>
      <w:r w:rsidRPr="00CE1B5B">
        <w:rPr>
          <w:rFonts w:ascii="Tahoma" w:hAnsi="Tahoma" w:cs="Tahoma"/>
          <w:b w:val="0"/>
          <w:sz w:val="18"/>
          <w:szCs w:val="18"/>
        </w:rPr>
        <w:tab/>
        <w:t>Vysoká škola báňská – Technická univerzita</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ŽP</w:t>
      </w:r>
      <w:r w:rsidRPr="00CE1B5B">
        <w:rPr>
          <w:rFonts w:ascii="Tahoma" w:hAnsi="Tahoma" w:cs="Tahoma"/>
          <w:b w:val="0"/>
          <w:sz w:val="18"/>
          <w:szCs w:val="18"/>
        </w:rPr>
        <w:tab/>
        <w:t>životní prostředí</w:t>
      </w:r>
    </w:p>
    <w:p w:rsidR="00014B18" w:rsidRPr="00CE1B5B" w:rsidRDefault="00014B18" w:rsidP="003C43D7">
      <w:pPr>
        <w:pStyle w:val="xl33"/>
        <w:tabs>
          <w:tab w:val="left" w:pos="2340"/>
        </w:tabs>
        <w:spacing w:before="0" w:beforeAutospacing="0" w:after="0" w:afterAutospacing="0"/>
        <w:ind w:left="360"/>
        <w:textAlignment w:val="auto"/>
        <w:rPr>
          <w:rFonts w:ascii="Tahoma" w:hAnsi="Tahoma" w:cs="Tahoma"/>
          <w:b w:val="0"/>
          <w:sz w:val="18"/>
          <w:szCs w:val="18"/>
        </w:rPr>
      </w:pPr>
      <w:r w:rsidRPr="00CE1B5B">
        <w:rPr>
          <w:rFonts w:ascii="Tahoma" w:hAnsi="Tahoma" w:cs="Tahoma"/>
          <w:b w:val="0"/>
          <w:sz w:val="18"/>
          <w:szCs w:val="18"/>
        </w:rPr>
        <w:t>ŽPZ</w:t>
      </w:r>
      <w:r w:rsidRPr="00CE1B5B">
        <w:rPr>
          <w:rFonts w:ascii="Tahoma" w:hAnsi="Tahoma" w:cs="Tahoma"/>
          <w:b w:val="0"/>
          <w:sz w:val="18"/>
          <w:szCs w:val="18"/>
        </w:rPr>
        <w:tab/>
        <w:t>životní prostředí a zemědělství</w:t>
      </w:r>
    </w:p>
    <w:sectPr w:rsidR="00014B18" w:rsidRPr="00CE1B5B" w:rsidSect="00F27FC4">
      <w:footerReference w:type="default" r:id="rId119"/>
      <w:headerReference w:type="first" r:id="rId120"/>
      <w:footerReference w:type="first" r:id="rId121"/>
      <w:pgSz w:w="11906" w:h="16838" w:code="9"/>
      <w:pgMar w:top="1021" w:right="1469" w:bottom="1021" w:left="1259" w:header="454"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686" w:rsidRDefault="00E36686">
      <w:r>
        <w:separator/>
      </w:r>
    </w:p>
  </w:endnote>
  <w:endnote w:type="continuationSeparator" w:id="0">
    <w:p w:rsidR="00E36686" w:rsidRDefault="00E36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640061"/>
      <w:docPartObj>
        <w:docPartGallery w:val="Page Numbers (Bottom of Page)"/>
        <w:docPartUnique/>
      </w:docPartObj>
    </w:sdtPr>
    <w:sdtEndPr>
      <w:rPr>
        <w:rFonts w:ascii="Tahoma" w:hAnsi="Tahoma" w:cs="Tahoma"/>
        <w:sz w:val="20"/>
        <w:szCs w:val="20"/>
      </w:rPr>
    </w:sdtEndPr>
    <w:sdtContent>
      <w:p w:rsidR="00D81BAF" w:rsidRPr="00F27FC4" w:rsidRDefault="00D81BAF">
        <w:pPr>
          <w:pStyle w:val="Zpat"/>
          <w:jc w:val="center"/>
          <w:rPr>
            <w:rFonts w:ascii="Tahoma" w:hAnsi="Tahoma" w:cs="Tahoma"/>
            <w:sz w:val="20"/>
            <w:szCs w:val="20"/>
          </w:rPr>
        </w:pPr>
        <w:r w:rsidRPr="00F27FC4">
          <w:rPr>
            <w:rFonts w:ascii="Tahoma" w:hAnsi="Tahoma" w:cs="Tahoma"/>
            <w:sz w:val="20"/>
            <w:szCs w:val="20"/>
          </w:rPr>
          <w:fldChar w:fldCharType="begin"/>
        </w:r>
        <w:r w:rsidRPr="00F27FC4">
          <w:rPr>
            <w:rFonts w:ascii="Tahoma" w:hAnsi="Tahoma" w:cs="Tahoma"/>
            <w:sz w:val="20"/>
            <w:szCs w:val="20"/>
          </w:rPr>
          <w:instrText>PAGE   \* MERGEFORMAT</w:instrText>
        </w:r>
        <w:r w:rsidRPr="00F27FC4">
          <w:rPr>
            <w:rFonts w:ascii="Tahoma" w:hAnsi="Tahoma" w:cs="Tahoma"/>
            <w:sz w:val="20"/>
            <w:szCs w:val="20"/>
          </w:rPr>
          <w:fldChar w:fldCharType="separate"/>
        </w:r>
        <w:r w:rsidR="00AE693F">
          <w:rPr>
            <w:rFonts w:ascii="Tahoma" w:hAnsi="Tahoma" w:cs="Tahoma"/>
            <w:noProof/>
            <w:sz w:val="20"/>
            <w:szCs w:val="20"/>
          </w:rPr>
          <w:t>39</w:t>
        </w:r>
        <w:r w:rsidRPr="00F27FC4">
          <w:rPr>
            <w:rFonts w:ascii="Tahoma" w:hAnsi="Tahoma" w:cs="Tahoma"/>
            <w:sz w:val="20"/>
            <w:szCs w:val="20"/>
          </w:rPr>
          <w:fldChar w:fldCharType="end"/>
        </w:r>
      </w:p>
    </w:sdtContent>
  </w:sdt>
  <w:p w:rsidR="00D81BAF" w:rsidRDefault="00D81BAF">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2443845"/>
      <w:docPartObj>
        <w:docPartGallery w:val="Page Numbers (Bottom of Page)"/>
        <w:docPartUnique/>
      </w:docPartObj>
    </w:sdtPr>
    <w:sdtEndPr>
      <w:rPr>
        <w:rFonts w:ascii="Tahoma" w:hAnsi="Tahoma" w:cs="Tahoma"/>
        <w:sz w:val="20"/>
        <w:szCs w:val="20"/>
      </w:rPr>
    </w:sdtEndPr>
    <w:sdtContent>
      <w:p w:rsidR="00D81BAF" w:rsidRPr="00120D12" w:rsidRDefault="00D81BAF">
        <w:pPr>
          <w:pStyle w:val="Zpat"/>
          <w:jc w:val="center"/>
          <w:rPr>
            <w:rFonts w:ascii="Tahoma" w:hAnsi="Tahoma" w:cs="Tahoma"/>
            <w:sz w:val="20"/>
            <w:szCs w:val="20"/>
          </w:rPr>
        </w:pPr>
        <w:r w:rsidRPr="00120D12">
          <w:rPr>
            <w:rFonts w:ascii="Tahoma" w:hAnsi="Tahoma" w:cs="Tahoma"/>
            <w:sz w:val="20"/>
            <w:szCs w:val="20"/>
          </w:rPr>
          <w:fldChar w:fldCharType="begin"/>
        </w:r>
        <w:r w:rsidRPr="00120D12">
          <w:rPr>
            <w:rFonts w:ascii="Tahoma" w:hAnsi="Tahoma" w:cs="Tahoma"/>
            <w:sz w:val="20"/>
            <w:szCs w:val="20"/>
          </w:rPr>
          <w:instrText>PAGE   \* MERGEFORMAT</w:instrText>
        </w:r>
        <w:r w:rsidRPr="00120D12">
          <w:rPr>
            <w:rFonts w:ascii="Tahoma" w:hAnsi="Tahoma" w:cs="Tahoma"/>
            <w:sz w:val="20"/>
            <w:szCs w:val="20"/>
          </w:rPr>
          <w:fldChar w:fldCharType="separate"/>
        </w:r>
        <w:r w:rsidR="00AE693F">
          <w:rPr>
            <w:rFonts w:ascii="Tahoma" w:hAnsi="Tahoma" w:cs="Tahoma"/>
            <w:noProof/>
            <w:sz w:val="20"/>
            <w:szCs w:val="20"/>
          </w:rPr>
          <w:t>1</w:t>
        </w:r>
        <w:r w:rsidRPr="00120D12">
          <w:rPr>
            <w:rFonts w:ascii="Tahoma" w:hAnsi="Tahoma" w:cs="Tahoma"/>
            <w:sz w:val="20"/>
            <w:szCs w:val="20"/>
          </w:rPr>
          <w:fldChar w:fldCharType="end"/>
        </w:r>
      </w:p>
    </w:sdtContent>
  </w:sdt>
  <w:p w:rsidR="00D81BAF" w:rsidRDefault="00D81BAF">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686" w:rsidRDefault="00E36686">
      <w:r>
        <w:separator/>
      </w:r>
    </w:p>
  </w:footnote>
  <w:footnote w:type="continuationSeparator" w:id="0">
    <w:p w:rsidR="00E36686" w:rsidRDefault="00E366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BAF" w:rsidRPr="00B44E00" w:rsidRDefault="00D81BAF" w:rsidP="00A83505">
    <w:pPr>
      <w:pStyle w:val="Zhlav"/>
      <w:rPr>
        <w:rFonts w:ascii="Tahoma" w:hAnsi="Tahoma" w:cs="Tahoma"/>
        <w:sz w:val="20"/>
        <w:szCs w:val="20"/>
      </w:rPr>
    </w:pPr>
    <w:r w:rsidRPr="00B44E00">
      <w:rPr>
        <w:rFonts w:ascii="Tahoma" w:hAnsi="Tahoma" w:cs="Tahoma"/>
        <w:sz w:val="20"/>
        <w:szCs w:val="20"/>
      </w:rPr>
      <w:t xml:space="preserve">Příloha č. 2 k materiálu č. </w:t>
    </w:r>
    <w:r>
      <w:rPr>
        <w:rFonts w:ascii="Tahoma" w:hAnsi="Tahoma" w:cs="Tahoma"/>
        <w:sz w:val="20"/>
        <w:szCs w:val="20"/>
      </w:rPr>
      <w:t>4/</w:t>
    </w:r>
    <w:r w:rsidR="0001610A">
      <w:rPr>
        <w:rFonts w:ascii="Tahoma" w:hAnsi="Tahoma" w:cs="Tahoma"/>
        <w:sz w:val="20"/>
        <w:szCs w:val="20"/>
      </w:rPr>
      <w:t>2</w:t>
    </w:r>
  </w:p>
  <w:p w:rsidR="00D81BAF" w:rsidRPr="00B44E00" w:rsidRDefault="00D81BAF" w:rsidP="00A83505">
    <w:pPr>
      <w:pStyle w:val="Zhlav"/>
      <w:rPr>
        <w:rFonts w:ascii="Tahoma" w:hAnsi="Tahoma" w:cs="Tahoma"/>
        <w:sz w:val="20"/>
        <w:szCs w:val="20"/>
      </w:rPr>
    </w:pPr>
    <w:r>
      <w:rPr>
        <w:rFonts w:ascii="Tahoma" w:hAnsi="Tahoma" w:cs="Tahoma"/>
        <w:sz w:val="20"/>
        <w:szCs w:val="20"/>
      </w:rPr>
      <w:t>Počet stran přílohy: 39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1">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2">
    <w:nsid w:val="097B638F"/>
    <w:multiLevelType w:val="hybridMultilevel"/>
    <w:tmpl w:val="022A7A3E"/>
    <w:lvl w:ilvl="0" w:tplc="9FD43596">
      <w:start w:val="2"/>
      <w:numFmt w:val="decimal"/>
      <w:lvlText w:val="%1"/>
      <w:lvlJc w:val="left"/>
      <w:pPr>
        <w:tabs>
          <w:tab w:val="num" w:pos="1065"/>
        </w:tabs>
        <w:ind w:left="1065" w:hanging="705"/>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
    <w:nsid w:val="129A53F3"/>
    <w:multiLevelType w:val="hybridMultilevel"/>
    <w:tmpl w:val="C3423BA6"/>
    <w:lvl w:ilvl="0" w:tplc="0405000F">
      <w:start w:val="1"/>
      <w:numFmt w:val="decimal"/>
      <w:lvlText w:val="%1."/>
      <w:lvlJc w:val="left"/>
      <w:pPr>
        <w:tabs>
          <w:tab w:val="num" w:pos="720"/>
        </w:tabs>
        <w:ind w:left="720"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nsid w:val="1AEA3965"/>
    <w:multiLevelType w:val="hybridMultilevel"/>
    <w:tmpl w:val="438A69C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D4E0293"/>
    <w:multiLevelType w:val="hybridMultilevel"/>
    <w:tmpl w:val="E208D0EE"/>
    <w:lvl w:ilvl="0" w:tplc="AEA68CF4">
      <w:start w:val="2"/>
      <w:numFmt w:val="decimal"/>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nsid w:val="1EBD6913"/>
    <w:multiLevelType w:val="hybridMultilevel"/>
    <w:tmpl w:val="AA7A9B1C"/>
    <w:lvl w:ilvl="0" w:tplc="8CA8965E">
      <w:start w:val="1"/>
      <w:numFmt w:val="bullet"/>
      <w:lvlText w:val=""/>
      <w:lvlJc w:val="left"/>
      <w:pPr>
        <w:tabs>
          <w:tab w:val="num" w:pos="360"/>
        </w:tabs>
        <w:ind w:left="360" w:hanging="360"/>
      </w:pPr>
      <w:rPr>
        <w:rFonts w:ascii="Wingdings" w:hAnsi="Wingdings" w:hint="default"/>
        <w:sz w:val="20"/>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
    <w:nsid w:val="24197E88"/>
    <w:multiLevelType w:val="hybridMultilevel"/>
    <w:tmpl w:val="12B63B82"/>
    <w:lvl w:ilvl="0" w:tplc="684C81DE">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248963F3"/>
    <w:multiLevelType w:val="hybridMultilevel"/>
    <w:tmpl w:val="EB5EF1D4"/>
    <w:lvl w:ilvl="0" w:tplc="49E89D80">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27CF786F"/>
    <w:multiLevelType w:val="multilevel"/>
    <w:tmpl w:val="A5FA008A"/>
    <w:lvl w:ilvl="0">
      <w:start w:val="1"/>
      <w:numFmt w:val="decimal"/>
      <w:lvlText w:val="%1"/>
      <w:lvlJc w:val="left"/>
      <w:pPr>
        <w:tabs>
          <w:tab w:val="num" w:pos="624"/>
        </w:tabs>
        <w:ind w:left="624" w:hanging="624"/>
      </w:pPr>
      <w:rPr>
        <w:rFonts w:ascii="Times New Roman" w:hAnsi="Times New Roman" w:cs="Times New Roman" w:hint="default"/>
        <w:b/>
        <w:i w:val="0"/>
        <w:sz w:val="32"/>
      </w:rPr>
    </w:lvl>
    <w:lvl w:ilvl="1">
      <w:start w:val="1"/>
      <w:numFmt w:val="decimal"/>
      <w:suff w:val="space"/>
      <w:lvlText w:val="Tabulka %1.%2:"/>
      <w:lvlJc w:val="left"/>
      <w:rPr>
        <w:rFonts w:ascii="Tahoma" w:hAnsi="Tahoma" w:cs="Times New Roman" w:hint="default"/>
        <w:b w:val="0"/>
        <w:i w:val="0"/>
        <w:sz w:val="20"/>
        <w:szCs w:val="20"/>
      </w:rPr>
    </w:lvl>
    <w:lvl w:ilvl="2">
      <w:start w:val="1"/>
      <w:numFmt w:val="decimal"/>
      <w:lvlText w:val="%1.%2.%3"/>
      <w:lvlJc w:val="left"/>
      <w:pPr>
        <w:tabs>
          <w:tab w:val="num" w:pos="1080"/>
        </w:tabs>
        <w:ind w:left="624" w:hanging="624"/>
      </w:pPr>
      <w:rPr>
        <w:rFonts w:ascii="Times New Roman" w:hAnsi="Times New Roman" w:cs="Times New Roman" w:hint="default"/>
        <w:b/>
        <w:i w:val="0"/>
        <w:sz w:val="24"/>
      </w:rPr>
    </w:lvl>
    <w:lvl w:ilvl="3">
      <w:start w:val="1"/>
      <w:numFmt w:val="decimal"/>
      <w:lvlText w:val="%1.%2.%3.%4"/>
      <w:lvlJc w:val="left"/>
      <w:pPr>
        <w:tabs>
          <w:tab w:val="num" w:pos="1080"/>
        </w:tabs>
        <w:ind w:left="227" w:hanging="227"/>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10">
    <w:nsid w:val="29097D50"/>
    <w:multiLevelType w:val="hybridMultilevel"/>
    <w:tmpl w:val="2774153A"/>
    <w:lvl w:ilvl="0" w:tplc="F23ED140">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2C742526"/>
    <w:multiLevelType w:val="hybridMultilevel"/>
    <w:tmpl w:val="C6261446"/>
    <w:lvl w:ilvl="0" w:tplc="684C81DE">
      <w:numFmt w:val="bullet"/>
      <w:lvlText w:val="-"/>
      <w:lvlJc w:val="left"/>
      <w:pPr>
        <w:tabs>
          <w:tab w:val="num" w:pos="795"/>
        </w:tabs>
        <w:ind w:left="795" w:hanging="360"/>
      </w:pPr>
      <w:rPr>
        <w:rFonts w:ascii="Times New Roman" w:eastAsia="Times New Roman" w:hAnsi="Times New Roman" w:hint="default"/>
      </w:rPr>
    </w:lvl>
    <w:lvl w:ilvl="1" w:tplc="04050003" w:tentative="1">
      <w:start w:val="1"/>
      <w:numFmt w:val="bullet"/>
      <w:lvlText w:val="o"/>
      <w:lvlJc w:val="left"/>
      <w:pPr>
        <w:tabs>
          <w:tab w:val="num" w:pos="1515"/>
        </w:tabs>
        <w:ind w:left="1515" w:hanging="360"/>
      </w:pPr>
      <w:rPr>
        <w:rFonts w:ascii="Courier New" w:hAnsi="Courier New" w:hint="default"/>
      </w:rPr>
    </w:lvl>
    <w:lvl w:ilvl="2" w:tplc="04050005" w:tentative="1">
      <w:start w:val="1"/>
      <w:numFmt w:val="bullet"/>
      <w:lvlText w:val=""/>
      <w:lvlJc w:val="left"/>
      <w:pPr>
        <w:tabs>
          <w:tab w:val="num" w:pos="2235"/>
        </w:tabs>
        <w:ind w:left="2235" w:hanging="360"/>
      </w:pPr>
      <w:rPr>
        <w:rFonts w:ascii="Wingdings" w:hAnsi="Wingdings" w:hint="default"/>
      </w:rPr>
    </w:lvl>
    <w:lvl w:ilvl="3" w:tplc="04050001" w:tentative="1">
      <w:start w:val="1"/>
      <w:numFmt w:val="bullet"/>
      <w:lvlText w:val=""/>
      <w:lvlJc w:val="left"/>
      <w:pPr>
        <w:tabs>
          <w:tab w:val="num" w:pos="2955"/>
        </w:tabs>
        <w:ind w:left="2955" w:hanging="360"/>
      </w:pPr>
      <w:rPr>
        <w:rFonts w:ascii="Symbol" w:hAnsi="Symbol" w:hint="default"/>
      </w:rPr>
    </w:lvl>
    <w:lvl w:ilvl="4" w:tplc="04050003" w:tentative="1">
      <w:start w:val="1"/>
      <w:numFmt w:val="bullet"/>
      <w:lvlText w:val="o"/>
      <w:lvlJc w:val="left"/>
      <w:pPr>
        <w:tabs>
          <w:tab w:val="num" w:pos="3675"/>
        </w:tabs>
        <w:ind w:left="3675" w:hanging="360"/>
      </w:pPr>
      <w:rPr>
        <w:rFonts w:ascii="Courier New" w:hAnsi="Courier New" w:hint="default"/>
      </w:rPr>
    </w:lvl>
    <w:lvl w:ilvl="5" w:tplc="04050005" w:tentative="1">
      <w:start w:val="1"/>
      <w:numFmt w:val="bullet"/>
      <w:lvlText w:val=""/>
      <w:lvlJc w:val="left"/>
      <w:pPr>
        <w:tabs>
          <w:tab w:val="num" w:pos="4395"/>
        </w:tabs>
        <w:ind w:left="4395" w:hanging="360"/>
      </w:pPr>
      <w:rPr>
        <w:rFonts w:ascii="Wingdings" w:hAnsi="Wingdings" w:hint="default"/>
      </w:rPr>
    </w:lvl>
    <w:lvl w:ilvl="6" w:tplc="04050001" w:tentative="1">
      <w:start w:val="1"/>
      <w:numFmt w:val="bullet"/>
      <w:lvlText w:val=""/>
      <w:lvlJc w:val="left"/>
      <w:pPr>
        <w:tabs>
          <w:tab w:val="num" w:pos="5115"/>
        </w:tabs>
        <w:ind w:left="5115" w:hanging="360"/>
      </w:pPr>
      <w:rPr>
        <w:rFonts w:ascii="Symbol" w:hAnsi="Symbol" w:hint="default"/>
      </w:rPr>
    </w:lvl>
    <w:lvl w:ilvl="7" w:tplc="04050003" w:tentative="1">
      <w:start w:val="1"/>
      <w:numFmt w:val="bullet"/>
      <w:lvlText w:val="o"/>
      <w:lvlJc w:val="left"/>
      <w:pPr>
        <w:tabs>
          <w:tab w:val="num" w:pos="5835"/>
        </w:tabs>
        <w:ind w:left="5835" w:hanging="360"/>
      </w:pPr>
      <w:rPr>
        <w:rFonts w:ascii="Courier New" w:hAnsi="Courier New" w:hint="default"/>
      </w:rPr>
    </w:lvl>
    <w:lvl w:ilvl="8" w:tplc="04050005" w:tentative="1">
      <w:start w:val="1"/>
      <w:numFmt w:val="bullet"/>
      <w:lvlText w:val=""/>
      <w:lvlJc w:val="left"/>
      <w:pPr>
        <w:tabs>
          <w:tab w:val="num" w:pos="6555"/>
        </w:tabs>
        <w:ind w:left="6555" w:hanging="360"/>
      </w:pPr>
      <w:rPr>
        <w:rFonts w:ascii="Wingdings" w:hAnsi="Wingdings" w:hint="default"/>
      </w:rPr>
    </w:lvl>
  </w:abstractNum>
  <w:abstractNum w:abstractNumId="12">
    <w:nsid w:val="2FDE2646"/>
    <w:multiLevelType w:val="hybridMultilevel"/>
    <w:tmpl w:val="0338DDA2"/>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3">
    <w:nsid w:val="31861F8E"/>
    <w:multiLevelType w:val="hybridMultilevel"/>
    <w:tmpl w:val="08C84902"/>
    <w:lvl w:ilvl="0" w:tplc="F0743900">
      <w:start w:val="2"/>
      <w:numFmt w:val="decimal"/>
      <w:lvlText w:val="%1"/>
      <w:lvlJc w:val="left"/>
      <w:pPr>
        <w:tabs>
          <w:tab w:val="num" w:pos="1065"/>
        </w:tabs>
        <w:ind w:left="1065" w:hanging="705"/>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nsid w:val="34CF37BA"/>
    <w:multiLevelType w:val="hybridMultilevel"/>
    <w:tmpl w:val="3496DB4A"/>
    <w:lvl w:ilvl="0" w:tplc="684C81DE">
      <w:numFmt w:val="bullet"/>
      <w:lvlText w:val="-"/>
      <w:lvlJc w:val="left"/>
      <w:pPr>
        <w:tabs>
          <w:tab w:val="num" w:pos="720"/>
        </w:tabs>
        <w:ind w:left="720" w:hanging="360"/>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6">
    <w:nsid w:val="3CC512FB"/>
    <w:multiLevelType w:val="hybridMultilevel"/>
    <w:tmpl w:val="36BC5810"/>
    <w:lvl w:ilvl="0" w:tplc="E098D72C">
      <w:start w:val="1"/>
      <w:numFmt w:val="decimal"/>
      <w:lvlText w:val="%1"/>
      <w:lvlJc w:val="left"/>
      <w:pPr>
        <w:tabs>
          <w:tab w:val="num" w:pos="1065"/>
        </w:tabs>
        <w:ind w:left="1065" w:hanging="705"/>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3F236290"/>
    <w:multiLevelType w:val="hybridMultilevel"/>
    <w:tmpl w:val="DB1C6AA4"/>
    <w:lvl w:ilvl="0" w:tplc="684C81DE">
      <w:numFmt w:val="bullet"/>
      <w:lvlText w:val="-"/>
      <w:lvlJc w:val="left"/>
      <w:pPr>
        <w:tabs>
          <w:tab w:val="num" w:pos="795"/>
        </w:tabs>
        <w:ind w:left="795" w:hanging="360"/>
      </w:pPr>
      <w:rPr>
        <w:rFonts w:ascii="Times New Roman" w:eastAsia="Times New Roman" w:hAnsi="Times New Roman" w:hint="default"/>
      </w:rPr>
    </w:lvl>
    <w:lvl w:ilvl="1" w:tplc="04050003" w:tentative="1">
      <w:start w:val="1"/>
      <w:numFmt w:val="bullet"/>
      <w:lvlText w:val="o"/>
      <w:lvlJc w:val="left"/>
      <w:pPr>
        <w:tabs>
          <w:tab w:val="num" w:pos="1515"/>
        </w:tabs>
        <w:ind w:left="1515" w:hanging="360"/>
      </w:pPr>
      <w:rPr>
        <w:rFonts w:ascii="Courier New" w:hAnsi="Courier New" w:hint="default"/>
      </w:rPr>
    </w:lvl>
    <w:lvl w:ilvl="2" w:tplc="04050005" w:tentative="1">
      <w:start w:val="1"/>
      <w:numFmt w:val="bullet"/>
      <w:lvlText w:val=""/>
      <w:lvlJc w:val="left"/>
      <w:pPr>
        <w:tabs>
          <w:tab w:val="num" w:pos="2235"/>
        </w:tabs>
        <w:ind w:left="2235" w:hanging="360"/>
      </w:pPr>
      <w:rPr>
        <w:rFonts w:ascii="Wingdings" w:hAnsi="Wingdings" w:hint="default"/>
      </w:rPr>
    </w:lvl>
    <w:lvl w:ilvl="3" w:tplc="04050001" w:tentative="1">
      <w:start w:val="1"/>
      <w:numFmt w:val="bullet"/>
      <w:lvlText w:val=""/>
      <w:lvlJc w:val="left"/>
      <w:pPr>
        <w:tabs>
          <w:tab w:val="num" w:pos="2955"/>
        </w:tabs>
        <w:ind w:left="2955" w:hanging="360"/>
      </w:pPr>
      <w:rPr>
        <w:rFonts w:ascii="Symbol" w:hAnsi="Symbol" w:hint="default"/>
      </w:rPr>
    </w:lvl>
    <w:lvl w:ilvl="4" w:tplc="04050003" w:tentative="1">
      <w:start w:val="1"/>
      <w:numFmt w:val="bullet"/>
      <w:lvlText w:val="o"/>
      <w:lvlJc w:val="left"/>
      <w:pPr>
        <w:tabs>
          <w:tab w:val="num" w:pos="3675"/>
        </w:tabs>
        <w:ind w:left="3675" w:hanging="360"/>
      </w:pPr>
      <w:rPr>
        <w:rFonts w:ascii="Courier New" w:hAnsi="Courier New" w:hint="default"/>
      </w:rPr>
    </w:lvl>
    <w:lvl w:ilvl="5" w:tplc="04050005" w:tentative="1">
      <w:start w:val="1"/>
      <w:numFmt w:val="bullet"/>
      <w:lvlText w:val=""/>
      <w:lvlJc w:val="left"/>
      <w:pPr>
        <w:tabs>
          <w:tab w:val="num" w:pos="4395"/>
        </w:tabs>
        <w:ind w:left="4395" w:hanging="360"/>
      </w:pPr>
      <w:rPr>
        <w:rFonts w:ascii="Wingdings" w:hAnsi="Wingdings" w:hint="default"/>
      </w:rPr>
    </w:lvl>
    <w:lvl w:ilvl="6" w:tplc="04050001" w:tentative="1">
      <w:start w:val="1"/>
      <w:numFmt w:val="bullet"/>
      <w:lvlText w:val=""/>
      <w:lvlJc w:val="left"/>
      <w:pPr>
        <w:tabs>
          <w:tab w:val="num" w:pos="5115"/>
        </w:tabs>
        <w:ind w:left="5115" w:hanging="360"/>
      </w:pPr>
      <w:rPr>
        <w:rFonts w:ascii="Symbol" w:hAnsi="Symbol" w:hint="default"/>
      </w:rPr>
    </w:lvl>
    <w:lvl w:ilvl="7" w:tplc="04050003" w:tentative="1">
      <w:start w:val="1"/>
      <w:numFmt w:val="bullet"/>
      <w:lvlText w:val="o"/>
      <w:lvlJc w:val="left"/>
      <w:pPr>
        <w:tabs>
          <w:tab w:val="num" w:pos="5835"/>
        </w:tabs>
        <w:ind w:left="5835" w:hanging="360"/>
      </w:pPr>
      <w:rPr>
        <w:rFonts w:ascii="Courier New" w:hAnsi="Courier New" w:hint="default"/>
      </w:rPr>
    </w:lvl>
    <w:lvl w:ilvl="8" w:tplc="04050005" w:tentative="1">
      <w:start w:val="1"/>
      <w:numFmt w:val="bullet"/>
      <w:lvlText w:val=""/>
      <w:lvlJc w:val="left"/>
      <w:pPr>
        <w:tabs>
          <w:tab w:val="num" w:pos="6555"/>
        </w:tabs>
        <w:ind w:left="6555" w:hanging="360"/>
      </w:pPr>
      <w:rPr>
        <w:rFonts w:ascii="Wingdings" w:hAnsi="Wingdings" w:hint="default"/>
      </w:rPr>
    </w:lvl>
  </w:abstractNum>
  <w:abstractNum w:abstractNumId="18">
    <w:nsid w:val="400828FF"/>
    <w:multiLevelType w:val="hybridMultilevel"/>
    <w:tmpl w:val="F02EAD0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47500E28"/>
    <w:multiLevelType w:val="hybridMultilevel"/>
    <w:tmpl w:val="B9101298"/>
    <w:lvl w:ilvl="0" w:tplc="FD7E8D6A">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48FE6E05"/>
    <w:multiLevelType w:val="hybridMultilevel"/>
    <w:tmpl w:val="F24856CE"/>
    <w:lvl w:ilvl="0" w:tplc="8DEC15F0">
      <w:numFmt w:val="bullet"/>
      <w:lvlText w:val="-"/>
      <w:lvlJc w:val="left"/>
      <w:pPr>
        <w:tabs>
          <w:tab w:val="num" w:pos="720"/>
        </w:tabs>
        <w:ind w:left="720" w:hanging="360"/>
      </w:pPr>
      <w:rPr>
        <w:rFonts w:ascii="Tahoma" w:eastAsia="Times New Roman" w:hAnsi="Tahoma" w:hint="default"/>
        <w:color w:val="0000FF"/>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nsid w:val="4BBE7DA2"/>
    <w:multiLevelType w:val="hybridMultilevel"/>
    <w:tmpl w:val="BD5E6E0A"/>
    <w:lvl w:ilvl="0" w:tplc="D6A4130A">
      <w:start w:val="1"/>
      <w:numFmt w:val="bullet"/>
      <w:lvlText w:val="-"/>
      <w:lvlJc w:val="left"/>
      <w:pPr>
        <w:tabs>
          <w:tab w:val="num" w:pos="720"/>
        </w:tabs>
        <w:ind w:left="720" w:hanging="360"/>
      </w:pPr>
      <w:rPr>
        <w:rFonts w:ascii="Tahoma" w:eastAsia="Times New Roman" w:hAnsi="Tahoma"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4BFF2E3E"/>
    <w:multiLevelType w:val="hybridMultilevel"/>
    <w:tmpl w:val="9C526BA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4E9F6D68"/>
    <w:multiLevelType w:val="hybridMultilevel"/>
    <w:tmpl w:val="F4D2C624"/>
    <w:lvl w:ilvl="0" w:tplc="8CA8965E">
      <w:start w:val="1"/>
      <w:numFmt w:val="bullet"/>
      <w:lvlText w:val=""/>
      <w:lvlJc w:val="left"/>
      <w:pPr>
        <w:tabs>
          <w:tab w:val="num" w:pos="720"/>
        </w:tabs>
        <w:ind w:left="720" w:hanging="360"/>
      </w:pPr>
      <w:rPr>
        <w:rFonts w:ascii="Wingdings" w:hAnsi="Wingdings" w:hint="default"/>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509E155E"/>
    <w:multiLevelType w:val="hybridMultilevel"/>
    <w:tmpl w:val="E0FCBFD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28C11D5"/>
    <w:multiLevelType w:val="hybridMultilevel"/>
    <w:tmpl w:val="783E4C50"/>
    <w:lvl w:ilvl="0" w:tplc="3816FAF6">
      <w:start w:val="123"/>
      <w:numFmt w:val="bullet"/>
      <w:lvlText w:val="-"/>
      <w:lvlJc w:val="left"/>
      <w:pPr>
        <w:tabs>
          <w:tab w:val="num" w:pos="1065"/>
        </w:tabs>
        <w:ind w:left="1065" w:hanging="705"/>
      </w:pPr>
      <w:rPr>
        <w:rFonts w:ascii="Times New Roman" w:eastAsia="Times New Roman" w:hAnsi="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nsid w:val="562F0B10"/>
    <w:multiLevelType w:val="hybridMultilevel"/>
    <w:tmpl w:val="7F8A7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
    <w:nsid w:val="5DDF7EF0"/>
    <w:multiLevelType w:val="hybridMultilevel"/>
    <w:tmpl w:val="12349D7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nsid w:val="625115F2"/>
    <w:multiLevelType w:val="hybridMultilevel"/>
    <w:tmpl w:val="278EC2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3643AFC"/>
    <w:multiLevelType w:val="hybridMultilevel"/>
    <w:tmpl w:val="0CC433CA"/>
    <w:lvl w:ilvl="0" w:tplc="29ECA966">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63700293"/>
    <w:multiLevelType w:val="multilevel"/>
    <w:tmpl w:val="04A803E6"/>
    <w:lvl w:ilvl="0">
      <w:start w:val="1"/>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1">
    <w:nsid w:val="69372971"/>
    <w:multiLevelType w:val="hybridMultilevel"/>
    <w:tmpl w:val="22A693D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71D24FCD"/>
    <w:multiLevelType w:val="multilevel"/>
    <w:tmpl w:val="40D0C6F4"/>
    <w:lvl w:ilvl="0">
      <w:start w:val="1"/>
      <w:numFmt w:val="decimal"/>
      <w:lvlText w:val="%1"/>
      <w:lvlJc w:val="left"/>
      <w:pPr>
        <w:tabs>
          <w:tab w:val="num" w:pos="624"/>
        </w:tabs>
        <w:ind w:left="624" w:hanging="624"/>
      </w:pPr>
      <w:rPr>
        <w:rFonts w:ascii="Tahoma" w:hAnsi="Tahoma" w:cs="Tahoma" w:hint="default"/>
        <w:b/>
        <w:i w:val="0"/>
        <w:sz w:val="24"/>
        <w:szCs w:val="24"/>
      </w:rPr>
    </w:lvl>
    <w:lvl w:ilvl="1">
      <w:start w:val="1"/>
      <w:numFmt w:val="decimal"/>
      <w:lvlText w:val="%1.%2"/>
      <w:lvlJc w:val="left"/>
      <w:pPr>
        <w:tabs>
          <w:tab w:val="num" w:pos="624"/>
        </w:tabs>
        <w:ind w:left="624" w:hanging="624"/>
      </w:pPr>
      <w:rPr>
        <w:rFonts w:ascii="Tahoma" w:hAnsi="Tahoma" w:cs="Tahoma" w:hint="default"/>
        <w:b/>
        <w:i w:val="0"/>
        <w:sz w:val="24"/>
        <w:szCs w:val="24"/>
      </w:rPr>
    </w:lvl>
    <w:lvl w:ilvl="2">
      <w:start w:val="1"/>
      <w:numFmt w:val="decimal"/>
      <w:lvlText w:val="%1.%2.%3"/>
      <w:lvlJc w:val="left"/>
      <w:pPr>
        <w:tabs>
          <w:tab w:val="num" w:pos="624"/>
        </w:tabs>
        <w:ind w:left="624" w:hanging="624"/>
      </w:pPr>
      <w:rPr>
        <w:rFonts w:ascii="Times New Roman" w:hAnsi="Times New Roman" w:cs="Times New Roman" w:hint="default"/>
        <w:b/>
        <w:i w:val="0"/>
        <w:sz w:val="24"/>
      </w:rPr>
    </w:lvl>
    <w:lvl w:ilvl="3">
      <w:start w:val="1"/>
      <w:numFmt w:val="decimal"/>
      <w:lvlText w:val="%1.%2.%3.%4"/>
      <w:lvlJc w:val="left"/>
      <w:pPr>
        <w:tabs>
          <w:tab w:val="num" w:pos="1080"/>
        </w:tabs>
        <w:ind w:left="227" w:hanging="227"/>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980"/>
        </w:tabs>
        <w:ind w:left="4980" w:hanging="144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756"/>
        </w:tabs>
        <w:ind w:left="6756" w:hanging="1800"/>
      </w:pPr>
      <w:rPr>
        <w:rFonts w:cs="Times New Roman" w:hint="default"/>
      </w:rPr>
    </w:lvl>
    <w:lvl w:ilvl="8">
      <w:start w:val="1"/>
      <w:numFmt w:val="decimal"/>
      <w:lvlText w:val="%1.%2.%3.%4.%5.%6.%7.%8.%9"/>
      <w:lvlJc w:val="left"/>
      <w:pPr>
        <w:tabs>
          <w:tab w:val="num" w:pos="7824"/>
        </w:tabs>
        <w:ind w:left="7824" w:hanging="2160"/>
      </w:pPr>
      <w:rPr>
        <w:rFonts w:cs="Times New Roman" w:hint="default"/>
      </w:rPr>
    </w:lvl>
  </w:abstractNum>
  <w:abstractNum w:abstractNumId="33">
    <w:nsid w:val="739864E9"/>
    <w:multiLevelType w:val="hybridMultilevel"/>
    <w:tmpl w:val="25D83376"/>
    <w:lvl w:ilvl="0" w:tplc="74066A52">
      <w:start w:val="1"/>
      <w:numFmt w:val="upperRoman"/>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nsid w:val="73C81753"/>
    <w:multiLevelType w:val="hybridMultilevel"/>
    <w:tmpl w:val="5FDCE890"/>
    <w:lvl w:ilvl="0" w:tplc="8CA8965E">
      <w:start w:val="1"/>
      <w:numFmt w:val="bullet"/>
      <w:lvlText w:val=""/>
      <w:lvlJc w:val="left"/>
      <w:pPr>
        <w:tabs>
          <w:tab w:val="num" w:pos="720"/>
        </w:tabs>
        <w:ind w:left="720" w:hanging="360"/>
      </w:pPr>
      <w:rPr>
        <w:rFonts w:ascii="Wingdings" w:hAnsi="Wingdings" w:hint="default"/>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5">
    <w:nsid w:val="7507669C"/>
    <w:multiLevelType w:val="hybridMultilevel"/>
    <w:tmpl w:val="3FECBC7C"/>
    <w:lvl w:ilvl="0" w:tplc="8CA8965E">
      <w:start w:val="1"/>
      <w:numFmt w:val="bullet"/>
      <w:lvlText w:val=""/>
      <w:lvlJc w:val="left"/>
      <w:pPr>
        <w:tabs>
          <w:tab w:val="num" w:pos="720"/>
        </w:tabs>
        <w:ind w:left="720" w:hanging="360"/>
      </w:pPr>
      <w:rPr>
        <w:rFonts w:ascii="Wingdings" w:hAnsi="Wingdings" w:hint="default"/>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6">
    <w:nsid w:val="7A1B3155"/>
    <w:multiLevelType w:val="hybridMultilevel"/>
    <w:tmpl w:val="9AFAE7B4"/>
    <w:lvl w:ilvl="0" w:tplc="8CA8965E">
      <w:start w:val="1"/>
      <w:numFmt w:val="bullet"/>
      <w:lvlText w:val=""/>
      <w:lvlJc w:val="left"/>
      <w:pPr>
        <w:tabs>
          <w:tab w:val="num" w:pos="720"/>
        </w:tabs>
        <w:ind w:left="720" w:hanging="360"/>
      </w:pPr>
      <w:rPr>
        <w:rFonts w:ascii="Wingdings" w:hAnsi="Wingdings" w:hint="default"/>
        <w:sz w:val="20"/>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4"/>
  </w:num>
  <w:num w:numId="4">
    <w:abstractNumId w:val="33"/>
  </w:num>
  <w:num w:numId="5">
    <w:abstractNumId w:val="15"/>
  </w:num>
  <w:num w:numId="6">
    <w:abstractNumId w:val="11"/>
  </w:num>
  <w:num w:numId="7">
    <w:abstractNumId w:val="7"/>
  </w:num>
  <w:num w:numId="8">
    <w:abstractNumId w:val="17"/>
  </w:num>
  <w:num w:numId="9">
    <w:abstractNumId w:val="3"/>
  </w:num>
  <w:num w:numId="10">
    <w:abstractNumId w:val="13"/>
  </w:num>
  <w:num w:numId="11">
    <w:abstractNumId w:val="2"/>
  </w:num>
  <w:num w:numId="12">
    <w:abstractNumId w:val="5"/>
  </w:num>
  <w:num w:numId="13">
    <w:abstractNumId w:val="16"/>
  </w:num>
  <w:num w:numId="14">
    <w:abstractNumId w:val="32"/>
  </w:num>
  <w:num w:numId="15">
    <w:abstractNumId w:val="10"/>
  </w:num>
  <w:num w:numId="16">
    <w:abstractNumId w:val="34"/>
  </w:num>
  <w:num w:numId="17">
    <w:abstractNumId w:val="6"/>
  </w:num>
  <w:num w:numId="18">
    <w:abstractNumId w:val="35"/>
  </w:num>
  <w:num w:numId="19">
    <w:abstractNumId w:val="23"/>
  </w:num>
  <w:num w:numId="20">
    <w:abstractNumId w:val="36"/>
  </w:num>
  <w:num w:numId="21">
    <w:abstractNumId w:val="29"/>
  </w:num>
  <w:num w:numId="22">
    <w:abstractNumId w:val="25"/>
  </w:num>
  <w:num w:numId="23">
    <w:abstractNumId w:val="1"/>
  </w:num>
  <w:num w:numId="24">
    <w:abstractNumId w:val="0"/>
  </w:num>
  <w:num w:numId="25">
    <w:abstractNumId w:val="26"/>
  </w:num>
  <w:num w:numId="26">
    <w:abstractNumId w:val="20"/>
  </w:num>
  <w:num w:numId="27">
    <w:abstractNumId w:val="18"/>
  </w:num>
  <w:num w:numId="28">
    <w:abstractNumId w:val="4"/>
  </w:num>
  <w:num w:numId="29">
    <w:abstractNumId w:val="27"/>
  </w:num>
  <w:num w:numId="30">
    <w:abstractNumId w:val="32"/>
    <w:lvlOverride w:ilvl="0">
      <w:startOverride w:val="3"/>
    </w:lvlOverride>
  </w:num>
  <w:num w:numId="31">
    <w:abstractNumId w:val="32"/>
  </w:num>
  <w:num w:numId="32">
    <w:abstractNumId w:val="32"/>
  </w:num>
  <w:num w:numId="33">
    <w:abstractNumId w:val="32"/>
  </w:num>
  <w:num w:numId="34">
    <w:abstractNumId w:val="32"/>
  </w:num>
  <w:num w:numId="35">
    <w:abstractNumId w:val="32"/>
  </w:num>
  <w:num w:numId="36">
    <w:abstractNumId w:val="8"/>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2"/>
  </w:num>
  <w:num w:numId="42">
    <w:abstractNumId w:val="31"/>
  </w:num>
  <w:num w:numId="43">
    <w:abstractNumId w:val="12"/>
  </w:num>
  <w:num w:numId="4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28"/>
  </w:num>
  <w:num w:numId="47">
    <w:abstractNumId w:val="30"/>
  </w:num>
  <w:num w:numId="48">
    <w:abstractNumId w:val="9"/>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E4F"/>
    <w:rsid w:val="0000019C"/>
    <w:rsid w:val="000002CC"/>
    <w:rsid w:val="000003EA"/>
    <w:rsid w:val="000008F3"/>
    <w:rsid w:val="00000A1E"/>
    <w:rsid w:val="00000AFF"/>
    <w:rsid w:val="00000BBE"/>
    <w:rsid w:val="000010E6"/>
    <w:rsid w:val="000012C5"/>
    <w:rsid w:val="00001548"/>
    <w:rsid w:val="00001830"/>
    <w:rsid w:val="00001C43"/>
    <w:rsid w:val="00002228"/>
    <w:rsid w:val="000024EA"/>
    <w:rsid w:val="00002A8E"/>
    <w:rsid w:val="0000302E"/>
    <w:rsid w:val="00003431"/>
    <w:rsid w:val="000034FD"/>
    <w:rsid w:val="00003903"/>
    <w:rsid w:val="00003C16"/>
    <w:rsid w:val="00003CD7"/>
    <w:rsid w:val="0000454F"/>
    <w:rsid w:val="000046FE"/>
    <w:rsid w:val="000048E0"/>
    <w:rsid w:val="00005061"/>
    <w:rsid w:val="00005880"/>
    <w:rsid w:val="00005E84"/>
    <w:rsid w:val="0000612C"/>
    <w:rsid w:val="0000668B"/>
    <w:rsid w:val="00006BE5"/>
    <w:rsid w:val="00006D1F"/>
    <w:rsid w:val="00006E76"/>
    <w:rsid w:val="00007567"/>
    <w:rsid w:val="000076CF"/>
    <w:rsid w:val="00007C33"/>
    <w:rsid w:val="00007E14"/>
    <w:rsid w:val="00010170"/>
    <w:rsid w:val="000109A3"/>
    <w:rsid w:val="00011549"/>
    <w:rsid w:val="000116CA"/>
    <w:rsid w:val="00011769"/>
    <w:rsid w:val="00011C9A"/>
    <w:rsid w:val="00011CA4"/>
    <w:rsid w:val="000123D1"/>
    <w:rsid w:val="00013197"/>
    <w:rsid w:val="0001319A"/>
    <w:rsid w:val="00013548"/>
    <w:rsid w:val="00013805"/>
    <w:rsid w:val="00013897"/>
    <w:rsid w:val="00013A48"/>
    <w:rsid w:val="00013C3E"/>
    <w:rsid w:val="00013C91"/>
    <w:rsid w:val="00013E4F"/>
    <w:rsid w:val="000141E3"/>
    <w:rsid w:val="00014912"/>
    <w:rsid w:val="00014AAB"/>
    <w:rsid w:val="00014B18"/>
    <w:rsid w:val="00014C04"/>
    <w:rsid w:val="0001563A"/>
    <w:rsid w:val="0001603C"/>
    <w:rsid w:val="0001610A"/>
    <w:rsid w:val="000163E5"/>
    <w:rsid w:val="000163E6"/>
    <w:rsid w:val="0001645B"/>
    <w:rsid w:val="000166A6"/>
    <w:rsid w:val="00016807"/>
    <w:rsid w:val="0001684A"/>
    <w:rsid w:val="000169F3"/>
    <w:rsid w:val="00017006"/>
    <w:rsid w:val="0001744C"/>
    <w:rsid w:val="000175F6"/>
    <w:rsid w:val="00020117"/>
    <w:rsid w:val="000208D8"/>
    <w:rsid w:val="0002099D"/>
    <w:rsid w:val="00020B7E"/>
    <w:rsid w:val="00020D67"/>
    <w:rsid w:val="00020E1C"/>
    <w:rsid w:val="00021020"/>
    <w:rsid w:val="000214EF"/>
    <w:rsid w:val="000217F2"/>
    <w:rsid w:val="00021941"/>
    <w:rsid w:val="000219FD"/>
    <w:rsid w:val="00021E0B"/>
    <w:rsid w:val="00021E6C"/>
    <w:rsid w:val="0002251C"/>
    <w:rsid w:val="00022608"/>
    <w:rsid w:val="0002260B"/>
    <w:rsid w:val="00022F9F"/>
    <w:rsid w:val="000230ED"/>
    <w:rsid w:val="00023354"/>
    <w:rsid w:val="000238EE"/>
    <w:rsid w:val="00023CAE"/>
    <w:rsid w:val="00023DF8"/>
    <w:rsid w:val="0002414C"/>
    <w:rsid w:val="00024483"/>
    <w:rsid w:val="00024987"/>
    <w:rsid w:val="000249A5"/>
    <w:rsid w:val="00024B50"/>
    <w:rsid w:val="00024CAC"/>
    <w:rsid w:val="00024F31"/>
    <w:rsid w:val="0002578C"/>
    <w:rsid w:val="00025C6D"/>
    <w:rsid w:val="00025F38"/>
    <w:rsid w:val="0002656E"/>
    <w:rsid w:val="000265AD"/>
    <w:rsid w:val="000265BE"/>
    <w:rsid w:val="000267BD"/>
    <w:rsid w:val="0002698B"/>
    <w:rsid w:val="00026B50"/>
    <w:rsid w:val="00027099"/>
    <w:rsid w:val="000272DC"/>
    <w:rsid w:val="000272E1"/>
    <w:rsid w:val="000276E7"/>
    <w:rsid w:val="000277A0"/>
    <w:rsid w:val="0003004D"/>
    <w:rsid w:val="00030303"/>
    <w:rsid w:val="000304BB"/>
    <w:rsid w:val="00030512"/>
    <w:rsid w:val="000305D3"/>
    <w:rsid w:val="0003062F"/>
    <w:rsid w:val="00030B69"/>
    <w:rsid w:val="00031569"/>
    <w:rsid w:val="00031891"/>
    <w:rsid w:val="00031B0F"/>
    <w:rsid w:val="00031D32"/>
    <w:rsid w:val="000323B9"/>
    <w:rsid w:val="000337A0"/>
    <w:rsid w:val="00033970"/>
    <w:rsid w:val="00033A5C"/>
    <w:rsid w:val="00033C57"/>
    <w:rsid w:val="0003483C"/>
    <w:rsid w:val="00034C42"/>
    <w:rsid w:val="000359A7"/>
    <w:rsid w:val="00035A3B"/>
    <w:rsid w:val="00035B27"/>
    <w:rsid w:val="00035F1D"/>
    <w:rsid w:val="00036231"/>
    <w:rsid w:val="00036295"/>
    <w:rsid w:val="00036370"/>
    <w:rsid w:val="000365D2"/>
    <w:rsid w:val="00036BDC"/>
    <w:rsid w:val="00036E35"/>
    <w:rsid w:val="00036EC9"/>
    <w:rsid w:val="00037017"/>
    <w:rsid w:val="00037C2C"/>
    <w:rsid w:val="00037D85"/>
    <w:rsid w:val="000402A5"/>
    <w:rsid w:val="00040840"/>
    <w:rsid w:val="00040C5C"/>
    <w:rsid w:val="00041EDE"/>
    <w:rsid w:val="00041F26"/>
    <w:rsid w:val="00042229"/>
    <w:rsid w:val="0004294B"/>
    <w:rsid w:val="00042B10"/>
    <w:rsid w:val="00042E0A"/>
    <w:rsid w:val="00042FBC"/>
    <w:rsid w:val="00043CA8"/>
    <w:rsid w:val="00044387"/>
    <w:rsid w:val="00044D18"/>
    <w:rsid w:val="00044EBA"/>
    <w:rsid w:val="00044ED4"/>
    <w:rsid w:val="00044F15"/>
    <w:rsid w:val="0004507B"/>
    <w:rsid w:val="000456BA"/>
    <w:rsid w:val="000457A3"/>
    <w:rsid w:val="00045817"/>
    <w:rsid w:val="00045B63"/>
    <w:rsid w:val="00046338"/>
    <w:rsid w:val="000463CB"/>
    <w:rsid w:val="00046611"/>
    <w:rsid w:val="00046B52"/>
    <w:rsid w:val="00047314"/>
    <w:rsid w:val="00047361"/>
    <w:rsid w:val="00047F89"/>
    <w:rsid w:val="000506FA"/>
    <w:rsid w:val="00050960"/>
    <w:rsid w:val="00050AF7"/>
    <w:rsid w:val="00050C2E"/>
    <w:rsid w:val="00050C7A"/>
    <w:rsid w:val="00050CA0"/>
    <w:rsid w:val="00050E5F"/>
    <w:rsid w:val="00051045"/>
    <w:rsid w:val="000510E6"/>
    <w:rsid w:val="000515FD"/>
    <w:rsid w:val="00051F95"/>
    <w:rsid w:val="000522BE"/>
    <w:rsid w:val="00053371"/>
    <w:rsid w:val="00053556"/>
    <w:rsid w:val="000538C7"/>
    <w:rsid w:val="00053B66"/>
    <w:rsid w:val="00053C30"/>
    <w:rsid w:val="00053DA6"/>
    <w:rsid w:val="00054046"/>
    <w:rsid w:val="000544D0"/>
    <w:rsid w:val="0005456A"/>
    <w:rsid w:val="00055039"/>
    <w:rsid w:val="000555D2"/>
    <w:rsid w:val="000557B0"/>
    <w:rsid w:val="000558BC"/>
    <w:rsid w:val="00055A51"/>
    <w:rsid w:val="00055C49"/>
    <w:rsid w:val="000560ED"/>
    <w:rsid w:val="00056660"/>
    <w:rsid w:val="00056B79"/>
    <w:rsid w:val="00056D6E"/>
    <w:rsid w:val="00056E78"/>
    <w:rsid w:val="00056EB4"/>
    <w:rsid w:val="00057478"/>
    <w:rsid w:val="0005751C"/>
    <w:rsid w:val="00057552"/>
    <w:rsid w:val="000575AC"/>
    <w:rsid w:val="000576E6"/>
    <w:rsid w:val="00057AF8"/>
    <w:rsid w:val="00057B45"/>
    <w:rsid w:val="00057D3A"/>
    <w:rsid w:val="00057E4B"/>
    <w:rsid w:val="0006019F"/>
    <w:rsid w:val="0006035A"/>
    <w:rsid w:val="00060904"/>
    <w:rsid w:val="00061106"/>
    <w:rsid w:val="00061E36"/>
    <w:rsid w:val="000620A5"/>
    <w:rsid w:val="0006244C"/>
    <w:rsid w:val="00062688"/>
    <w:rsid w:val="000628A3"/>
    <w:rsid w:val="00062ED6"/>
    <w:rsid w:val="00063383"/>
    <w:rsid w:val="00063775"/>
    <w:rsid w:val="00063AC0"/>
    <w:rsid w:val="00063E4A"/>
    <w:rsid w:val="00063EAC"/>
    <w:rsid w:val="00063EF0"/>
    <w:rsid w:val="000649DF"/>
    <w:rsid w:val="00064FB3"/>
    <w:rsid w:val="00065576"/>
    <w:rsid w:val="000657AD"/>
    <w:rsid w:val="00066235"/>
    <w:rsid w:val="00066292"/>
    <w:rsid w:val="000663A9"/>
    <w:rsid w:val="000665DC"/>
    <w:rsid w:val="00067138"/>
    <w:rsid w:val="00067289"/>
    <w:rsid w:val="00067460"/>
    <w:rsid w:val="00067E7E"/>
    <w:rsid w:val="00067F0C"/>
    <w:rsid w:val="00067F1B"/>
    <w:rsid w:val="00070009"/>
    <w:rsid w:val="0007007F"/>
    <w:rsid w:val="000704FF"/>
    <w:rsid w:val="0007075C"/>
    <w:rsid w:val="00070864"/>
    <w:rsid w:val="00070880"/>
    <w:rsid w:val="0007098A"/>
    <w:rsid w:val="00070BC6"/>
    <w:rsid w:val="00070CF7"/>
    <w:rsid w:val="00070E88"/>
    <w:rsid w:val="00070F3F"/>
    <w:rsid w:val="00071135"/>
    <w:rsid w:val="00071262"/>
    <w:rsid w:val="00071382"/>
    <w:rsid w:val="00071638"/>
    <w:rsid w:val="000718C4"/>
    <w:rsid w:val="00071F8F"/>
    <w:rsid w:val="00072094"/>
    <w:rsid w:val="0007211A"/>
    <w:rsid w:val="000727C5"/>
    <w:rsid w:val="0007296A"/>
    <w:rsid w:val="00072B1D"/>
    <w:rsid w:val="00073129"/>
    <w:rsid w:val="000734E2"/>
    <w:rsid w:val="00073591"/>
    <w:rsid w:val="00074247"/>
    <w:rsid w:val="00074353"/>
    <w:rsid w:val="00074780"/>
    <w:rsid w:val="000747EC"/>
    <w:rsid w:val="00074935"/>
    <w:rsid w:val="000752F6"/>
    <w:rsid w:val="0007533B"/>
    <w:rsid w:val="000755AC"/>
    <w:rsid w:val="00075600"/>
    <w:rsid w:val="0007577D"/>
    <w:rsid w:val="00075B55"/>
    <w:rsid w:val="00075BA5"/>
    <w:rsid w:val="00075F8B"/>
    <w:rsid w:val="00076461"/>
    <w:rsid w:val="00076FA9"/>
    <w:rsid w:val="00076FB8"/>
    <w:rsid w:val="00076FCF"/>
    <w:rsid w:val="000770F9"/>
    <w:rsid w:val="000774CB"/>
    <w:rsid w:val="00077980"/>
    <w:rsid w:val="00077A0F"/>
    <w:rsid w:val="00077C5E"/>
    <w:rsid w:val="00077D43"/>
    <w:rsid w:val="00077E46"/>
    <w:rsid w:val="00080C9E"/>
    <w:rsid w:val="00081740"/>
    <w:rsid w:val="00081F56"/>
    <w:rsid w:val="0008206E"/>
    <w:rsid w:val="000823C0"/>
    <w:rsid w:val="00082526"/>
    <w:rsid w:val="000825B6"/>
    <w:rsid w:val="000834B9"/>
    <w:rsid w:val="000834CD"/>
    <w:rsid w:val="000838AE"/>
    <w:rsid w:val="00083AA0"/>
    <w:rsid w:val="00083B30"/>
    <w:rsid w:val="00083CDF"/>
    <w:rsid w:val="00083F86"/>
    <w:rsid w:val="0008432C"/>
    <w:rsid w:val="0008444B"/>
    <w:rsid w:val="00084FC9"/>
    <w:rsid w:val="0008559B"/>
    <w:rsid w:val="000856D9"/>
    <w:rsid w:val="000859A5"/>
    <w:rsid w:val="00085B6D"/>
    <w:rsid w:val="00085DD1"/>
    <w:rsid w:val="00085F68"/>
    <w:rsid w:val="0008694E"/>
    <w:rsid w:val="00086D44"/>
    <w:rsid w:val="000873F0"/>
    <w:rsid w:val="000876CC"/>
    <w:rsid w:val="00087CE1"/>
    <w:rsid w:val="00087F38"/>
    <w:rsid w:val="000903A7"/>
    <w:rsid w:val="00090F70"/>
    <w:rsid w:val="0009101A"/>
    <w:rsid w:val="0009173A"/>
    <w:rsid w:val="00091886"/>
    <w:rsid w:val="0009196F"/>
    <w:rsid w:val="000922F7"/>
    <w:rsid w:val="000927EF"/>
    <w:rsid w:val="00092961"/>
    <w:rsid w:val="00092B0B"/>
    <w:rsid w:val="00092D2B"/>
    <w:rsid w:val="000930A7"/>
    <w:rsid w:val="000930B4"/>
    <w:rsid w:val="00093905"/>
    <w:rsid w:val="00093930"/>
    <w:rsid w:val="00093A8F"/>
    <w:rsid w:val="00093C71"/>
    <w:rsid w:val="00093E98"/>
    <w:rsid w:val="0009416D"/>
    <w:rsid w:val="00094503"/>
    <w:rsid w:val="00094DB3"/>
    <w:rsid w:val="00095A08"/>
    <w:rsid w:val="0009621B"/>
    <w:rsid w:val="000966B8"/>
    <w:rsid w:val="000967D1"/>
    <w:rsid w:val="000969C0"/>
    <w:rsid w:val="0009708D"/>
    <w:rsid w:val="00097407"/>
    <w:rsid w:val="000976B8"/>
    <w:rsid w:val="000A0173"/>
    <w:rsid w:val="000A03F6"/>
    <w:rsid w:val="000A05B3"/>
    <w:rsid w:val="000A0CD5"/>
    <w:rsid w:val="000A0DBD"/>
    <w:rsid w:val="000A0F77"/>
    <w:rsid w:val="000A117C"/>
    <w:rsid w:val="000A14A9"/>
    <w:rsid w:val="000A1DCC"/>
    <w:rsid w:val="000A1E09"/>
    <w:rsid w:val="000A1ED6"/>
    <w:rsid w:val="000A229D"/>
    <w:rsid w:val="000A2A4F"/>
    <w:rsid w:val="000A2B46"/>
    <w:rsid w:val="000A3316"/>
    <w:rsid w:val="000A344F"/>
    <w:rsid w:val="000A3772"/>
    <w:rsid w:val="000A38EB"/>
    <w:rsid w:val="000A4293"/>
    <w:rsid w:val="000A4674"/>
    <w:rsid w:val="000A4B31"/>
    <w:rsid w:val="000A4CF5"/>
    <w:rsid w:val="000A535F"/>
    <w:rsid w:val="000A5F64"/>
    <w:rsid w:val="000A6641"/>
    <w:rsid w:val="000A7456"/>
    <w:rsid w:val="000A760D"/>
    <w:rsid w:val="000A762D"/>
    <w:rsid w:val="000A772B"/>
    <w:rsid w:val="000B0560"/>
    <w:rsid w:val="000B071A"/>
    <w:rsid w:val="000B119F"/>
    <w:rsid w:val="000B135A"/>
    <w:rsid w:val="000B13B3"/>
    <w:rsid w:val="000B1707"/>
    <w:rsid w:val="000B1735"/>
    <w:rsid w:val="000B181D"/>
    <w:rsid w:val="000B186B"/>
    <w:rsid w:val="000B1BC4"/>
    <w:rsid w:val="000B1E4D"/>
    <w:rsid w:val="000B25F0"/>
    <w:rsid w:val="000B28A2"/>
    <w:rsid w:val="000B2B0A"/>
    <w:rsid w:val="000B2B47"/>
    <w:rsid w:val="000B319C"/>
    <w:rsid w:val="000B393B"/>
    <w:rsid w:val="000B3B3B"/>
    <w:rsid w:val="000B3D61"/>
    <w:rsid w:val="000B3D6E"/>
    <w:rsid w:val="000B3E1B"/>
    <w:rsid w:val="000B40F6"/>
    <w:rsid w:val="000B4225"/>
    <w:rsid w:val="000B422D"/>
    <w:rsid w:val="000B43D4"/>
    <w:rsid w:val="000B44DA"/>
    <w:rsid w:val="000B464D"/>
    <w:rsid w:val="000B4960"/>
    <w:rsid w:val="000B4BF0"/>
    <w:rsid w:val="000B4CB8"/>
    <w:rsid w:val="000B4D2B"/>
    <w:rsid w:val="000B4DB5"/>
    <w:rsid w:val="000B4DFF"/>
    <w:rsid w:val="000B56C6"/>
    <w:rsid w:val="000B5B3A"/>
    <w:rsid w:val="000B5B87"/>
    <w:rsid w:val="000B5BFE"/>
    <w:rsid w:val="000B607E"/>
    <w:rsid w:val="000B6B43"/>
    <w:rsid w:val="000B6F68"/>
    <w:rsid w:val="000B728F"/>
    <w:rsid w:val="000B7459"/>
    <w:rsid w:val="000B7CB2"/>
    <w:rsid w:val="000C0484"/>
    <w:rsid w:val="000C08D2"/>
    <w:rsid w:val="000C0954"/>
    <w:rsid w:val="000C10A2"/>
    <w:rsid w:val="000C14A6"/>
    <w:rsid w:val="000C15F0"/>
    <w:rsid w:val="000C1828"/>
    <w:rsid w:val="000C1BA1"/>
    <w:rsid w:val="000C1CC7"/>
    <w:rsid w:val="000C205F"/>
    <w:rsid w:val="000C3491"/>
    <w:rsid w:val="000C3543"/>
    <w:rsid w:val="000C3893"/>
    <w:rsid w:val="000C3E79"/>
    <w:rsid w:val="000C3F3E"/>
    <w:rsid w:val="000C4411"/>
    <w:rsid w:val="000C464A"/>
    <w:rsid w:val="000C478B"/>
    <w:rsid w:val="000C48FE"/>
    <w:rsid w:val="000C4CE3"/>
    <w:rsid w:val="000C4E10"/>
    <w:rsid w:val="000C4F66"/>
    <w:rsid w:val="000C5098"/>
    <w:rsid w:val="000C50E4"/>
    <w:rsid w:val="000C5428"/>
    <w:rsid w:val="000C59C9"/>
    <w:rsid w:val="000C5BF2"/>
    <w:rsid w:val="000C5F1F"/>
    <w:rsid w:val="000C5F52"/>
    <w:rsid w:val="000C5F9F"/>
    <w:rsid w:val="000C61BB"/>
    <w:rsid w:val="000C624F"/>
    <w:rsid w:val="000C68B5"/>
    <w:rsid w:val="000C6BCD"/>
    <w:rsid w:val="000C70BD"/>
    <w:rsid w:val="000C7683"/>
    <w:rsid w:val="000C7FCA"/>
    <w:rsid w:val="000D028A"/>
    <w:rsid w:val="000D04B0"/>
    <w:rsid w:val="000D0ADD"/>
    <w:rsid w:val="000D0B85"/>
    <w:rsid w:val="000D115F"/>
    <w:rsid w:val="000D1318"/>
    <w:rsid w:val="000D1589"/>
    <w:rsid w:val="000D192C"/>
    <w:rsid w:val="000D1C5F"/>
    <w:rsid w:val="000D1FE5"/>
    <w:rsid w:val="000D234F"/>
    <w:rsid w:val="000D23F8"/>
    <w:rsid w:val="000D25A7"/>
    <w:rsid w:val="000D2DB1"/>
    <w:rsid w:val="000D2DB7"/>
    <w:rsid w:val="000D2E38"/>
    <w:rsid w:val="000D323A"/>
    <w:rsid w:val="000D330D"/>
    <w:rsid w:val="000D37A5"/>
    <w:rsid w:val="000D37AB"/>
    <w:rsid w:val="000D3883"/>
    <w:rsid w:val="000D3CF1"/>
    <w:rsid w:val="000D3DE4"/>
    <w:rsid w:val="000D40DE"/>
    <w:rsid w:val="000D42C4"/>
    <w:rsid w:val="000D451A"/>
    <w:rsid w:val="000D49FA"/>
    <w:rsid w:val="000D4D0B"/>
    <w:rsid w:val="000D4E15"/>
    <w:rsid w:val="000D4E60"/>
    <w:rsid w:val="000D5A66"/>
    <w:rsid w:val="000D5C65"/>
    <w:rsid w:val="000D5DB4"/>
    <w:rsid w:val="000D654E"/>
    <w:rsid w:val="000D6654"/>
    <w:rsid w:val="000D6A81"/>
    <w:rsid w:val="000D726D"/>
    <w:rsid w:val="000D7731"/>
    <w:rsid w:val="000D77FA"/>
    <w:rsid w:val="000E0063"/>
    <w:rsid w:val="000E04FD"/>
    <w:rsid w:val="000E0652"/>
    <w:rsid w:val="000E0729"/>
    <w:rsid w:val="000E0C50"/>
    <w:rsid w:val="000E1918"/>
    <w:rsid w:val="000E1EB9"/>
    <w:rsid w:val="000E1FF1"/>
    <w:rsid w:val="000E2916"/>
    <w:rsid w:val="000E2D24"/>
    <w:rsid w:val="000E2EA6"/>
    <w:rsid w:val="000E2FA1"/>
    <w:rsid w:val="000E33E8"/>
    <w:rsid w:val="000E3647"/>
    <w:rsid w:val="000E37FB"/>
    <w:rsid w:val="000E3C25"/>
    <w:rsid w:val="000E3C5A"/>
    <w:rsid w:val="000E4250"/>
    <w:rsid w:val="000E42EF"/>
    <w:rsid w:val="000E54A6"/>
    <w:rsid w:val="000E589E"/>
    <w:rsid w:val="000E5AD0"/>
    <w:rsid w:val="000E638C"/>
    <w:rsid w:val="000E6781"/>
    <w:rsid w:val="000E6823"/>
    <w:rsid w:val="000E6A6B"/>
    <w:rsid w:val="000E7344"/>
    <w:rsid w:val="000F02B9"/>
    <w:rsid w:val="000F02E5"/>
    <w:rsid w:val="000F0484"/>
    <w:rsid w:val="000F0F0C"/>
    <w:rsid w:val="000F1154"/>
    <w:rsid w:val="000F1345"/>
    <w:rsid w:val="000F165C"/>
    <w:rsid w:val="000F1737"/>
    <w:rsid w:val="000F1B46"/>
    <w:rsid w:val="000F2704"/>
    <w:rsid w:val="000F2C89"/>
    <w:rsid w:val="000F3301"/>
    <w:rsid w:val="000F33BB"/>
    <w:rsid w:val="000F36C6"/>
    <w:rsid w:val="000F3D6C"/>
    <w:rsid w:val="000F3EF1"/>
    <w:rsid w:val="000F4CB7"/>
    <w:rsid w:val="000F5202"/>
    <w:rsid w:val="000F5848"/>
    <w:rsid w:val="000F594A"/>
    <w:rsid w:val="000F5C99"/>
    <w:rsid w:val="000F630D"/>
    <w:rsid w:val="000F658D"/>
    <w:rsid w:val="000F6D04"/>
    <w:rsid w:val="000F7074"/>
    <w:rsid w:val="000F7A59"/>
    <w:rsid w:val="000F7DA3"/>
    <w:rsid w:val="00100A9C"/>
    <w:rsid w:val="00100E29"/>
    <w:rsid w:val="00100EF7"/>
    <w:rsid w:val="00101293"/>
    <w:rsid w:val="0010171E"/>
    <w:rsid w:val="00101831"/>
    <w:rsid w:val="00101DEF"/>
    <w:rsid w:val="00102499"/>
    <w:rsid w:val="0010271D"/>
    <w:rsid w:val="00102936"/>
    <w:rsid w:val="00102AAF"/>
    <w:rsid w:val="00102F73"/>
    <w:rsid w:val="001032BA"/>
    <w:rsid w:val="00103479"/>
    <w:rsid w:val="00103747"/>
    <w:rsid w:val="00103790"/>
    <w:rsid w:val="00104182"/>
    <w:rsid w:val="0010446C"/>
    <w:rsid w:val="00104754"/>
    <w:rsid w:val="00104967"/>
    <w:rsid w:val="00104B50"/>
    <w:rsid w:val="00104DDD"/>
    <w:rsid w:val="00104FBF"/>
    <w:rsid w:val="00105088"/>
    <w:rsid w:val="0010508F"/>
    <w:rsid w:val="001053DC"/>
    <w:rsid w:val="00105866"/>
    <w:rsid w:val="00106783"/>
    <w:rsid w:val="00106A3F"/>
    <w:rsid w:val="00106B50"/>
    <w:rsid w:val="00106E7F"/>
    <w:rsid w:val="00106F66"/>
    <w:rsid w:val="00107112"/>
    <w:rsid w:val="001073EA"/>
    <w:rsid w:val="00107614"/>
    <w:rsid w:val="00107B30"/>
    <w:rsid w:val="00107E6F"/>
    <w:rsid w:val="0011066C"/>
    <w:rsid w:val="00111057"/>
    <w:rsid w:val="001110BA"/>
    <w:rsid w:val="001115A5"/>
    <w:rsid w:val="00111B7F"/>
    <w:rsid w:val="00112297"/>
    <w:rsid w:val="00112327"/>
    <w:rsid w:val="001127CB"/>
    <w:rsid w:val="00112A26"/>
    <w:rsid w:val="00112A45"/>
    <w:rsid w:val="00112B99"/>
    <w:rsid w:val="00112F56"/>
    <w:rsid w:val="00113575"/>
    <w:rsid w:val="001143E0"/>
    <w:rsid w:val="00114411"/>
    <w:rsid w:val="001147C6"/>
    <w:rsid w:val="00114B56"/>
    <w:rsid w:val="00114BE6"/>
    <w:rsid w:val="00114F45"/>
    <w:rsid w:val="001152C6"/>
    <w:rsid w:val="001157BE"/>
    <w:rsid w:val="00115B02"/>
    <w:rsid w:val="00115D37"/>
    <w:rsid w:val="00116AE9"/>
    <w:rsid w:val="00116D84"/>
    <w:rsid w:val="00117138"/>
    <w:rsid w:val="00117654"/>
    <w:rsid w:val="00117A5B"/>
    <w:rsid w:val="00117B07"/>
    <w:rsid w:val="00117F0E"/>
    <w:rsid w:val="00120106"/>
    <w:rsid w:val="00120AC2"/>
    <w:rsid w:val="00120D12"/>
    <w:rsid w:val="00121AA8"/>
    <w:rsid w:val="00121B7A"/>
    <w:rsid w:val="001222F3"/>
    <w:rsid w:val="0012233E"/>
    <w:rsid w:val="0012248E"/>
    <w:rsid w:val="001225A2"/>
    <w:rsid w:val="001226A2"/>
    <w:rsid w:val="00122C21"/>
    <w:rsid w:val="00122F5A"/>
    <w:rsid w:val="001230D9"/>
    <w:rsid w:val="00123D11"/>
    <w:rsid w:val="00124231"/>
    <w:rsid w:val="0012431C"/>
    <w:rsid w:val="00124510"/>
    <w:rsid w:val="00124F25"/>
    <w:rsid w:val="001250C1"/>
    <w:rsid w:val="00125204"/>
    <w:rsid w:val="00125372"/>
    <w:rsid w:val="001253AB"/>
    <w:rsid w:val="00126A03"/>
    <w:rsid w:val="00126C2F"/>
    <w:rsid w:val="00126CCB"/>
    <w:rsid w:val="00127015"/>
    <w:rsid w:val="00127557"/>
    <w:rsid w:val="0012779A"/>
    <w:rsid w:val="00127B3B"/>
    <w:rsid w:val="00127D24"/>
    <w:rsid w:val="001308A2"/>
    <w:rsid w:val="001308FA"/>
    <w:rsid w:val="0013123C"/>
    <w:rsid w:val="00131619"/>
    <w:rsid w:val="0013260D"/>
    <w:rsid w:val="00133788"/>
    <w:rsid w:val="001337C2"/>
    <w:rsid w:val="001338DB"/>
    <w:rsid w:val="00133CFA"/>
    <w:rsid w:val="00133E26"/>
    <w:rsid w:val="001343D6"/>
    <w:rsid w:val="00134650"/>
    <w:rsid w:val="00134CDA"/>
    <w:rsid w:val="00135243"/>
    <w:rsid w:val="0013537F"/>
    <w:rsid w:val="00135418"/>
    <w:rsid w:val="00136239"/>
    <w:rsid w:val="001362A8"/>
    <w:rsid w:val="001365D2"/>
    <w:rsid w:val="00136A4F"/>
    <w:rsid w:val="001372AB"/>
    <w:rsid w:val="001373EF"/>
    <w:rsid w:val="00137881"/>
    <w:rsid w:val="001378C8"/>
    <w:rsid w:val="00137DB9"/>
    <w:rsid w:val="001400E5"/>
    <w:rsid w:val="00140A64"/>
    <w:rsid w:val="00140EA6"/>
    <w:rsid w:val="0014114D"/>
    <w:rsid w:val="001412B4"/>
    <w:rsid w:val="00141300"/>
    <w:rsid w:val="001419B1"/>
    <w:rsid w:val="00141CA7"/>
    <w:rsid w:val="00141D4D"/>
    <w:rsid w:val="00142169"/>
    <w:rsid w:val="001421C2"/>
    <w:rsid w:val="001424EE"/>
    <w:rsid w:val="00142B5E"/>
    <w:rsid w:val="00142DB3"/>
    <w:rsid w:val="00142E2D"/>
    <w:rsid w:val="00143951"/>
    <w:rsid w:val="0014398E"/>
    <w:rsid w:val="001443E4"/>
    <w:rsid w:val="00144483"/>
    <w:rsid w:val="001444C1"/>
    <w:rsid w:val="00144919"/>
    <w:rsid w:val="00144FC1"/>
    <w:rsid w:val="001457B2"/>
    <w:rsid w:val="001457F7"/>
    <w:rsid w:val="00145B63"/>
    <w:rsid w:val="00146875"/>
    <w:rsid w:val="00147037"/>
    <w:rsid w:val="001472BA"/>
    <w:rsid w:val="00147C41"/>
    <w:rsid w:val="00147CF9"/>
    <w:rsid w:val="00147D24"/>
    <w:rsid w:val="00147D37"/>
    <w:rsid w:val="00147F83"/>
    <w:rsid w:val="00150301"/>
    <w:rsid w:val="001506AF"/>
    <w:rsid w:val="00150737"/>
    <w:rsid w:val="001507EB"/>
    <w:rsid w:val="00150A29"/>
    <w:rsid w:val="00150E30"/>
    <w:rsid w:val="0015108C"/>
    <w:rsid w:val="001515F2"/>
    <w:rsid w:val="00151C22"/>
    <w:rsid w:val="00151C95"/>
    <w:rsid w:val="0015256F"/>
    <w:rsid w:val="00152707"/>
    <w:rsid w:val="0015284D"/>
    <w:rsid w:val="00152B64"/>
    <w:rsid w:val="001533DC"/>
    <w:rsid w:val="00153ADB"/>
    <w:rsid w:val="00153B0B"/>
    <w:rsid w:val="00153B81"/>
    <w:rsid w:val="00154129"/>
    <w:rsid w:val="00154221"/>
    <w:rsid w:val="001543FF"/>
    <w:rsid w:val="001546B9"/>
    <w:rsid w:val="001546C7"/>
    <w:rsid w:val="00154CBE"/>
    <w:rsid w:val="00154EC4"/>
    <w:rsid w:val="00154FC4"/>
    <w:rsid w:val="00155134"/>
    <w:rsid w:val="001557FC"/>
    <w:rsid w:val="00155C9E"/>
    <w:rsid w:val="00156CF2"/>
    <w:rsid w:val="00156E1F"/>
    <w:rsid w:val="00157AA9"/>
    <w:rsid w:val="00157E63"/>
    <w:rsid w:val="00157E72"/>
    <w:rsid w:val="00160030"/>
    <w:rsid w:val="00161189"/>
    <w:rsid w:val="001614D5"/>
    <w:rsid w:val="00161C85"/>
    <w:rsid w:val="00161DF0"/>
    <w:rsid w:val="0016213B"/>
    <w:rsid w:val="00162169"/>
    <w:rsid w:val="001621DF"/>
    <w:rsid w:val="00162C35"/>
    <w:rsid w:val="00162F60"/>
    <w:rsid w:val="00163064"/>
    <w:rsid w:val="00163201"/>
    <w:rsid w:val="00163389"/>
    <w:rsid w:val="00163792"/>
    <w:rsid w:val="00163813"/>
    <w:rsid w:val="00163993"/>
    <w:rsid w:val="00163B34"/>
    <w:rsid w:val="00163F9A"/>
    <w:rsid w:val="001640D4"/>
    <w:rsid w:val="00164602"/>
    <w:rsid w:val="00164606"/>
    <w:rsid w:val="001649E2"/>
    <w:rsid w:val="00164D4C"/>
    <w:rsid w:val="001650EC"/>
    <w:rsid w:val="00165418"/>
    <w:rsid w:val="001655F9"/>
    <w:rsid w:val="00165B6E"/>
    <w:rsid w:val="00165D35"/>
    <w:rsid w:val="00165E16"/>
    <w:rsid w:val="00166C68"/>
    <w:rsid w:val="00166DB6"/>
    <w:rsid w:val="001670A2"/>
    <w:rsid w:val="001670B2"/>
    <w:rsid w:val="0016736A"/>
    <w:rsid w:val="00167454"/>
    <w:rsid w:val="00167CAA"/>
    <w:rsid w:val="00167CE3"/>
    <w:rsid w:val="00167F54"/>
    <w:rsid w:val="00170315"/>
    <w:rsid w:val="001705AD"/>
    <w:rsid w:val="00170DCF"/>
    <w:rsid w:val="001712BE"/>
    <w:rsid w:val="00171318"/>
    <w:rsid w:val="00171A65"/>
    <w:rsid w:val="001720FC"/>
    <w:rsid w:val="00172213"/>
    <w:rsid w:val="00172700"/>
    <w:rsid w:val="00173034"/>
    <w:rsid w:val="0017323E"/>
    <w:rsid w:val="00173429"/>
    <w:rsid w:val="00173BD3"/>
    <w:rsid w:val="00173CB6"/>
    <w:rsid w:val="00173FCF"/>
    <w:rsid w:val="00174121"/>
    <w:rsid w:val="00174A7E"/>
    <w:rsid w:val="00174EAE"/>
    <w:rsid w:val="00174F7F"/>
    <w:rsid w:val="001755EA"/>
    <w:rsid w:val="001759F2"/>
    <w:rsid w:val="00175B3A"/>
    <w:rsid w:val="00175ED5"/>
    <w:rsid w:val="00176ADD"/>
    <w:rsid w:val="001774C1"/>
    <w:rsid w:val="00177EF6"/>
    <w:rsid w:val="0018039D"/>
    <w:rsid w:val="00180785"/>
    <w:rsid w:val="00180AEF"/>
    <w:rsid w:val="00180D5C"/>
    <w:rsid w:val="001811F9"/>
    <w:rsid w:val="00181E00"/>
    <w:rsid w:val="00181F2F"/>
    <w:rsid w:val="00182AD1"/>
    <w:rsid w:val="00182C64"/>
    <w:rsid w:val="00182C7D"/>
    <w:rsid w:val="00182DB3"/>
    <w:rsid w:val="00183289"/>
    <w:rsid w:val="0018350A"/>
    <w:rsid w:val="00183E3D"/>
    <w:rsid w:val="001840AD"/>
    <w:rsid w:val="001845E2"/>
    <w:rsid w:val="00184EF0"/>
    <w:rsid w:val="001856EB"/>
    <w:rsid w:val="00185D5A"/>
    <w:rsid w:val="00185D8F"/>
    <w:rsid w:val="00186079"/>
    <w:rsid w:val="00186752"/>
    <w:rsid w:val="00186938"/>
    <w:rsid w:val="00186AB5"/>
    <w:rsid w:val="00186EBA"/>
    <w:rsid w:val="001871A4"/>
    <w:rsid w:val="001874F5"/>
    <w:rsid w:val="00187B68"/>
    <w:rsid w:val="00187BFF"/>
    <w:rsid w:val="00187F43"/>
    <w:rsid w:val="001901B2"/>
    <w:rsid w:val="00190267"/>
    <w:rsid w:val="0019045A"/>
    <w:rsid w:val="001904B3"/>
    <w:rsid w:val="00190665"/>
    <w:rsid w:val="00190813"/>
    <w:rsid w:val="0019097E"/>
    <w:rsid w:val="001909D6"/>
    <w:rsid w:val="0019189B"/>
    <w:rsid w:val="001922F0"/>
    <w:rsid w:val="00192844"/>
    <w:rsid w:val="00192C29"/>
    <w:rsid w:val="00192DBC"/>
    <w:rsid w:val="00192F10"/>
    <w:rsid w:val="00192F87"/>
    <w:rsid w:val="001930AC"/>
    <w:rsid w:val="001935B9"/>
    <w:rsid w:val="00193658"/>
    <w:rsid w:val="00194E4B"/>
    <w:rsid w:val="00194FDE"/>
    <w:rsid w:val="00195760"/>
    <w:rsid w:val="00195B5E"/>
    <w:rsid w:val="00195CB9"/>
    <w:rsid w:val="001961D3"/>
    <w:rsid w:val="00196779"/>
    <w:rsid w:val="00196AF9"/>
    <w:rsid w:val="00196DDE"/>
    <w:rsid w:val="001972C5"/>
    <w:rsid w:val="00197360"/>
    <w:rsid w:val="00197B15"/>
    <w:rsid w:val="001A00C5"/>
    <w:rsid w:val="001A0300"/>
    <w:rsid w:val="001A050B"/>
    <w:rsid w:val="001A0E98"/>
    <w:rsid w:val="001A1CA9"/>
    <w:rsid w:val="001A22B9"/>
    <w:rsid w:val="001A243E"/>
    <w:rsid w:val="001A244A"/>
    <w:rsid w:val="001A28A4"/>
    <w:rsid w:val="001A2CF4"/>
    <w:rsid w:val="001A2FAF"/>
    <w:rsid w:val="001A377A"/>
    <w:rsid w:val="001A3B5E"/>
    <w:rsid w:val="001A413D"/>
    <w:rsid w:val="001A4224"/>
    <w:rsid w:val="001A476D"/>
    <w:rsid w:val="001A48E2"/>
    <w:rsid w:val="001A4CD9"/>
    <w:rsid w:val="001A4FAC"/>
    <w:rsid w:val="001A5955"/>
    <w:rsid w:val="001A5B2D"/>
    <w:rsid w:val="001A629C"/>
    <w:rsid w:val="001A64CC"/>
    <w:rsid w:val="001A6881"/>
    <w:rsid w:val="001A707B"/>
    <w:rsid w:val="001A7141"/>
    <w:rsid w:val="001A7387"/>
    <w:rsid w:val="001A73BC"/>
    <w:rsid w:val="001A77D7"/>
    <w:rsid w:val="001A7891"/>
    <w:rsid w:val="001A7A7A"/>
    <w:rsid w:val="001A7EB8"/>
    <w:rsid w:val="001A7FD5"/>
    <w:rsid w:val="001B0BE6"/>
    <w:rsid w:val="001B0D9E"/>
    <w:rsid w:val="001B1C06"/>
    <w:rsid w:val="001B2157"/>
    <w:rsid w:val="001B2A34"/>
    <w:rsid w:val="001B2A52"/>
    <w:rsid w:val="001B2B88"/>
    <w:rsid w:val="001B313D"/>
    <w:rsid w:val="001B31D2"/>
    <w:rsid w:val="001B3946"/>
    <w:rsid w:val="001B3B9A"/>
    <w:rsid w:val="001B3CC8"/>
    <w:rsid w:val="001B414B"/>
    <w:rsid w:val="001B42A1"/>
    <w:rsid w:val="001B4414"/>
    <w:rsid w:val="001B4545"/>
    <w:rsid w:val="001B4AAC"/>
    <w:rsid w:val="001B4B21"/>
    <w:rsid w:val="001B5343"/>
    <w:rsid w:val="001B53A7"/>
    <w:rsid w:val="001B568A"/>
    <w:rsid w:val="001B5BC7"/>
    <w:rsid w:val="001B60E4"/>
    <w:rsid w:val="001B6B4A"/>
    <w:rsid w:val="001B6CDC"/>
    <w:rsid w:val="001B6EC6"/>
    <w:rsid w:val="001B7109"/>
    <w:rsid w:val="001B7160"/>
    <w:rsid w:val="001B7600"/>
    <w:rsid w:val="001B787E"/>
    <w:rsid w:val="001C0B22"/>
    <w:rsid w:val="001C0CE2"/>
    <w:rsid w:val="001C0ED1"/>
    <w:rsid w:val="001C1084"/>
    <w:rsid w:val="001C1CCA"/>
    <w:rsid w:val="001C1FBD"/>
    <w:rsid w:val="001C22E9"/>
    <w:rsid w:val="001C26A0"/>
    <w:rsid w:val="001C2738"/>
    <w:rsid w:val="001C2A11"/>
    <w:rsid w:val="001C2A6C"/>
    <w:rsid w:val="001C2D17"/>
    <w:rsid w:val="001C2F80"/>
    <w:rsid w:val="001C3059"/>
    <w:rsid w:val="001C324A"/>
    <w:rsid w:val="001C353C"/>
    <w:rsid w:val="001C3546"/>
    <w:rsid w:val="001C3DFA"/>
    <w:rsid w:val="001C41B5"/>
    <w:rsid w:val="001C4787"/>
    <w:rsid w:val="001C4A16"/>
    <w:rsid w:val="001C4C2F"/>
    <w:rsid w:val="001C5061"/>
    <w:rsid w:val="001C56E8"/>
    <w:rsid w:val="001C5755"/>
    <w:rsid w:val="001C5767"/>
    <w:rsid w:val="001C5846"/>
    <w:rsid w:val="001C5E1E"/>
    <w:rsid w:val="001C6478"/>
    <w:rsid w:val="001C65B7"/>
    <w:rsid w:val="001C6935"/>
    <w:rsid w:val="001C6B0D"/>
    <w:rsid w:val="001C6C5C"/>
    <w:rsid w:val="001C6CA7"/>
    <w:rsid w:val="001C70C3"/>
    <w:rsid w:val="001C769C"/>
    <w:rsid w:val="001C777D"/>
    <w:rsid w:val="001C77DD"/>
    <w:rsid w:val="001C7BDE"/>
    <w:rsid w:val="001D01D2"/>
    <w:rsid w:val="001D08F6"/>
    <w:rsid w:val="001D0A0B"/>
    <w:rsid w:val="001D0C39"/>
    <w:rsid w:val="001D123D"/>
    <w:rsid w:val="001D12E7"/>
    <w:rsid w:val="001D180E"/>
    <w:rsid w:val="001D1A0C"/>
    <w:rsid w:val="001D1ADB"/>
    <w:rsid w:val="001D1C0F"/>
    <w:rsid w:val="001D1F72"/>
    <w:rsid w:val="001D2384"/>
    <w:rsid w:val="001D2513"/>
    <w:rsid w:val="001D25C4"/>
    <w:rsid w:val="001D2647"/>
    <w:rsid w:val="001D2BAE"/>
    <w:rsid w:val="001D2C38"/>
    <w:rsid w:val="001D37BC"/>
    <w:rsid w:val="001D3B73"/>
    <w:rsid w:val="001D3D11"/>
    <w:rsid w:val="001D3ED3"/>
    <w:rsid w:val="001D42A4"/>
    <w:rsid w:val="001D4466"/>
    <w:rsid w:val="001D4AF1"/>
    <w:rsid w:val="001D4E63"/>
    <w:rsid w:val="001D4EFB"/>
    <w:rsid w:val="001D4F88"/>
    <w:rsid w:val="001D4FEA"/>
    <w:rsid w:val="001D5259"/>
    <w:rsid w:val="001D5A5E"/>
    <w:rsid w:val="001D5CD6"/>
    <w:rsid w:val="001D6B9D"/>
    <w:rsid w:val="001D7877"/>
    <w:rsid w:val="001D7E24"/>
    <w:rsid w:val="001E007B"/>
    <w:rsid w:val="001E0127"/>
    <w:rsid w:val="001E066C"/>
    <w:rsid w:val="001E0DB0"/>
    <w:rsid w:val="001E0DE1"/>
    <w:rsid w:val="001E11B4"/>
    <w:rsid w:val="001E145E"/>
    <w:rsid w:val="001E1D06"/>
    <w:rsid w:val="001E21F2"/>
    <w:rsid w:val="001E25FF"/>
    <w:rsid w:val="001E2A0B"/>
    <w:rsid w:val="001E2A97"/>
    <w:rsid w:val="001E3641"/>
    <w:rsid w:val="001E365F"/>
    <w:rsid w:val="001E3752"/>
    <w:rsid w:val="001E41D3"/>
    <w:rsid w:val="001E4D4A"/>
    <w:rsid w:val="001E56BE"/>
    <w:rsid w:val="001E5AA4"/>
    <w:rsid w:val="001E5CED"/>
    <w:rsid w:val="001E6BF1"/>
    <w:rsid w:val="001E6D8C"/>
    <w:rsid w:val="001E766A"/>
    <w:rsid w:val="001E78EE"/>
    <w:rsid w:val="001E7A8F"/>
    <w:rsid w:val="001E7E12"/>
    <w:rsid w:val="001F0879"/>
    <w:rsid w:val="001F0A54"/>
    <w:rsid w:val="001F0EE1"/>
    <w:rsid w:val="001F10B2"/>
    <w:rsid w:val="001F14B1"/>
    <w:rsid w:val="001F14C1"/>
    <w:rsid w:val="001F152E"/>
    <w:rsid w:val="001F1589"/>
    <w:rsid w:val="001F1BC1"/>
    <w:rsid w:val="001F1F67"/>
    <w:rsid w:val="001F2499"/>
    <w:rsid w:val="001F2577"/>
    <w:rsid w:val="001F2F0D"/>
    <w:rsid w:val="001F3863"/>
    <w:rsid w:val="001F3D9A"/>
    <w:rsid w:val="001F5088"/>
    <w:rsid w:val="001F53CF"/>
    <w:rsid w:val="001F5B31"/>
    <w:rsid w:val="001F70FA"/>
    <w:rsid w:val="001F74CB"/>
    <w:rsid w:val="001F7C93"/>
    <w:rsid w:val="00200002"/>
    <w:rsid w:val="00200510"/>
    <w:rsid w:val="00200CA0"/>
    <w:rsid w:val="00200D8A"/>
    <w:rsid w:val="00200EE7"/>
    <w:rsid w:val="00201445"/>
    <w:rsid w:val="00201658"/>
    <w:rsid w:val="00201A8C"/>
    <w:rsid w:val="002020A6"/>
    <w:rsid w:val="00202554"/>
    <w:rsid w:val="0020268D"/>
    <w:rsid w:val="0020290A"/>
    <w:rsid w:val="002029B9"/>
    <w:rsid w:val="00203089"/>
    <w:rsid w:val="002032BA"/>
    <w:rsid w:val="00203CA7"/>
    <w:rsid w:val="00203D9B"/>
    <w:rsid w:val="00203DF9"/>
    <w:rsid w:val="00203F56"/>
    <w:rsid w:val="00203FBC"/>
    <w:rsid w:val="00204370"/>
    <w:rsid w:val="00204AB4"/>
    <w:rsid w:val="00204B4B"/>
    <w:rsid w:val="00204B5E"/>
    <w:rsid w:val="00204C41"/>
    <w:rsid w:val="002050FF"/>
    <w:rsid w:val="002056DA"/>
    <w:rsid w:val="00205B10"/>
    <w:rsid w:val="00205C3F"/>
    <w:rsid w:val="00205F19"/>
    <w:rsid w:val="00206458"/>
    <w:rsid w:val="0020673E"/>
    <w:rsid w:val="002069C2"/>
    <w:rsid w:val="00207C51"/>
    <w:rsid w:val="00207E33"/>
    <w:rsid w:val="0021003C"/>
    <w:rsid w:val="00210157"/>
    <w:rsid w:val="00210F1A"/>
    <w:rsid w:val="0021142D"/>
    <w:rsid w:val="002116A8"/>
    <w:rsid w:val="002117C3"/>
    <w:rsid w:val="002122CF"/>
    <w:rsid w:val="00212703"/>
    <w:rsid w:val="00212A17"/>
    <w:rsid w:val="00213079"/>
    <w:rsid w:val="002132B1"/>
    <w:rsid w:val="0021380E"/>
    <w:rsid w:val="00213CED"/>
    <w:rsid w:val="00213E96"/>
    <w:rsid w:val="002141A8"/>
    <w:rsid w:val="00214B2C"/>
    <w:rsid w:val="00214DB8"/>
    <w:rsid w:val="00214DE4"/>
    <w:rsid w:val="002153E4"/>
    <w:rsid w:val="0021609E"/>
    <w:rsid w:val="002162BB"/>
    <w:rsid w:val="00216720"/>
    <w:rsid w:val="00216826"/>
    <w:rsid w:val="00216A22"/>
    <w:rsid w:val="00216B0C"/>
    <w:rsid w:val="002173D7"/>
    <w:rsid w:val="002177F4"/>
    <w:rsid w:val="00217B1E"/>
    <w:rsid w:val="00217C19"/>
    <w:rsid w:val="00217C44"/>
    <w:rsid w:val="0022048D"/>
    <w:rsid w:val="00220E26"/>
    <w:rsid w:val="00221D96"/>
    <w:rsid w:val="002224DD"/>
    <w:rsid w:val="00222843"/>
    <w:rsid w:val="002229BD"/>
    <w:rsid w:val="002229D6"/>
    <w:rsid w:val="00222A1C"/>
    <w:rsid w:val="00223047"/>
    <w:rsid w:val="002233C0"/>
    <w:rsid w:val="0022379C"/>
    <w:rsid w:val="0022470F"/>
    <w:rsid w:val="002247BE"/>
    <w:rsid w:val="002247FE"/>
    <w:rsid w:val="00225048"/>
    <w:rsid w:val="002251AA"/>
    <w:rsid w:val="0022593F"/>
    <w:rsid w:val="00225EFD"/>
    <w:rsid w:val="00225F54"/>
    <w:rsid w:val="00225F88"/>
    <w:rsid w:val="002269DA"/>
    <w:rsid w:val="002271DC"/>
    <w:rsid w:val="00227249"/>
    <w:rsid w:val="0022759D"/>
    <w:rsid w:val="002300AD"/>
    <w:rsid w:val="002304F8"/>
    <w:rsid w:val="002306CC"/>
    <w:rsid w:val="00230B59"/>
    <w:rsid w:val="00230F11"/>
    <w:rsid w:val="00230F64"/>
    <w:rsid w:val="002315F7"/>
    <w:rsid w:val="002315FB"/>
    <w:rsid w:val="00231631"/>
    <w:rsid w:val="002320F3"/>
    <w:rsid w:val="002322E8"/>
    <w:rsid w:val="0023237B"/>
    <w:rsid w:val="002323E8"/>
    <w:rsid w:val="0023246A"/>
    <w:rsid w:val="002325A7"/>
    <w:rsid w:val="002325A8"/>
    <w:rsid w:val="002325D4"/>
    <w:rsid w:val="00232921"/>
    <w:rsid w:val="00232A09"/>
    <w:rsid w:val="00232B84"/>
    <w:rsid w:val="00232CBB"/>
    <w:rsid w:val="00233CF6"/>
    <w:rsid w:val="0023408B"/>
    <w:rsid w:val="002349EC"/>
    <w:rsid w:val="00234CB5"/>
    <w:rsid w:val="002355FD"/>
    <w:rsid w:val="00235A41"/>
    <w:rsid w:val="00235AC4"/>
    <w:rsid w:val="00235AD5"/>
    <w:rsid w:val="00236D9B"/>
    <w:rsid w:val="00236E0B"/>
    <w:rsid w:val="002371B9"/>
    <w:rsid w:val="002374EA"/>
    <w:rsid w:val="0024019A"/>
    <w:rsid w:val="0024033C"/>
    <w:rsid w:val="0024079B"/>
    <w:rsid w:val="00240837"/>
    <w:rsid w:val="00240DB0"/>
    <w:rsid w:val="00240F9C"/>
    <w:rsid w:val="002415F7"/>
    <w:rsid w:val="00241836"/>
    <w:rsid w:val="00241C05"/>
    <w:rsid w:val="00241C26"/>
    <w:rsid w:val="00241E2D"/>
    <w:rsid w:val="002422E0"/>
    <w:rsid w:val="00242D32"/>
    <w:rsid w:val="00242DC3"/>
    <w:rsid w:val="0024316A"/>
    <w:rsid w:val="0024343A"/>
    <w:rsid w:val="0024390D"/>
    <w:rsid w:val="00243C57"/>
    <w:rsid w:val="00244E11"/>
    <w:rsid w:val="0024534F"/>
    <w:rsid w:val="0024545D"/>
    <w:rsid w:val="00245A90"/>
    <w:rsid w:val="00245E65"/>
    <w:rsid w:val="00245EE0"/>
    <w:rsid w:val="00246468"/>
    <w:rsid w:val="002465BA"/>
    <w:rsid w:val="0024682E"/>
    <w:rsid w:val="002470E7"/>
    <w:rsid w:val="002472B8"/>
    <w:rsid w:val="00247857"/>
    <w:rsid w:val="00247AA1"/>
    <w:rsid w:val="00247B9D"/>
    <w:rsid w:val="00247BE8"/>
    <w:rsid w:val="002506AC"/>
    <w:rsid w:val="00250A05"/>
    <w:rsid w:val="00250BF0"/>
    <w:rsid w:val="00250D04"/>
    <w:rsid w:val="00250EC6"/>
    <w:rsid w:val="002511A9"/>
    <w:rsid w:val="002512B1"/>
    <w:rsid w:val="002518D2"/>
    <w:rsid w:val="00251A0B"/>
    <w:rsid w:val="00251D55"/>
    <w:rsid w:val="002523EA"/>
    <w:rsid w:val="00252F67"/>
    <w:rsid w:val="00253383"/>
    <w:rsid w:val="00253A07"/>
    <w:rsid w:val="00253AF3"/>
    <w:rsid w:val="00253C04"/>
    <w:rsid w:val="00254097"/>
    <w:rsid w:val="00254918"/>
    <w:rsid w:val="00255170"/>
    <w:rsid w:val="00255239"/>
    <w:rsid w:val="0025563B"/>
    <w:rsid w:val="00256318"/>
    <w:rsid w:val="00256343"/>
    <w:rsid w:val="00256408"/>
    <w:rsid w:val="00257070"/>
    <w:rsid w:val="002570DE"/>
    <w:rsid w:val="0025718C"/>
    <w:rsid w:val="0025734C"/>
    <w:rsid w:val="002575D7"/>
    <w:rsid w:val="00257CED"/>
    <w:rsid w:val="0026008A"/>
    <w:rsid w:val="002603D5"/>
    <w:rsid w:val="002605AD"/>
    <w:rsid w:val="00260E49"/>
    <w:rsid w:val="00261829"/>
    <w:rsid w:val="00261948"/>
    <w:rsid w:val="00261E78"/>
    <w:rsid w:val="00261FCA"/>
    <w:rsid w:val="002621D1"/>
    <w:rsid w:val="00262291"/>
    <w:rsid w:val="00262589"/>
    <w:rsid w:val="00262845"/>
    <w:rsid w:val="00262865"/>
    <w:rsid w:val="00262C43"/>
    <w:rsid w:val="00262DD0"/>
    <w:rsid w:val="002635D4"/>
    <w:rsid w:val="0026373D"/>
    <w:rsid w:val="002637A8"/>
    <w:rsid w:val="00263968"/>
    <w:rsid w:val="002639EF"/>
    <w:rsid w:val="00263CEE"/>
    <w:rsid w:val="002647D1"/>
    <w:rsid w:val="00264ACB"/>
    <w:rsid w:val="00264DA5"/>
    <w:rsid w:val="002653DF"/>
    <w:rsid w:val="00265A7F"/>
    <w:rsid w:val="00265D5F"/>
    <w:rsid w:val="00265EBD"/>
    <w:rsid w:val="00266156"/>
    <w:rsid w:val="0026688B"/>
    <w:rsid w:val="00266E45"/>
    <w:rsid w:val="0026792D"/>
    <w:rsid w:val="00267E68"/>
    <w:rsid w:val="00270557"/>
    <w:rsid w:val="00270719"/>
    <w:rsid w:val="00270F23"/>
    <w:rsid w:val="0027130A"/>
    <w:rsid w:val="00271381"/>
    <w:rsid w:val="0027152C"/>
    <w:rsid w:val="00271544"/>
    <w:rsid w:val="00272434"/>
    <w:rsid w:val="0027251E"/>
    <w:rsid w:val="0027272F"/>
    <w:rsid w:val="002727E0"/>
    <w:rsid w:val="002729BB"/>
    <w:rsid w:val="002732E4"/>
    <w:rsid w:val="0027350F"/>
    <w:rsid w:val="002736BA"/>
    <w:rsid w:val="00273788"/>
    <w:rsid w:val="00273A15"/>
    <w:rsid w:val="00273B79"/>
    <w:rsid w:val="00273DE8"/>
    <w:rsid w:val="00274DC9"/>
    <w:rsid w:val="0027503C"/>
    <w:rsid w:val="002754EA"/>
    <w:rsid w:val="002758A2"/>
    <w:rsid w:val="00275D7F"/>
    <w:rsid w:val="00275F9D"/>
    <w:rsid w:val="0027637D"/>
    <w:rsid w:val="00276569"/>
    <w:rsid w:val="00276AE9"/>
    <w:rsid w:val="00276EA1"/>
    <w:rsid w:val="00276F8C"/>
    <w:rsid w:val="0027759B"/>
    <w:rsid w:val="002779FD"/>
    <w:rsid w:val="00277B10"/>
    <w:rsid w:val="00280075"/>
    <w:rsid w:val="002801ED"/>
    <w:rsid w:val="002805D2"/>
    <w:rsid w:val="002806DF"/>
    <w:rsid w:val="00280AB8"/>
    <w:rsid w:val="00280EFA"/>
    <w:rsid w:val="00281399"/>
    <w:rsid w:val="002814EB"/>
    <w:rsid w:val="002815AE"/>
    <w:rsid w:val="0028167E"/>
    <w:rsid w:val="00281987"/>
    <w:rsid w:val="00281B5D"/>
    <w:rsid w:val="00281C8E"/>
    <w:rsid w:val="002826ED"/>
    <w:rsid w:val="00282CF4"/>
    <w:rsid w:val="00282DF5"/>
    <w:rsid w:val="00283251"/>
    <w:rsid w:val="00283A28"/>
    <w:rsid w:val="00283ADD"/>
    <w:rsid w:val="00283AF1"/>
    <w:rsid w:val="00283C56"/>
    <w:rsid w:val="002840CC"/>
    <w:rsid w:val="002843B4"/>
    <w:rsid w:val="0028443C"/>
    <w:rsid w:val="00284454"/>
    <w:rsid w:val="0028452F"/>
    <w:rsid w:val="00284B5E"/>
    <w:rsid w:val="002852A7"/>
    <w:rsid w:val="00285364"/>
    <w:rsid w:val="0028554C"/>
    <w:rsid w:val="002855EA"/>
    <w:rsid w:val="0028598A"/>
    <w:rsid w:val="00285AAC"/>
    <w:rsid w:val="00285AD6"/>
    <w:rsid w:val="00285C7B"/>
    <w:rsid w:val="00285E42"/>
    <w:rsid w:val="002864BB"/>
    <w:rsid w:val="0028674B"/>
    <w:rsid w:val="00286D29"/>
    <w:rsid w:val="00287B59"/>
    <w:rsid w:val="0029006E"/>
    <w:rsid w:val="002906B0"/>
    <w:rsid w:val="00290898"/>
    <w:rsid w:val="002909A3"/>
    <w:rsid w:val="002912D3"/>
    <w:rsid w:val="0029175A"/>
    <w:rsid w:val="002918C9"/>
    <w:rsid w:val="00291D23"/>
    <w:rsid w:val="00292217"/>
    <w:rsid w:val="002929FF"/>
    <w:rsid w:val="0029301A"/>
    <w:rsid w:val="00293684"/>
    <w:rsid w:val="00293722"/>
    <w:rsid w:val="00293F73"/>
    <w:rsid w:val="0029408D"/>
    <w:rsid w:val="0029411D"/>
    <w:rsid w:val="0029452D"/>
    <w:rsid w:val="00294BD1"/>
    <w:rsid w:val="00294F86"/>
    <w:rsid w:val="0029591D"/>
    <w:rsid w:val="00295AA8"/>
    <w:rsid w:val="00295EEC"/>
    <w:rsid w:val="00296236"/>
    <w:rsid w:val="00296339"/>
    <w:rsid w:val="0029677E"/>
    <w:rsid w:val="002969AC"/>
    <w:rsid w:val="00296C0C"/>
    <w:rsid w:val="00296E4E"/>
    <w:rsid w:val="00297107"/>
    <w:rsid w:val="0029719C"/>
    <w:rsid w:val="00297628"/>
    <w:rsid w:val="00297C09"/>
    <w:rsid w:val="00297C1A"/>
    <w:rsid w:val="00297DEE"/>
    <w:rsid w:val="002A05A3"/>
    <w:rsid w:val="002A05ED"/>
    <w:rsid w:val="002A0630"/>
    <w:rsid w:val="002A0957"/>
    <w:rsid w:val="002A12DE"/>
    <w:rsid w:val="002A1A89"/>
    <w:rsid w:val="002A1D00"/>
    <w:rsid w:val="002A205F"/>
    <w:rsid w:val="002A21DD"/>
    <w:rsid w:val="002A2222"/>
    <w:rsid w:val="002A2245"/>
    <w:rsid w:val="002A245C"/>
    <w:rsid w:val="002A26C5"/>
    <w:rsid w:val="002A39F1"/>
    <w:rsid w:val="002A3BCC"/>
    <w:rsid w:val="002A3DF4"/>
    <w:rsid w:val="002A41B4"/>
    <w:rsid w:val="002A42A4"/>
    <w:rsid w:val="002A4390"/>
    <w:rsid w:val="002A455D"/>
    <w:rsid w:val="002A45E1"/>
    <w:rsid w:val="002A49D6"/>
    <w:rsid w:val="002A4AF5"/>
    <w:rsid w:val="002A4CA8"/>
    <w:rsid w:val="002A4D41"/>
    <w:rsid w:val="002A520C"/>
    <w:rsid w:val="002A52DD"/>
    <w:rsid w:val="002A5772"/>
    <w:rsid w:val="002A5BC4"/>
    <w:rsid w:val="002A65E9"/>
    <w:rsid w:val="002A688F"/>
    <w:rsid w:val="002A6BE7"/>
    <w:rsid w:val="002A6D56"/>
    <w:rsid w:val="002A70BB"/>
    <w:rsid w:val="002A7BC7"/>
    <w:rsid w:val="002A7D87"/>
    <w:rsid w:val="002B0EFD"/>
    <w:rsid w:val="002B1439"/>
    <w:rsid w:val="002B21D5"/>
    <w:rsid w:val="002B279B"/>
    <w:rsid w:val="002B27CF"/>
    <w:rsid w:val="002B29C3"/>
    <w:rsid w:val="002B2D03"/>
    <w:rsid w:val="002B2DD0"/>
    <w:rsid w:val="002B2DF9"/>
    <w:rsid w:val="002B2E30"/>
    <w:rsid w:val="002B2E40"/>
    <w:rsid w:val="002B2F7E"/>
    <w:rsid w:val="002B3179"/>
    <w:rsid w:val="002B317B"/>
    <w:rsid w:val="002B3457"/>
    <w:rsid w:val="002B370A"/>
    <w:rsid w:val="002B3C8C"/>
    <w:rsid w:val="002B3D2D"/>
    <w:rsid w:val="002B443B"/>
    <w:rsid w:val="002B4819"/>
    <w:rsid w:val="002B5067"/>
    <w:rsid w:val="002B5158"/>
    <w:rsid w:val="002B52A5"/>
    <w:rsid w:val="002B5617"/>
    <w:rsid w:val="002B57D5"/>
    <w:rsid w:val="002B5807"/>
    <w:rsid w:val="002B59DA"/>
    <w:rsid w:val="002B5A3E"/>
    <w:rsid w:val="002B5DA3"/>
    <w:rsid w:val="002B6013"/>
    <w:rsid w:val="002B65F5"/>
    <w:rsid w:val="002B6600"/>
    <w:rsid w:val="002B6E5E"/>
    <w:rsid w:val="002B72B1"/>
    <w:rsid w:val="002B7C1D"/>
    <w:rsid w:val="002B7E06"/>
    <w:rsid w:val="002C0120"/>
    <w:rsid w:val="002C0808"/>
    <w:rsid w:val="002C11BE"/>
    <w:rsid w:val="002C12A6"/>
    <w:rsid w:val="002C16F0"/>
    <w:rsid w:val="002C17B7"/>
    <w:rsid w:val="002C196D"/>
    <w:rsid w:val="002C1B5A"/>
    <w:rsid w:val="002C2048"/>
    <w:rsid w:val="002C20F6"/>
    <w:rsid w:val="002C2149"/>
    <w:rsid w:val="002C2CEF"/>
    <w:rsid w:val="002C3393"/>
    <w:rsid w:val="002C33B3"/>
    <w:rsid w:val="002C372D"/>
    <w:rsid w:val="002C3BB6"/>
    <w:rsid w:val="002C3DC5"/>
    <w:rsid w:val="002C3EA1"/>
    <w:rsid w:val="002C475F"/>
    <w:rsid w:val="002C4F68"/>
    <w:rsid w:val="002C4FD7"/>
    <w:rsid w:val="002C51B2"/>
    <w:rsid w:val="002C5232"/>
    <w:rsid w:val="002C554E"/>
    <w:rsid w:val="002C5725"/>
    <w:rsid w:val="002C5D87"/>
    <w:rsid w:val="002C64E4"/>
    <w:rsid w:val="002C65F3"/>
    <w:rsid w:val="002C6816"/>
    <w:rsid w:val="002C690B"/>
    <w:rsid w:val="002C6B14"/>
    <w:rsid w:val="002C6BE4"/>
    <w:rsid w:val="002C6FDE"/>
    <w:rsid w:val="002C7183"/>
    <w:rsid w:val="002C7560"/>
    <w:rsid w:val="002C7DDD"/>
    <w:rsid w:val="002D0046"/>
    <w:rsid w:val="002D0065"/>
    <w:rsid w:val="002D1180"/>
    <w:rsid w:val="002D138B"/>
    <w:rsid w:val="002D14D0"/>
    <w:rsid w:val="002D178D"/>
    <w:rsid w:val="002D25DA"/>
    <w:rsid w:val="002D273B"/>
    <w:rsid w:val="002D3091"/>
    <w:rsid w:val="002D36B1"/>
    <w:rsid w:val="002D3ABB"/>
    <w:rsid w:val="002D3C21"/>
    <w:rsid w:val="002D4021"/>
    <w:rsid w:val="002D47EE"/>
    <w:rsid w:val="002D4D5C"/>
    <w:rsid w:val="002D52B1"/>
    <w:rsid w:val="002D52EC"/>
    <w:rsid w:val="002D5623"/>
    <w:rsid w:val="002D56F0"/>
    <w:rsid w:val="002D5E3A"/>
    <w:rsid w:val="002D6713"/>
    <w:rsid w:val="002D692A"/>
    <w:rsid w:val="002D6ED4"/>
    <w:rsid w:val="002D7220"/>
    <w:rsid w:val="002D7326"/>
    <w:rsid w:val="002D7B2D"/>
    <w:rsid w:val="002D7CB8"/>
    <w:rsid w:val="002D7DBA"/>
    <w:rsid w:val="002D7EF2"/>
    <w:rsid w:val="002E00E5"/>
    <w:rsid w:val="002E0509"/>
    <w:rsid w:val="002E079A"/>
    <w:rsid w:val="002E110E"/>
    <w:rsid w:val="002E15DC"/>
    <w:rsid w:val="002E16EF"/>
    <w:rsid w:val="002E19DE"/>
    <w:rsid w:val="002E1C6B"/>
    <w:rsid w:val="002E1F9C"/>
    <w:rsid w:val="002E2D8D"/>
    <w:rsid w:val="002E2F3C"/>
    <w:rsid w:val="002E30A4"/>
    <w:rsid w:val="002E3532"/>
    <w:rsid w:val="002E36DE"/>
    <w:rsid w:val="002E37AA"/>
    <w:rsid w:val="002E3B1B"/>
    <w:rsid w:val="002E3F12"/>
    <w:rsid w:val="002E3FF4"/>
    <w:rsid w:val="002E475D"/>
    <w:rsid w:val="002E4C17"/>
    <w:rsid w:val="002E4D18"/>
    <w:rsid w:val="002E53AA"/>
    <w:rsid w:val="002E5623"/>
    <w:rsid w:val="002E6AC5"/>
    <w:rsid w:val="002E6ED6"/>
    <w:rsid w:val="002E736C"/>
    <w:rsid w:val="002E7AB5"/>
    <w:rsid w:val="002E7DB9"/>
    <w:rsid w:val="002E7F1B"/>
    <w:rsid w:val="002F0075"/>
    <w:rsid w:val="002F03B1"/>
    <w:rsid w:val="002F0748"/>
    <w:rsid w:val="002F08DD"/>
    <w:rsid w:val="002F0AFA"/>
    <w:rsid w:val="002F0C5C"/>
    <w:rsid w:val="002F12A9"/>
    <w:rsid w:val="002F1343"/>
    <w:rsid w:val="002F155B"/>
    <w:rsid w:val="002F18B5"/>
    <w:rsid w:val="002F1E12"/>
    <w:rsid w:val="002F1FF6"/>
    <w:rsid w:val="002F223C"/>
    <w:rsid w:val="002F2493"/>
    <w:rsid w:val="002F2E5D"/>
    <w:rsid w:val="002F2EAB"/>
    <w:rsid w:val="002F2FBD"/>
    <w:rsid w:val="002F329B"/>
    <w:rsid w:val="002F32F4"/>
    <w:rsid w:val="002F4114"/>
    <w:rsid w:val="002F4BBE"/>
    <w:rsid w:val="002F4E1A"/>
    <w:rsid w:val="002F505F"/>
    <w:rsid w:val="002F5D12"/>
    <w:rsid w:val="002F6628"/>
    <w:rsid w:val="002F6670"/>
    <w:rsid w:val="002F6AEE"/>
    <w:rsid w:val="002F6D8A"/>
    <w:rsid w:val="002F6E06"/>
    <w:rsid w:val="002F7893"/>
    <w:rsid w:val="003000C1"/>
    <w:rsid w:val="003004EC"/>
    <w:rsid w:val="00300530"/>
    <w:rsid w:val="0030071E"/>
    <w:rsid w:val="00300E17"/>
    <w:rsid w:val="00301263"/>
    <w:rsid w:val="00301BE8"/>
    <w:rsid w:val="00301F29"/>
    <w:rsid w:val="00302031"/>
    <w:rsid w:val="003022DE"/>
    <w:rsid w:val="003024E7"/>
    <w:rsid w:val="003025D5"/>
    <w:rsid w:val="0030296D"/>
    <w:rsid w:val="00303104"/>
    <w:rsid w:val="0030363F"/>
    <w:rsid w:val="00303A45"/>
    <w:rsid w:val="00303A56"/>
    <w:rsid w:val="00304799"/>
    <w:rsid w:val="003049DD"/>
    <w:rsid w:val="00304A95"/>
    <w:rsid w:val="00304B80"/>
    <w:rsid w:val="00304CBC"/>
    <w:rsid w:val="00304F39"/>
    <w:rsid w:val="003052B2"/>
    <w:rsid w:val="00305961"/>
    <w:rsid w:val="003059A3"/>
    <w:rsid w:val="00305C2F"/>
    <w:rsid w:val="00305F42"/>
    <w:rsid w:val="00306A10"/>
    <w:rsid w:val="00306A85"/>
    <w:rsid w:val="0030706F"/>
    <w:rsid w:val="003071A6"/>
    <w:rsid w:val="003073C0"/>
    <w:rsid w:val="00307723"/>
    <w:rsid w:val="00307DF8"/>
    <w:rsid w:val="00307E79"/>
    <w:rsid w:val="00310902"/>
    <w:rsid w:val="00310A65"/>
    <w:rsid w:val="00310E21"/>
    <w:rsid w:val="00311004"/>
    <w:rsid w:val="0031102D"/>
    <w:rsid w:val="00311281"/>
    <w:rsid w:val="0031155E"/>
    <w:rsid w:val="00311785"/>
    <w:rsid w:val="00311FF0"/>
    <w:rsid w:val="00312514"/>
    <w:rsid w:val="00312816"/>
    <w:rsid w:val="00312931"/>
    <w:rsid w:val="00312A20"/>
    <w:rsid w:val="00312A2D"/>
    <w:rsid w:val="00312CB6"/>
    <w:rsid w:val="00312D92"/>
    <w:rsid w:val="00313AA1"/>
    <w:rsid w:val="003141D0"/>
    <w:rsid w:val="00314468"/>
    <w:rsid w:val="00314482"/>
    <w:rsid w:val="003145AF"/>
    <w:rsid w:val="00314AB9"/>
    <w:rsid w:val="0031508D"/>
    <w:rsid w:val="0031536C"/>
    <w:rsid w:val="00315488"/>
    <w:rsid w:val="00315B2A"/>
    <w:rsid w:val="0031626D"/>
    <w:rsid w:val="00316625"/>
    <w:rsid w:val="00316EEA"/>
    <w:rsid w:val="00317766"/>
    <w:rsid w:val="003178F4"/>
    <w:rsid w:val="00317C2D"/>
    <w:rsid w:val="00317F96"/>
    <w:rsid w:val="0032016F"/>
    <w:rsid w:val="0032025E"/>
    <w:rsid w:val="00320CFC"/>
    <w:rsid w:val="00320EBE"/>
    <w:rsid w:val="00320F41"/>
    <w:rsid w:val="003212E8"/>
    <w:rsid w:val="003219EE"/>
    <w:rsid w:val="00321EFC"/>
    <w:rsid w:val="0032250B"/>
    <w:rsid w:val="0032295B"/>
    <w:rsid w:val="00322AED"/>
    <w:rsid w:val="00322EF8"/>
    <w:rsid w:val="00322FB8"/>
    <w:rsid w:val="003230E6"/>
    <w:rsid w:val="0032399B"/>
    <w:rsid w:val="00323EA3"/>
    <w:rsid w:val="00323EB5"/>
    <w:rsid w:val="00324066"/>
    <w:rsid w:val="0032463E"/>
    <w:rsid w:val="003248C2"/>
    <w:rsid w:val="00324E99"/>
    <w:rsid w:val="003250F6"/>
    <w:rsid w:val="003256AA"/>
    <w:rsid w:val="00325C77"/>
    <w:rsid w:val="00325F02"/>
    <w:rsid w:val="00325F64"/>
    <w:rsid w:val="00326028"/>
    <w:rsid w:val="00326113"/>
    <w:rsid w:val="0032622B"/>
    <w:rsid w:val="00326352"/>
    <w:rsid w:val="00326354"/>
    <w:rsid w:val="0032655C"/>
    <w:rsid w:val="00326857"/>
    <w:rsid w:val="0032693B"/>
    <w:rsid w:val="003269EF"/>
    <w:rsid w:val="00326D41"/>
    <w:rsid w:val="003277E4"/>
    <w:rsid w:val="0032792F"/>
    <w:rsid w:val="003301B9"/>
    <w:rsid w:val="0033117D"/>
    <w:rsid w:val="003312A0"/>
    <w:rsid w:val="003316B6"/>
    <w:rsid w:val="00331977"/>
    <w:rsid w:val="003319F9"/>
    <w:rsid w:val="00331BEF"/>
    <w:rsid w:val="00331EDD"/>
    <w:rsid w:val="00332CBE"/>
    <w:rsid w:val="0033301C"/>
    <w:rsid w:val="003330C7"/>
    <w:rsid w:val="00333744"/>
    <w:rsid w:val="00333DC8"/>
    <w:rsid w:val="00334179"/>
    <w:rsid w:val="00334560"/>
    <w:rsid w:val="003346B4"/>
    <w:rsid w:val="0033498E"/>
    <w:rsid w:val="00334CC8"/>
    <w:rsid w:val="00334F30"/>
    <w:rsid w:val="00335175"/>
    <w:rsid w:val="00335C1B"/>
    <w:rsid w:val="00335C41"/>
    <w:rsid w:val="003362FA"/>
    <w:rsid w:val="00336375"/>
    <w:rsid w:val="003377A2"/>
    <w:rsid w:val="00337E1A"/>
    <w:rsid w:val="00340047"/>
    <w:rsid w:val="0034023D"/>
    <w:rsid w:val="0034149F"/>
    <w:rsid w:val="00341B6D"/>
    <w:rsid w:val="00342291"/>
    <w:rsid w:val="00342B3E"/>
    <w:rsid w:val="00342CC7"/>
    <w:rsid w:val="003435FB"/>
    <w:rsid w:val="0034372D"/>
    <w:rsid w:val="003445F9"/>
    <w:rsid w:val="00344A87"/>
    <w:rsid w:val="00344B5B"/>
    <w:rsid w:val="00345107"/>
    <w:rsid w:val="00345226"/>
    <w:rsid w:val="0034527A"/>
    <w:rsid w:val="00345724"/>
    <w:rsid w:val="00345831"/>
    <w:rsid w:val="003458F6"/>
    <w:rsid w:val="0034597E"/>
    <w:rsid w:val="00345C8B"/>
    <w:rsid w:val="00345D8C"/>
    <w:rsid w:val="00345E5E"/>
    <w:rsid w:val="003462F6"/>
    <w:rsid w:val="00346599"/>
    <w:rsid w:val="00346631"/>
    <w:rsid w:val="00346641"/>
    <w:rsid w:val="00346922"/>
    <w:rsid w:val="00346D8E"/>
    <w:rsid w:val="00346EAA"/>
    <w:rsid w:val="00346F14"/>
    <w:rsid w:val="00347651"/>
    <w:rsid w:val="00347779"/>
    <w:rsid w:val="00347B9D"/>
    <w:rsid w:val="00350211"/>
    <w:rsid w:val="0035041A"/>
    <w:rsid w:val="003504AC"/>
    <w:rsid w:val="00350E02"/>
    <w:rsid w:val="003516DE"/>
    <w:rsid w:val="00351D2C"/>
    <w:rsid w:val="00351F38"/>
    <w:rsid w:val="00352CE3"/>
    <w:rsid w:val="00352EEF"/>
    <w:rsid w:val="003534FC"/>
    <w:rsid w:val="0035381E"/>
    <w:rsid w:val="003538CC"/>
    <w:rsid w:val="0035428A"/>
    <w:rsid w:val="00354632"/>
    <w:rsid w:val="00354EEA"/>
    <w:rsid w:val="003552B7"/>
    <w:rsid w:val="0035557D"/>
    <w:rsid w:val="00355A3F"/>
    <w:rsid w:val="00355DB7"/>
    <w:rsid w:val="00356CE7"/>
    <w:rsid w:val="0035732D"/>
    <w:rsid w:val="00357A8F"/>
    <w:rsid w:val="00357B8C"/>
    <w:rsid w:val="00357F20"/>
    <w:rsid w:val="003602D5"/>
    <w:rsid w:val="003605F2"/>
    <w:rsid w:val="00360AD3"/>
    <w:rsid w:val="00360CCA"/>
    <w:rsid w:val="00360F1F"/>
    <w:rsid w:val="0036108D"/>
    <w:rsid w:val="00361CAF"/>
    <w:rsid w:val="00361D37"/>
    <w:rsid w:val="00362250"/>
    <w:rsid w:val="00362D37"/>
    <w:rsid w:val="00362D9F"/>
    <w:rsid w:val="00363043"/>
    <w:rsid w:val="00363C3F"/>
    <w:rsid w:val="00364064"/>
    <w:rsid w:val="003646FA"/>
    <w:rsid w:val="003647F6"/>
    <w:rsid w:val="00364820"/>
    <w:rsid w:val="00364838"/>
    <w:rsid w:val="00364B98"/>
    <w:rsid w:val="00364F20"/>
    <w:rsid w:val="00366C37"/>
    <w:rsid w:val="00366F06"/>
    <w:rsid w:val="0036719E"/>
    <w:rsid w:val="003678B5"/>
    <w:rsid w:val="00367D16"/>
    <w:rsid w:val="00367EDF"/>
    <w:rsid w:val="00370C69"/>
    <w:rsid w:val="00370FE0"/>
    <w:rsid w:val="00371037"/>
    <w:rsid w:val="0037124C"/>
    <w:rsid w:val="003712BA"/>
    <w:rsid w:val="00371A3E"/>
    <w:rsid w:val="00371B18"/>
    <w:rsid w:val="00372B0B"/>
    <w:rsid w:val="0037363D"/>
    <w:rsid w:val="0037382B"/>
    <w:rsid w:val="00373C76"/>
    <w:rsid w:val="00374C43"/>
    <w:rsid w:val="0037573B"/>
    <w:rsid w:val="00375A64"/>
    <w:rsid w:val="00376065"/>
    <w:rsid w:val="003761B9"/>
    <w:rsid w:val="00376351"/>
    <w:rsid w:val="003765C8"/>
    <w:rsid w:val="00376631"/>
    <w:rsid w:val="003767D7"/>
    <w:rsid w:val="0037689A"/>
    <w:rsid w:val="00377510"/>
    <w:rsid w:val="00377757"/>
    <w:rsid w:val="003779D6"/>
    <w:rsid w:val="00377E7B"/>
    <w:rsid w:val="0038033D"/>
    <w:rsid w:val="00380406"/>
    <w:rsid w:val="003804AE"/>
    <w:rsid w:val="00380505"/>
    <w:rsid w:val="00380B31"/>
    <w:rsid w:val="00380C34"/>
    <w:rsid w:val="00380CC8"/>
    <w:rsid w:val="00381066"/>
    <w:rsid w:val="003810F7"/>
    <w:rsid w:val="003813C4"/>
    <w:rsid w:val="0038155B"/>
    <w:rsid w:val="003815FD"/>
    <w:rsid w:val="003820F2"/>
    <w:rsid w:val="003822B9"/>
    <w:rsid w:val="003824C3"/>
    <w:rsid w:val="003824FA"/>
    <w:rsid w:val="003829EA"/>
    <w:rsid w:val="00382BF9"/>
    <w:rsid w:val="00383180"/>
    <w:rsid w:val="00383787"/>
    <w:rsid w:val="00383915"/>
    <w:rsid w:val="0038397F"/>
    <w:rsid w:val="00383B3C"/>
    <w:rsid w:val="00383F69"/>
    <w:rsid w:val="00384BB4"/>
    <w:rsid w:val="003857D9"/>
    <w:rsid w:val="00385854"/>
    <w:rsid w:val="00385A1C"/>
    <w:rsid w:val="00385D5B"/>
    <w:rsid w:val="003863AE"/>
    <w:rsid w:val="003865FE"/>
    <w:rsid w:val="00386913"/>
    <w:rsid w:val="003876A9"/>
    <w:rsid w:val="00387C2B"/>
    <w:rsid w:val="0039012C"/>
    <w:rsid w:val="00390304"/>
    <w:rsid w:val="003903DB"/>
    <w:rsid w:val="00390958"/>
    <w:rsid w:val="00390F53"/>
    <w:rsid w:val="0039116B"/>
    <w:rsid w:val="00391D78"/>
    <w:rsid w:val="00391F81"/>
    <w:rsid w:val="003922FA"/>
    <w:rsid w:val="003929D3"/>
    <w:rsid w:val="00392B53"/>
    <w:rsid w:val="00393D04"/>
    <w:rsid w:val="0039461E"/>
    <w:rsid w:val="00394A95"/>
    <w:rsid w:val="00394D3F"/>
    <w:rsid w:val="003955D1"/>
    <w:rsid w:val="00395E5E"/>
    <w:rsid w:val="00395E7E"/>
    <w:rsid w:val="00396550"/>
    <w:rsid w:val="00396606"/>
    <w:rsid w:val="00396628"/>
    <w:rsid w:val="00396D9E"/>
    <w:rsid w:val="00397498"/>
    <w:rsid w:val="003976BF"/>
    <w:rsid w:val="003A02F1"/>
    <w:rsid w:val="003A054D"/>
    <w:rsid w:val="003A0947"/>
    <w:rsid w:val="003A09EF"/>
    <w:rsid w:val="003A0B4B"/>
    <w:rsid w:val="003A0FF0"/>
    <w:rsid w:val="003A1861"/>
    <w:rsid w:val="003A1BB7"/>
    <w:rsid w:val="003A1E3C"/>
    <w:rsid w:val="003A27FE"/>
    <w:rsid w:val="003A2BA8"/>
    <w:rsid w:val="003A30B9"/>
    <w:rsid w:val="003A3476"/>
    <w:rsid w:val="003A3688"/>
    <w:rsid w:val="003A37DC"/>
    <w:rsid w:val="003A397E"/>
    <w:rsid w:val="003A3BDF"/>
    <w:rsid w:val="003A3DD4"/>
    <w:rsid w:val="003A4038"/>
    <w:rsid w:val="003A42C4"/>
    <w:rsid w:val="003A4D6A"/>
    <w:rsid w:val="003A4F44"/>
    <w:rsid w:val="003A51A8"/>
    <w:rsid w:val="003A5228"/>
    <w:rsid w:val="003A576A"/>
    <w:rsid w:val="003A5BB2"/>
    <w:rsid w:val="003A5C07"/>
    <w:rsid w:val="003A5D0F"/>
    <w:rsid w:val="003A5FDC"/>
    <w:rsid w:val="003A6080"/>
    <w:rsid w:val="003A7940"/>
    <w:rsid w:val="003A7CD0"/>
    <w:rsid w:val="003A7D58"/>
    <w:rsid w:val="003B02FD"/>
    <w:rsid w:val="003B080A"/>
    <w:rsid w:val="003B0D15"/>
    <w:rsid w:val="003B196F"/>
    <w:rsid w:val="003B1995"/>
    <w:rsid w:val="003B1E63"/>
    <w:rsid w:val="003B218F"/>
    <w:rsid w:val="003B274B"/>
    <w:rsid w:val="003B2E9C"/>
    <w:rsid w:val="003B2F78"/>
    <w:rsid w:val="003B3365"/>
    <w:rsid w:val="003B3738"/>
    <w:rsid w:val="003B3884"/>
    <w:rsid w:val="003B3B52"/>
    <w:rsid w:val="003B418F"/>
    <w:rsid w:val="003B48D6"/>
    <w:rsid w:val="003B4C1E"/>
    <w:rsid w:val="003B52C0"/>
    <w:rsid w:val="003B54B1"/>
    <w:rsid w:val="003B54CF"/>
    <w:rsid w:val="003B5ABA"/>
    <w:rsid w:val="003B5F11"/>
    <w:rsid w:val="003B5F6B"/>
    <w:rsid w:val="003B5F82"/>
    <w:rsid w:val="003B6019"/>
    <w:rsid w:val="003B618B"/>
    <w:rsid w:val="003B6954"/>
    <w:rsid w:val="003B6C56"/>
    <w:rsid w:val="003B6E45"/>
    <w:rsid w:val="003B73A7"/>
    <w:rsid w:val="003B74B2"/>
    <w:rsid w:val="003B767F"/>
    <w:rsid w:val="003B7A66"/>
    <w:rsid w:val="003B7D9E"/>
    <w:rsid w:val="003B7F26"/>
    <w:rsid w:val="003C05C7"/>
    <w:rsid w:val="003C0DB9"/>
    <w:rsid w:val="003C0FA1"/>
    <w:rsid w:val="003C1167"/>
    <w:rsid w:val="003C12D5"/>
    <w:rsid w:val="003C1451"/>
    <w:rsid w:val="003C1630"/>
    <w:rsid w:val="003C1F43"/>
    <w:rsid w:val="003C239C"/>
    <w:rsid w:val="003C2844"/>
    <w:rsid w:val="003C2A83"/>
    <w:rsid w:val="003C35D0"/>
    <w:rsid w:val="003C37F5"/>
    <w:rsid w:val="003C3BB4"/>
    <w:rsid w:val="003C3D0F"/>
    <w:rsid w:val="003C4336"/>
    <w:rsid w:val="003C43D7"/>
    <w:rsid w:val="003C4E03"/>
    <w:rsid w:val="003C554E"/>
    <w:rsid w:val="003C5A63"/>
    <w:rsid w:val="003C5AF9"/>
    <w:rsid w:val="003C628D"/>
    <w:rsid w:val="003C6487"/>
    <w:rsid w:val="003C67B1"/>
    <w:rsid w:val="003C6ADE"/>
    <w:rsid w:val="003C6E3C"/>
    <w:rsid w:val="003C6FCA"/>
    <w:rsid w:val="003C70F5"/>
    <w:rsid w:val="003C743E"/>
    <w:rsid w:val="003C75C3"/>
    <w:rsid w:val="003C7795"/>
    <w:rsid w:val="003D0463"/>
    <w:rsid w:val="003D0B81"/>
    <w:rsid w:val="003D0FC7"/>
    <w:rsid w:val="003D11CB"/>
    <w:rsid w:val="003D1AF5"/>
    <w:rsid w:val="003D1CD3"/>
    <w:rsid w:val="003D23D8"/>
    <w:rsid w:val="003D2AC4"/>
    <w:rsid w:val="003D2B9E"/>
    <w:rsid w:val="003D301F"/>
    <w:rsid w:val="003D30C6"/>
    <w:rsid w:val="003D3439"/>
    <w:rsid w:val="003D39CD"/>
    <w:rsid w:val="003D3E27"/>
    <w:rsid w:val="003D4B12"/>
    <w:rsid w:val="003D513E"/>
    <w:rsid w:val="003D53FA"/>
    <w:rsid w:val="003D564B"/>
    <w:rsid w:val="003D59A8"/>
    <w:rsid w:val="003D6365"/>
    <w:rsid w:val="003D64C0"/>
    <w:rsid w:val="003D680F"/>
    <w:rsid w:val="003D6D16"/>
    <w:rsid w:val="003D794A"/>
    <w:rsid w:val="003D7BCF"/>
    <w:rsid w:val="003D7D19"/>
    <w:rsid w:val="003E0D32"/>
    <w:rsid w:val="003E0EF5"/>
    <w:rsid w:val="003E119A"/>
    <w:rsid w:val="003E11F4"/>
    <w:rsid w:val="003E1A48"/>
    <w:rsid w:val="003E1F9C"/>
    <w:rsid w:val="003E2797"/>
    <w:rsid w:val="003E2E21"/>
    <w:rsid w:val="003E3A2A"/>
    <w:rsid w:val="003E3D6F"/>
    <w:rsid w:val="003E3E36"/>
    <w:rsid w:val="003E3F9A"/>
    <w:rsid w:val="003E405C"/>
    <w:rsid w:val="003E4287"/>
    <w:rsid w:val="003E43A6"/>
    <w:rsid w:val="003E46C2"/>
    <w:rsid w:val="003E492D"/>
    <w:rsid w:val="003E49DE"/>
    <w:rsid w:val="003E4CB8"/>
    <w:rsid w:val="003E50E2"/>
    <w:rsid w:val="003E5412"/>
    <w:rsid w:val="003E5D51"/>
    <w:rsid w:val="003E64D8"/>
    <w:rsid w:val="003E658F"/>
    <w:rsid w:val="003E68A3"/>
    <w:rsid w:val="003E7213"/>
    <w:rsid w:val="003E748E"/>
    <w:rsid w:val="003E78F8"/>
    <w:rsid w:val="003E7956"/>
    <w:rsid w:val="003F0985"/>
    <w:rsid w:val="003F099C"/>
    <w:rsid w:val="003F0B55"/>
    <w:rsid w:val="003F0FBA"/>
    <w:rsid w:val="003F10E0"/>
    <w:rsid w:val="003F11E3"/>
    <w:rsid w:val="003F12D7"/>
    <w:rsid w:val="003F177E"/>
    <w:rsid w:val="003F1A23"/>
    <w:rsid w:val="003F1B8D"/>
    <w:rsid w:val="003F1BC9"/>
    <w:rsid w:val="003F1E4A"/>
    <w:rsid w:val="003F1FFE"/>
    <w:rsid w:val="003F236F"/>
    <w:rsid w:val="003F2443"/>
    <w:rsid w:val="003F27BA"/>
    <w:rsid w:val="003F2A28"/>
    <w:rsid w:val="003F32F4"/>
    <w:rsid w:val="003F34B8"/>
    <w:rsid w:val="003F34F3"/>
    <w:rsid w:val="003F35F4"/>
    <w:rsid w:val="003F3EFE"/>
    <w:rsid w:val="003F4849"/>
    <w:rsid w:val="003F48AB"/>
    <w:rsid w:val="003F4DBC"/>
    <w:rsid w:val="003F4DF8"/>
    <w:rsid w:val="003F4EFB"/>
    <w:rsid w:val="003F51A9"/>
    <w:rsid w:val="003F5527"/>
    <w:rsid w:val="003F6031"/>
    <w:rsid w:val="003F6597"/>
    <w:rsid w:val="003F77AE"/>
    <w:rsid w:val="003F7B64"/>
    <w:rsid w:val="0040003D"/>
    <w:rsid w:val="00400633"/>
    <w:rsid w:val="004011AB"/>
    <w:rsid w:val="00401692"/>
    <w:rsid w:val="00401759"/>
    <w:rsid w:val="00401DEC"/>
    <w:rsid w:val="00402183"/>
    <w:rsid w:val="00402658"/>
    <w:rsid w:val="00402E60"/>
    <w:rsid w:val="00403018"/>
    <w:rsid w:val="00403357"/>
    <w:rsid w:val="00403A30"/>
    <w:rsid w:val="00403BEA"/>
    <w:rsid w:val="00403F1D"/>
    <w:rsid w:val="00404059"/>
    <w:rsid w:val="0040485D"/>
    <w:rsid w:val="00404BBB"/>
    <w:rsid w:val="00405465"/>
    <w:rsid w:val="00405515"/>
    <w:rsid w:val="004063A9"/>
    <w:rsid w:val="00406544"/>
    <w:rsid w:val="004065C6"/>
    <w:rsid w:val="004066D5"/>
    <w:rsid w:val="00406737"/>
    <w:rsid w:val="004072DF"/>
    <w:rsid w:val="00407642"/>
    <w:rsid w:val="004100F4"/>
    <w:rsid w:val="00410167"/>
    <w:rsid w:val="00410346"/>
    <w:rsid w:val="0041038D"/>
    <w:rsid w:val="00410AF6"/>
    <w:rsid w:val="00410B8D"/>
    <w:rsid w:val="004111B9"/>
    <w:rsid w:val="00411B6E"/>
    <w:rsid w:val="00411BD4"/>
    <w:rsid w:val="00411DEF"/>
    <w:rsid w:val="00411E68"/>
    <w:rsid w:val="0041228C"/>
    <w:rsid w:val="004126F4"/>
    <w:rsid w:val="00412FF8"/>
    <w:rsid w:val="0041312C"/>
    <w:rsid w:val="004133BB"/>
    <w:rsid w:val="00413527"/>
    <w:rsid w:val="004138F1"/>
    <w:rsid w:val="00413FB3"/>
    <w:rsid w:val="004142ED"/>
    <w:rsid w:val="00414B3C"/>
    <w:rsid w:val="00414DC4"/>
    <w:rsid w:val="004151E0"/>
    <w:rsid w:val="00415342"/>
    <w:rsid w:val="004153A4"/>
    <w:rsid w:val="004158A5"/>
    <w:rsid w:val="0041598F"/>
    <w:rsid w:val="00415A65"/>
    <w:rsid w:val="00415C42"/>
    <w:rsid w:val="00415E22"/>
    <w:rsid w:val="00416160"/>
    <w:rsid w:val="004161A2"/>
    <w:rsid w:val="004162E6"/>
    <w:rsid w:val="004162FA"/>
    <w:rsid w:val="00417AEE"/>
    <w:rsid w:val="00417BD1"/>
    <w:rsid w:val="00417E91"/>
    <w:rsid w:val="0042011B"/>
    <w:rsid w:val="00420523"/>
    <w:rsid w:val="0042077C"/>
    <w:rsid w:val="00420B41"/>
    <w:rsid w:val="00420D10"/>
    <w:rsid w:val="00420E43"/>
    <w:rsid w:val="004211C6"/>
    <w:rsid w:val="00421A6C"/>
    <w:rsid w:val="00421D64"/>
    <w:rsid w:val="00421E22"/>
    <w:rsid w:val="0042276F"/>
    <w:rsid w:val="004229FF"/>
    <w:rsid w:val="00422BF5"/>
    <w:rsid w:val="004231CA"/>
    <w:rsid w:val="004234D3"/>
    <w:rsid w:val="0042361C"/>
    <w:rsid w:val="00423849"/>
    <w:rsid w:val="00423C0B"/>
    <w:rsid w:val="00423DD3"/>
    <w:rsid w:val="00423FC1"/>
    <w:rsid w:val="004248E2"/>
    <w:rsid w:val="004249BD"/>
    <w:rsid w:val="00424EC5"/>
    <w:rsid w:val="00425286"/>
    <w:rsid w:val="004255E7"/>
    <w:rsid w:val="00425A19"/>
    <w:rsid w:val="00425C83"/>
    <w:rsid w:val="00425C92"/>
    <w:rsid w:val="00425E49"/>
    <w:rsid w:val="00425FC3"/>
    <w:rsid w:val="00426D04"/>
    <w:rsid w:val="00426DC2"/>
    <w:rsid w:val="00427364"/>
    <w:rsid w:val="0042764F"/>
    <w:rsid w:val="00427D52"/>
    <w:rsid w:val="00427D7B"/>
    <w:rsid w:val="00427FCC"/>
    <w:rsid w:val="00430429"/>
    <w:rsid w:val="00430D0D"/>
    <w:rsid w:val="00430F6E"/>
    <w:rsid w:val="004312BE"/>
    <w:rsid w:val="004320CE"/>
    <w:rsid w:val="00432102"/>
    <w:rsid w:val="00432686"/>
    <w:rsid w:val="004326A0"/>
    <w:rsid w:val="004326BF"/>
    <w:rsid w:val="00432ADC"/>
    <w:rsid w:val="0043301D"/>
    <w:rsid w:val="00433CEA"/>
    <w:rsid w:val="00433D1B"/>
    <w:rsid w:val="00433F17"/>
    <w:rsid w:val="00434176"/>
    <w:rsid w:val="0043418F"/>
    <w:rsid w:val="0043466B"/>
    <w:rsid w:val="00434768"/>
    <w:rsid w:val="0043557C"/>
    <w:rsid w:val="004355A5"/>
    <w:rsid w:val="00435852"/>
    <w:rsid w:val="00435AA3"/>
    <w:rsid w:val="00435F4A"/>
    <w:rsid w:val="00436263"/>
    <w:rsid w:val="00436635"/>
    <w:rsid w:val="00436C1A"/>
    <w:rsid w:val="00436F4B"/>
    <w:rsid w:val="0043761C"/>
    <w:rsid w:val="00437759"/>
    <w:rsid w:val="004379A8"/>
    <w:rsid w:val="00437A3A"/>
    <w:rsid w:val="00437E92"/>
    <w:rsid w:val="00440718"/>
    <w:rsid w:val="0044079E"/>
    <w:rsid w:val="0044116D"/>
    <w:rsid w:val="00441650"/>
    <w:rsid w:val="00441BC8"/>
    <w:rsid w:val="00441D23"/>
    <w:rsid w:val="00441F6F"/>
    <w:rsid w:val="004425A4"/>
    <w:rsid w:val="00442671"/>
    <w:rsid w:val="004431F1"/>
    <w:rsid w:val="004433CD"/>
    <w:rsid w:val="004437BE"/>
    <w:rsid w:val="00444700"/>
    <w:rsid w:val="00444C63"/>
    <w:rsid w:val="00445177"/>
    <w:rsid w:val="00445522"/>
    <w:rsid w:val="00445862"/>
    <w:rsid w:val="004458E3"/>
    <w:rsid w:val="00445956"/>
    <w:rsid w:val="00445997"/>
    <w:rsid w:val="00446844"/>
    <w:rsid w:val="0044696F"/>
    <w:rsid w:val="00447147"/>
    <w:rsid w:val="004475A5"/>
    <w:rsid w:val="0044767B"/>
    <w:rsid w:val="004477C9"/>
    <w:rsid w:val="00447CF0"/>
    <w:rsid w:val="0045028C"/>
    <w:rsid w:val="00450673"/>
    <w:rsid w:val="00450C6B"/>
    <w:rsid w:val="00450E04"/>
    <w:rsid w:val="00450FB7"/>
    <w:rsid w:val="00451B0E"/>
    <w:rsid w:val="00451B4E"/>
    <w:rsid w:val="00451BA7"/>
    <w:rsid w:val="00451FC4"/>
    <w:rsid w:val="004525DD"/>
    <w:rsid w:val="00452927"/>
    <w:rsid w:val="00452C07"/>
    <w:rsid w:val="00452E35"/>
    <w:rsid w:val="00452FB9"/>
    <w:rsid w:val="0045307F"/>
    <w:rsid w:val="00453318"/>
    <w:rsid w:val="00453BA1"/>
    <w:rsid w:val="0045417F"/>
    <w:rsid w:val="004541C4"/>
    <w:rsid w:val="004544A4"/>
    <w:rsid w:val="004544C2"/>
    <w:rsid w:val="004551B8"/>
    <w:rsid w:val="00455B55"/>
    <w:rsid w:val="00456179"/>
    <w:rsid w:val="00456919"/>
    <w:rsid w:val="00456C69"/>
    <w:rsid w:val="00456D67"/>
    <w:rsid w:val="00457974"/>
    <w:rsid w:val="00460047"/>
    <w:rsid w:val="00460489"/>
    <w:rsid w:val="00460551"/>
    <w:rsid w:val="00460911"/>
    <w:rsid w:val="00460A32"/>
    <w:rsid w:val="004615EF"/>
    <w:rsid w:val="004617ED"/>
    <w:rsid w:val="004618A2"/>
    <w:rsid w:val="004619D3"/>
    <w:rsid w:val="00461CC9"/>
    <w:rsid w:val="00461FB1"/>
    <w:rsid w:val="00462092"/>
    <w:rsid w:val="0046271A"/>
    <w:rsid w:val="00462C8D"/>
    <w:rsid w:val="00463312"/>
    <w:rsid w:val="00463C43"/>
    <w:rsid w:val="00463E49"/>
    <w:rsid w:val="00464929"/>
    <w:rsid w:val="00464F0C"/>
    <w:rsid w:val="004652F8"/>
    <w:rsid w:val="004656ED"/>
    <w:rsid w:val="00465719"/>
    <w:rsid w:val="00465AF9"/>
    <w:rsid w:val="00465E53"/>
    <w:rsid w:val="00465E7B"/>
    <w:rsid w:val="004667B1"/>
    <w:rsid w:val="00466E5B"/>
    <w:rsid w:val="00466FE3"/>
    <w:rsid w:val="004670BF"/>
    <w:rsid w:val="004670E8"/>
    <w:rsid w:val="00467CE6"/>
    <w:rsid w:val="00467CEE"/>
    <w:rsid w:val="0047036D"/>
    <w:rsid w:val="00470618"/>
    <w:rsid w:val="004709CA"/>
    <w:rsid w:val="00470C5E"/>
    <w:rsid w:val="00471688"/>
    <w:rsid w:val="00471807"/>
    <w:rsid w:val="004719E8"/>
    <w:rsid w:val="004724B1"/>
    <w:rsid w:val="004728A8"/>
    <w:rsid w:val="00472EAA"/>
    <w:rsid w:val="0047308F"/>
    <w:rsid w:val="004732DB"/>
    <w:rsid w:val="004734C7"/>
    <w:rsid w:val="004736EB"/>
    <w:rsid w:val="004738CA"/>
    <w:rsid w:val="0047426D"/>
    <w:rsid w:val="004748C9"/>
    <w:rsid w:val="00474A53"/>
    <w:rsid w:val="00474BA1"/>
    <w:rsid w:val="00474C12"/>
    <w:rsid w:val="00475179"/>
    <w:rsid w:val="00476111"/>
    <w:rsid w:val="00476971"/>
    <w:rsid w:val="00476FD4"/>
    <w:rsid w:val="004775E2"/>
    <w:rsid w:val="00477E41"/>
    <w:rsid w:val="00480634"/>
    <w:rsid w:val="00480DB2"/>
    <w:rsid w:val="00481308"/>
    <w:rsid w:val="00481354"/>
    <w:rsid w:val="00482422"/>
    <w:rsid w:val="004824BD"/>
    <w:rsid w:val="004824ED"/>
    <w:rsid w:val="004828BC"/>
    <w:rsid w:val="00482CFC"/>
    <w:rsid w:val="004832D7"/>
    <w:rsid w:val="00483555"/>
    <w:rsid w:val="00483585"/>
    <w:rsid w:val="00483AB4"/>
    <w:rsid w:val="00483B3E"/>
    <w:rsid w:val="00483C8A"/>
    <w:rsid w:val="00483F4E"/>
    <w:rsid w:val="00484846"/>
    <w:rsid w:val="00484B11"/>
    <w:rsid w:val="00484BFB"/>
    <w:rsid w:val="00484CF2"/>
    <w:rsid w:val="00484D23"/>
    <w:rsid w:val="0048540E"/>
    <w:rsid w:val="0048540F"/>
    <w:rsid w:val="00485BBC"/>
    <w:rsid w:val="004866DB"/>
    <w:rsid w:val="00486900"/>
    <w:rsid w:val="00486BA0"/>
    <w:rsid w:val="004875A1"/>
    <w:rsid w:val="00487607"/>
    <w:rsid w:val="00487822"/>
    <w:rsid w:val="00487EA1"/>
    <w:rsid w:val="00487EE8"/>
    <w:rsid w:val="00490148"/>
    <w:rsid w:val="004904AD"/>
    <w:rsid w:val="00490619"/>
    <w:rsid w:val="004906B9"/>
    <w:rsid w:val="004911C2"/>
    <w:rsid w:val="0049140F"/>
    <w:rsid w:val="004915A3"/>
    <w:rsid w:val="00491A5F"/>
    <w:rsid w:val="00491BD8"/>
    <w:rsid w:val="0049262B"/>
    <w:rsid w:val="00492737"/>
    <w:rsid w:val="00492B53"/>
    <w:rsid w:val="004939B1"/>
    <w:rsid w:val="004941E4"/>
    <w:rsid w:val="00494291"/>
    <w:rsid w:val="004942C9"/>
    <w:rsid w:val="0049443F"/>
    <w:rsid w:val="00494538"/>
    <w:rsid w:val="00494811"/>
    <w:rsid w:val="004949B3"/>
    <w:rsid w:val="00494ED7"/>
    <w:rsid w:val="00495027"/>
    <w:rsid w:val="0049534F"/>
    <w:rsid w:val="0049544E"/>
    <w:rsid w:val="0049552D"/>
    <w:rsid w:val="00495B22"/>
    <w:rsid w:val="00495B2C"/>
    <w:rsid w:val="004963D8"/>
    <w:rsid w:val="004967BF"/>
    <w:rsid w:val="00497184"/>
    <w:rsid w:val="004972B5"/>
    <w:rsid w:val="004975DF"/>
    <w:rsid w:val="00497E91"/>
    <w:rsid w:val="004A00DF"/>
    <w:rsid w:val="004A01CF"/>
    <w:rsid w:val="004A031B"/>
    <w:rsid w:val="004A0C86"/>
    <w:rsid w:val="004A1166"/>
    <w:rsid w:val="004A16F3"/>
    <w:rsid w:val="004A18C2"/>
    <w:rsid w:val="004A1971"/>
    <w:rsid w:val="004A1FC2"/>
    <w:rsid w:val="004A2CD1"/>
    <w:rsid w:val="004A3618"/>
    <w:rsid w:val="004A374D"/>
    <w:rsid w:val="004A3A4F"/>
    <w:rsid w:val="004A3AE3"/>
    <w:rsid w:val="004A42B0"/>
    <w:rsid w:val="004A461D"/>
    <w:rsid w:val="004A4677"/>
    <w:rsid w:val="004A4712"/>
    <w:rsid w:val="004A4842"/>
    <w:rsid w:val="004A49A2"/>
    <w:rsid w:val="004A531D"/>
    <w:rsid w:val="004A58B2"/>
    <w:rsid w:val="004A5A8E"/>
    <w:rsid w:val="004A5D28"/>
    <w:rsid w:val="004A5E33"/>
    <w:rsid w:val="004A60BC"/>
    <w:rsid w:val="004A6364"/>
    <w:rsid w:val="004A65CC"/>
    <w:rsid w:val="004A65DF"/>
    <w:rsid w:val="004A68B4"/>
    <w:rsid w:val="004A6A14"/>
    <w:rsid w:val="004A6C0D"/>
    <w:rsid w:val="004A6E46"/>
    <w:rsid w:val="004A6F97"/>
    <w:rsid w:val="004A72F0"/>
    <w:rsid w:val="004A748A"/>
    <w:rsid w:val="004A7EAD"/>
    <w:rsid w:val="004B05CC"/>
    <w:rsid w:val="004B136B"/>
    <w:rsid w:val="004B193F"/>
    <w:rsid w:val="004B1EB1"/>
    <w:rsid w:val="004B239F"/>
    <w:rsid w:val="004B23A4"/>
    <w:rsid w:val="004B2A7F"/>
    <w:rsid w:val="004B3188"/>
    <w:rsid w:val="004B3A62"/>
    <w:rsid w:val="004B3FAC"/>
    <w:rsid w:val="004B5A9F"/>
    <w:rsid w:val="004B5B25"/>
    <w:rsid w:val="004B5FC2"/>
    <w:rsid w:val="004B605A"/>
    <w:rsid w:val="004B6173"/>
    <w:rsid w:val="004B627B"/>
    <w:rsid w:val="004B63DF"/>
    <w:rsid w:val="004B6620"/>
    <w:rsid w:val="004B6EE1"/>
    <w:rsid w:val="004B6FCF"/>
    <w:rsid w:val="004B72C0"/>
    <w:rsid w:val="004B72D0"/>
    <w:rsid w:val="004B742A"/>
    <w:rsid w:val="004B762C"/>
    <w:rsid w:val="004B7A79"/>
    <w:rsid w:val="004B7C22"/>
    <w:rsid w:val="004C0036"/>
    <w:rsid w:val="004C05F3"/>
    <w:rsid w:val="004C1185"/>
    <w:rsid w:val="004C18A1"/>
    <w:rsid w:val="004C1A5B"/>
    <w:rsid w:val="004C1B4B"/>
    <w:rsid w:val="004C1D92"/>
    <w:rsid w:val="004C224E"/>
    <w:rsid w:val="004C225B"/>
    <w:rsid w:val="004C2688"/>
    <w:rsid w:val="004C2905"/>
    <w:rsid w:val="004C2A4B"/>
    <w:rsid w:val="004C3CAF"/>
    <w:rsid w:val="004C4003"/>
    <w:rsid w:val="004C4310"/>
    <w:rsid w:val="004C43ED"/>
    <w:rsid w:val="004C4C24"/>
    <w:rsid w:val="004C4E8B"/>
    <w:rsid w:val="004C51B2"/>
    <w:rsid w:val="004C5237"/>
    <w:rsid w:val="004C546C"/>
    <w:rsid w:val="004C55B5"/>
    <w:rsid w:val="004C5DC8"/>
    <w:rsid w:val="004C5F35"/>
    <w:rsid w:val="004C6167"/>
    <w:rsid w:val="004C61AD"/>
    <w:rsid w:val="004C63E0"/>
    <w:rsid w:val="004C6536"/>
    <w:rsid w:val="004C7477"/>
    <w:rsid w:val="004C7CF2"/>
    <w:rsid w:val="004C7E3B"/>
    <w:rsid w:val="004C7F0E"/>
    <w:rsid w:val="004D0218"/>
    <w:rsid w:val="004D0902"/>
    <w:rsid w:val="004D1118"/>
    <w:rsid w:val="004D1219"/>
    <w:rsid w:val="004D12D0"/>
    <w:rsid w:val="004D1624"/>
    <w:rsid w:val="004D1EB2"/>
    <w:rsid w:val="004D1EB7"/>
    <w:rsid w:val="004D20EA"/>
    <w:rsid w:val="004D28E8"/>
    <w:rsid w:val="004D2FC8"/>
    <w:rsid w:val="004D327D"/>
    <w:rsid w:val="004D342C"/>
    <w:rsid w:val="004D34DF"/>
    <w:rsid w:val="004D3512"/>
    <w:rsid w:val="004D35F8"/>
    <w:rsid w:val="004D490F"/>
    <w:rsid w:val="004D4A63"/>
    <w:rsid w:val="004D4BD6"/>
    <w:rsid w:val="004D5625"/>
    <w:rsid w:val="004D5762"/>
    <w:rsid w:val="004D5902"/>
    <w:rsid w:val="004D5D7E"/>
    <w:rsid w:val="004D5F2E"/>
    <w:rsid w:val="004D6282"/>
    <w:rsid w:val="004D6518"/>
    <w:rsid w:val="004D6573"/>
    <w:rsid w:val="004D6BD4"/>
    <w:rsid w:val="004D711D"/>
    <w:rsid w:val="004D72C4"/>
    <w:rsid w:val="004D72C9"/>
    <w:rsid w:val="004D7318"/>
    <w:rsid w:val="004D74D4"/>
    <w:rsid w:val="004D7738"/>
    <w:rsid w:val="004D7904"/>
    <w:rsid w:val="004D7B49"/>
    <w:rsid w:val="004D7CC2"/>
    <w:rsid w:val="004D7D40"/>
    <w:rsid w:val="004D7E86"/>
    <w:rsid w:val="004E00E0"/>
    <w:rsid w:val="004E067E"/>
    <w:rsid w:val="004E0E54"/>
    <w:rsid w:val="004E0EF3"/>
    <w:rsid w:val="004E14DA"/>
    <w:rsid w:val="004E1724"/>
    <w:rsid w:val="004E1C39"/>
    <w:rsid w:val="004E2440"/>
    <w:rsid w:val="004E34C1"/>
    <w:rsid w:val="004E3625"/>
    <w:rsid w:val="004E3860"/>
    <w:rsid w:val="004E3B39"/>
    <w:rsid w:val="004E4376"/>
    <w:rsid w:val="004E460D"/>
    <w:rsid w:val="004E4FB8"/>
    <w:rsid w:val="004E511E"/>
    <w:rsid w:val="004E5269"/>
    <w:rsid w:val="004E64F1"/>
    <w:rsid w:val="004E6740"/>
    <w:rsid w:val="004E6D53"/>
    <w:rsid w:val="004E759E"/>
    <w:rsid w:val="004E76DC"/>
    <w:rsid w:val="004E7966"/>
    <w:rsid w:val="004E7AD8"/>
    <w:rsid w:val="004F0033"/>
    <w:rsid w:val="004F01EA"/>
    <w:rsid w:val="004F0A14"/>
    <w:rsid w:val="004F14ED"/>
    <w:rsid w:val="004F15F0"/>
    <w:rsid w:val="004F1FD7"/>
    <w:rsid w:val="004F2403"/>
    <w:rsid w:val="004F2412"/>
    <w:rsid w:val="004F2445"/>
    <w:rsid w:val="004F24DF"/>
    <w:rsid w:val="004F2A06"/>
    <w:rsid w:val="004F2A75"/>
    <w:rsid w:val="004F3198"/>
    <w:rsid w:val="004F3450"/>
    <w:rsid w:val="004F3746"/>
    <w:rsid w:val="004F3B93"/>
    <w:rsid w:val="004F3C02"/>
    <w:rsid w:val="004F50C5"/>
    <w:rsid w:val="004F565B"/>
    <w:rsid w:val="004F56D3"/>
    <w:rsid w:val="004F57B9"/>
    <w:rsid w:val="004F5835"/>
    <w:rsid w:val="004F5A4E"/>
    <w:rsid w:val="004F5DB4"/>
    <w:rsid w:val="004F5FFA"/>
    <w:rsid w:val="004F6739"/>
    <w:rsid w:val="004F6FED"/>
    <w:rsid w:val="004F72E2"/>
    <w:rsid w:val="004F7537"/>
    <w:rsid w:val="004F7597"/>
    <w:rsid w:val="004F7903"/>
    <w:rsid w:val="005000CF"/>
    <w:rsid w:val="0050064C"/>
    <w:rsid w:val="00500848"/>
    <w:rsid w:val="005008EC"/>
    <w:rsid w:val="00500A48"/>
    <w:rsid w:val="00500CA6"/>
    <w:rsid w:val="00500E13"/>
    <w:rsid w:val="00500E40"/>
    <w:rsid w:val="00501026"/>
    <w:rsid w:val="005011B9"/>
    <w:rsid w:val="005012E5"/>
    <w:rsid w:val="005013C6"/>
    <w:rsid w:val="005014CC"/>
    <w:rsid w:val="00501534"/>
    <w:rsid w:val="00501B92"/>
    <w:rsid w:val="005023B7"/>
    <w:rsid w:val="00502B2C"/>
    <w:rsid w:val="00502B2D"/>
    <w:rsid w:val="00503268"/>
    <w:rsid w:val="0050383A"/>
    <w:rsid w:val="00503891"/>
    <w:rsid w:val="00503E3A"/>
    <w:rsid w:val="00504165"/>
    <w:rsid w:val="00504289"/>
    <w:rsid w:val="005048AC"/>
    <w:rsid w:val="00504A6C"/>
    <w:rsid w:val="00504E2D"/>
    <w:rsid w:val="00504F77"/>
    <w:rsid w:val="0050502A"/>
    <w:rsid w:val="005050FA"/>
    <w:rsid w:val="0050522F"/>
    <w:rsid w:val="005052E4"/>
    <w:rsid w:val="005054B6"/>
    <w:rsid w:val="0050550C"/>
    <w:rsid w:val="00505BE6"/>
    <w:rsid w:val="00505EAD"/>
    <w:rsid w:val="005061E1"/>
    <w:rsid w:val="00506408"/>
    <w:rsid w:val="005064B6"/>
    <w:rsid w:val="00506583"/>
    <w:rsid w:val="00506721"/>
    <w:rsid w:val="00506B45"/>
    <w:rsid w:val="00506EFD"/>
    <w:rsid w:val="005077D0"/>
    <w:rsid w:val="005078AF"/>
    <w:rsid w:val="005100AC"/>
    <w:rsid w:val="0051011A"/>
    <w:rsid w:val="00510F51"/>
    <w:rsid w:val="0051136D"/>
    <w:rsid w:val="005113ED"/>
    <w:rsid w:val="00511576"/>
    <w:rsid w:val="005119A7"/>
    <w:rsid w:val="00511BC3"/>
    <w:rsid w:val="00511F35"/>
    <w:rsid w:val="0051221A"/>
    <w:rsid w:val="005123C6"/>
    <w:rsid w:val="00512B0A"/>
    <w:rsid w:val="00512C2B"/>
    <w:rsid w:val="00512F06"/>
    <w:rsid w:val="00512F8E"/>
    <w:rsid w:val="005135A0"/>
    <w:rsid w:val="00513A95"/>
    <w:rsid w:val="00513D0C"/>
    <w:rsid w:val="00513F08"/>
    <w:rsid w:val="005143E9"/>
    <w:rsid w:val="00514678"/>
    <w:rsid w:val="00514FC7"/>
    <w:rsid w:val="00514FF2"/>
    <w:rsid w:val="00515E31"/>
    <w:rsid w:val="00515EA9"/>
    <w:rsid w:val="00515FCC"/>
    <w:rsid w:val="0051651A"/>
    <w:rsid w:val="005165F0"/>
    <w:rsid w:val="0051682F"/>
    <w:rsid w:val="005169DD"/>
    <w:rsid w:val="00516B42"/>
    <w:rsid w:val="00516BFE"/>
    <w:rsid w:val="00517D14"/>
    <w:rsid w:val="00517D4F"/>
    <w:rsid w:val="00520263"/>
    <w:rsid w:val="00520594"/>
    <w:rsid w:val="0052080F"/>
    <w:rsid w:val="00520F8A"/>
    <w:rsid w:val="00521760"/>
    <w:rsid w:val="005218E7"/>
    <w:rsid w:val="00521A24"/>
    <w:rsid w:val="00521A94"/>
    <w:rsid w:val="00521E6F"/>
    <w:rsid w:val="005220B7"/>
    <w:rsid w:val="00522557"/>
    <w:rsid w:val="0052262F"/>
    <w:rsid w:val="005228BC"/>
    <w:rsid w:val="005231BD"/>
    <w:rsid w:val="00523354"/>
    <w:rsid w:val="00523677"/>
    <w:rsid w:val="005238BD"/>
    <w:rsid w:val="00523A46"/>
    <w:rsid w:val="00523A53"/>
    <w:rsid w:val="00523B12"/>
    <w:rsid w:val="00523CCA"/>
    <w:rsid w:val="00523CF6"/>
    <w:rsid w:val="005248EC"/>
    <w:rsid w:val="005249EB"/>
    <w:rsid w:val="00524D54"/>
    <w:rsid w:val="00525142"/>
    <w:rsid w:val="0052567D"/>
    <w:rsid w:val="00525A95"/>
    <w:rsid w:val="00525BD2"/>
    <w:rsid w:val="00525D94"/>
    <w:rsid w:val="0052616A"/>
    <w:rsid w:val="005262A7"/>
    <w:rsid w:val="00526363"/>
    <w:rsid w:val="005263E2"/>
    <w:rsid w:val="00526497"/>
    <w:rsid w:val="005265CB"/>
    <w:rsid w:val="005267EC"/>
    <w:rsid w:val="005277CC"/>
    <w:rsid w:val="00527D90"/>
    <w:rsid w:val="00527D96"/>
    <w:rsid w:val="00527F94"/>
    <w:rsid w:val="0053004F"/>
    <w:rsid w:val="0053069C"/>
    <w:rsid w:val="00530703"/>
    <w:rsid w:val="00530BC8"/>
    <w:rsid w:val="00531ECD"/>
    <w:rsid w:val="00531EE4"/>
    <w:rsid w:val="00531FE6"/>
    <w:rsid w:val="0053233D"/>
    <w:rsid w:val="00532371"/>
    <w:rsid w:val="00532690"/>
    <w:rsid w:val="00533836"/>
    <w:rsid w:val="0053484D"/>
    <w:rsid w:val="0053497D"/>
    <w:rsid w:val="00534C62"/>
    <w:rsid w:val="00534F73"/>
    <w:rsid w:val="005351B4"/>
    <w:rsid w:val="005357CC"/>
    <w:rsid w:val="00535DF8"/>
    <w:rsid w:val="00536322"/>
    <w:rsid w:val="005363C2"/>
    <w:rsid w:val="00536603"/>
    <w:rsid w:val="00536FF4"/>
    <w:rsid w:val="005370AD"/>
    <w:rsid w:val="005375A2"/>
    <w:rsid w:val="00540537"/>
    <w:rsid w:val="0054078D"/>
    <w:rsid w:val="00540BB1"/>
    <w:rsid w:val="005410BB"/>
    <w:rsid w:val="0054144D"/>
    <w:rsid w:val="00541451"/>
    <w:rsid w:val="00542513"/>
    <w:rsid w:val="00542D75"/>
    <w:rsid w:val="00542F8F"/>
    <w:rsid w:val="00543ABD"/>
    <w:rsid w:val="00543F5F"/>
    <w:rsid w:val="00544753"/>
    <w:rsid w:val="00544D9E"/>
    <w:rsid w:val="00545802"/>
    <w:rsid w:val="00545CF8"/>
    <w:rsid w:val="00545E19"/>
    <w:rsid w:val="00545EA7"/>
    <w:rsid w:val="00546811"/>
    <w:rsid w:val="00546997"/>
    <w:rsid w:val="00546B6B"/>
    <w:rsid w:val="00546C3C"/>
    <w:rsid w:val="00546CDF"/>
    <w:rsid w:val="00546E8C"/>
    <w:rsid w:val="00547732"/>
    <w:rsid w:val="005478A8"/>
    <w:rsid w:val="00547A1E"/>
    <w:rsid w:val="00547A85"/>
    <w:rsid w:val="00547AFD"/>
    <w:rsid w:val="00547C5D"/>
    <w:rsid w:val="00547CB7"/>
    <w:rsid w:val="00547E9B"/>
    <w:rsid w:val="005500FD"/>
    <w:rsid w:val="00550203"/>
    <w:rsid w:val="005504CA"/>
    <w:rsid w:val="00550916"/>
    <w:rsid w:val="00550D05"/>
    <w:rsid w:val="00550EE7"/>
    <w:rsid w:val="00551178"/>
    <w:rsid w:val="0055126A"/>
    <w:rsid w:val="00551850"/>
    <w:rsid w:val="00551920"/>
    <w:rsid w:val="00551DBD"/>
    <w:rsid w:val="00551EC4"/>
    <w:rsid w:val="00551FBE"/>
    <w:rsid w:val="00551FC1"/>
    <w:rsid w:val="00552028"/>
    <w:rsid w:val="005522C3"/>
    <w:rsid w:val="0055292E"/>
    <w:rsid w:val="00552AB7"/>
    <w:rsid w:val="00552BEF"/>
    <w:rsid w:val="00552C5E"/>
    <w:rsid w:val="00552D60"/>
    <w:rsid w:val="0055305D"/>
    <w:rsid w:val="005530BC"/>
    <w:rsid w:val="00553207"/>
    <w:rsid w:val="00553245"/>
    <w:rsid w:val="00553249"/>
    <w:rsid w:val="00553334"/>
    <w:rsid w:val="00553611"/>
    <w:rsid w:val="00553804"/>
    <w:rsid w:val="00553AFE"/>
    <w:rsid w:val="0055492B"/>
    <w:rsid w:val="00555144"/>
    <w:rsid w:val="0055530B"/>
    <w:rsid w:val="00555470"/>
    <w:rsid w:val="005558A7"/>
    <w:rsid w:val="00555E31"/>
    <w:rsid w:val="005561BF"/>
    <w:rsid w:val="005563C0"/>
    <w:rsid w:val="005565A0"/>
    <w:rsid w:val="0055764E"/>
    <w:rsid w:val="005605E9"/>
    <w:rsid w:val="0056064B"/>
    <w:rsid w:val="00560AC0"/>
    <w:rsid w:val="00560D42"/>
    <w:rsid w:val="0056113E"/>
    <w:rsid w:val="005611A5"/>
    <w:rsid w:val="0056136B"/>
    <w:rsid w:val="00561677"/>
    <w:rsid w:val="0056177C"/>
    <w:rsid w:val="00561E4F"/>
    <w:rsid w:val="00562267"/>
    <w:rsid w:val="00562313"/>
    <w:rsid w:val="00562B76"/>
    <w:rsid w:val="00562C0A"/>
    <w:rsid w:val="00562FFF"/>
    <w:rsid w:val="005631BF"/>
    <w:rsid w:val="00563967"/>
    <w:rsid w:val="00563C80"/>
    <w:rsid w:val="00563E53"/>
    <w:rsid w:val="005642D7"/>
    <w:rsid w:val="005647EC"/>
    <w:rsid w:val="00565347"/>
    <w:rsid w:val="00565612"/>
    <w:rsid w:val="0056586B"/>
    <w:rsid w:val="00565C0C"/>
    <w:rsid w:val="005661F5"/>
    <w:rsid w:val="00566A6F"/>
    <w:rsid w:val="005672D4"/>
    <w:rsid w:val="00570195"/>
    <w:rsid w:val="005703B4"/>
    <w:rsid w:val="00570C24"/>
    <w:rsid w:val="00570D68"/>
    <w:rsid w:val="005711A4"/>
    <w:rsid w:val="00571990"/>
    <w:rsid w:val="00571CE1"/>
    <w:rsid w:val="0057225C"/>
    <w:rsid w:val="00572669"/>
    <w:rsid w:val="00572842"/>
    <w:rsid w:val="00572954"/>
    <w:rsid w:val="005731AE"/>
    <w:rsid w:val="005739C5"/>
    <w:rsid w:val="00573BAF"/>
    <w:rsid w:val="00573F69"/>
    <w:rsid w:val="00573FFD"/>
    <w:rsid w:val="0057415B"/>
    <w:rsid w:val="005741C4"/>
    <w:rsid w:val="005741F9"/>
    <w:rsid w:val="0057430D"/>
    <w:rsid w:val="005745BF"/>
    <w:rsid w:val="00574AC0"/>
    <w:rsid w:val="00574D7F"/>
    <w:rsid w:val="0057510D"/>
    <w:rsid w:val="0057528D"/>
    <w:rsid w:val="005752CE"/>
    <w:rsid w:val="005753A8"/>
    <w:rsid w:val="005758C9"/>
    <w:rsid w:val="00575C8E"/>
    <w:rsid w:val="005762F5"/>
    <w:rsid w:val="0057656E"/>
    <w:rsid w:val="00576911"/>
    <w:rsid w:val="005769B9"/>
    <w:rsid w:val="00576A83"/>
    <w:rsid w:val="00576F6E"/>
    <w:rsid w:val="0057705E"/>
    <w:rsid w:val="005776FA"/>
    <w:rsid w:val="00577A54"/>
    <w:rsid w:val="00580658"/>
    <w:rsid w:val="00580664"/>
    <w:rsid w:val="00580932"/>
    <w:rsid w:val="00580965"/>
    <w:rsid w:val="0058103E"/>
    <w:rsid w:val="005810A6"/>
    <w:rsid w:val="0058118E"/>
    <w:rsid w:val="005811BF"/>
    <w:rsid w:val="0058154F"/>
    <w:rsid w:val="00581C88"/>
    <w:rsid w:val="00581FAC"/>
    <w:rsid w:val="00582306"/>
    <w:rsid w:val="00582996"/>
    <w:rsid w:val="00582E46"/>
    <w:rsid w:val="00583210"/>
    <w:rsid w:val="005835B1"/>
    <w:rsid w:val="0058390E"/>
    <w:rsid w:val="0058438A"/>
    <w:rsid w:val="00584459"/>
    <w:rsid w:val="005847E3"/>
    <w:rsid w:val="00584A2D"/>
    <w:rsid w:val="00584DFB"/>
    <w:rsid w:val="005859DB"/>
    <w:rsid w:val="00585D06"/>
    <w:rsid w:val="00585F26"/>
    <w:rsid w:val="00586210"/>
    <w:rsid w:val="005865B2"/>
    <w:rsid w:val="00586680"/>
    <w:rsid w:val="00586734"/>
    <w:rsid w:val="00586735"/>
    <w:rsid w:val="00586EA6"/>
    <w:rsid w:val="00586EDE"/>
    <w:rsid w:val="005873FC"/>
    <w:rsid w:val="005874AD"/>
    <w:rsid w:val="005875AA"/>
    <w:rsid w:val="00587B4A"/>
    <w:rsid w:val="00587C7A"/>
    <w:rsid w:val="00587CE1"/>
    <w:rsid w:val="0059008A"/>
    <w:rsid w:val="00590545"/>
    <w:rsid w:val="005906C3"/>
    <w:rsid w:val="00590700"/>
    <w:rsid w:val="005907F7"/>
    <w:rsid w:val="005907FA"/>
    <w:rsid w:val="00590875"/>
    <w:rsid w:val="005913C5"/>
    <w:rsid w:val="00592007"/>
    <w:rsid w:val="0059267F"/>
    <w:rsid w:val="0059290B"/>
    <w:rsid w:val="00592F8A"/>
    <w:rsid w:val="0059328A"/>
    <w:rsid w:val="0059333C"/>
    <w:rsid w:val="005934CA"/>
    <w:rsid w:val="005935DB"/>
    <w:rsid w:val="005935E4"/>
    <w:rsid w:val="00593C83"/>
    <w:rsid w:val="00593E57"/>
    <w:rsid w:val="00594126"/>
    <w:rsid w:val="005945F3"/>
    <w:rsid w:val="00594A2B"/>
    <w:rsid w:val="00594F08"/>
    <w:rsid w:val="005950C8"/>
    <w:rsid w:val="005952D7"/>
    <w:rsid w:val="00595ADD"/>
    <w:rsid w:val="00595B23"/>
    <w:rsid w:val="00595B3F"/>
    <w:rsid w:val="00595EA0"/>
    <w:rsid w:val="00595FAD"/>
    <w:rsid w:val="00596312"/>
    <w:rsid w:val="0059680B"/>
    <w:rsid w:val="005969C4"/>
    <w:rsid w:val="00596F7E"/>
    <w:rsid w:val="00596FD9"/>
    <w:rsid w:val="00597391"/>
    <w:rsid w:val="00597A95"/>
    <w:rsid w:val="005A00F4"/>
    <w:rsid w:val="005A01EA"/>
    <w:rsid w:val="005A071E"/>
    <w:rsid w:val="005A08A0"/>
    <w:rsid w:val="005A0A49"/>
    <w:rsid w:val="005A0CE0"/>
    <w:rsid w:val="005A0FB6"/>
    <w:rsid w:val="005A1382"/>
    <w:rsid w:val="005A1419"/>
    <w:rsid w:val="005A17DE"/>
    <w:rsid w:val="005A182F"/>
    <w:rsid w:val="005A2104"/>
    <w:rsid w:val="005A236C"/>
    <w:rsid w:val="005A2673"/>
    <w:rsid w:val="005A28A4"/>
    <w:rsid w:val="005A2BD3"/>
    <w:rsid w:val="005A30D9"/>
    <w:rsid w:val="005A3385"/>
    <w:rsid w:val="005A33B5"/>
    <w:rsid w:val="005A3405"/>
    <w:rsid w:val="005A3754"/>
    <w:rsid w:val="005A3F16"/>
    <w:rsid w:val="005A40B6"/>
    <w:rsid w:val="005A43E2"/>
    <w:rsid w:val="005A45C7"/>
    <w:rsid w:val="005A46A1"/>
    <w:rsid w:val="005A4DDD"/>
    <w:rsid w:val="005A501E"/>
    <w:rsid w:val="005A56B8"/>
    <w:rsid w:val="005A58FF"/>
    <w:rsid w:val="005A5AC7"/>
    <w:rsid w:val="005A5DAB"/>
    <w:rsid w:val="005A5DF1"/>
    <w:rsid w:val="005A5E82"/>
    <w:rsid w:val="005A663A"/>
    <w:rsid w:val="005A6CB2"/>
    <w:rsid w:val="005A6F76"/>
    <w:rsid w:val="005A71A5"/>
    <w:rsid w:val="005A728D"/>
    <w:rsid w:val="005A7375"/>
    <w:rsid w:val="005A7B31"/>
    <w:rsid w:val="005A7BD5"/>
    <w:rsid w:val="005A7E23"/>
    <w:rsid w:val="005B0575"/>
    <w:rsid w:val="005B0633"/>
    <w:rsid w:val="005B0E00"/>
    <w:rsid w:val="005B0F4F"/>
    <w:rsid w:val="005B0FD1"/>
    <w:rsid w:val="005B119B"/>
    <w:rsid w:val="005B1899"/>
    <w:rsid w:val="005B1957"/>
    <w:rsid w:val="005B1B5F"/>
    <w:rsid w:val="005B20A4"/>
    <w:rsid w:val="005B3975"/>
    <w:rsid w:val="005B4644"/>
    <w:rsid w:val="005B4CB5"/>
    <w:rsid w:val="005B56B6"/>
    <w:rsid w:val="005B597F"/>
    <w:rsid w:val="005B5A03"/>
    <w:rsid w:val="005B5BB6"/>
    <w:rsid w:val="005B5C2C"/>
    <w:rsid w:val="005B5CB1"/>
    <w:rsid w:val="005B6F52"/>
    <w:rsid w:val="005B70B0"/>
    <w:rsid w:val="005B71CA"/>
    <w:rsid w:val="005B72BD"/>
    <w:rsid w:val="005B7703"/>
    <w:rsid w:val="005B7EF2"/>
    <w:rsid w:val="005B7FD3"/>
    <w:rsid w:val="005C0092"/>
    <w:rsid w:val="005C01F4"/>
    <w:rsid w:val="005C09CC"/>
    <w:rsid w:val="005C0D9D"/>
    <w:rsid w:val="005C104B"/>
    <w:rsid w:val="005C224C"/>
    <w:rsid w:val="005C2722"/>
    <w:rsid w:val="005C2984"/>
    <w:rsid w:val="005C2C45"/>
    <w:rsid w:val="005C2C92"/>
    <w:rsid w:val="005C2DC7"/>
    <w:rsid w:val="005C3737"/>
    <w:rsid w:val="005C3BD6"/>
    <w:rsid w:val="005C3ECF"/>
    <w:rsid w:val="005C46F6"/>
    <w:rsid w:val="005C4736"/>
    <w:rsid w:val="005C4E8E"/>
    <w:rsid w:val="005C5244"/>
    <w:rsid w:val="005C53EF"/>
    <w:rsid w:val="005C54B7"/>
    <w:rsid w:val="005C5627"/>
    <w:rsid w:val="005C56F0"/>
    <w:rsid w:val="005C5C09"/>
    <w:rsid w:val="005C5F6C"/>
    <w:rsid w:val="005C62BB"/>
    <w:rsid w:val="005C693C"/>
    <w:rsid w:val="005C6CA9"/>
    <w:rsid w:val="005C6D33"/>
    <w:rsid w:val="005C736B"/>
    <w:rsid w:val="005C75CE"/>
    <w:rsid w:val="005C7E74"/>
    <w:rsid w:val="005D0364"/>
    <w:rsid w:val="005D13A0"/>
    <w:rsid w:val="005D143A"/>
    <w:rsid w:val="005D1C78"/>
    <w:rsid w:val="005D2E8C"/>
    <w:rsid w:val="005D32D8"/>
    <w:rsid w:val="005D357D"/>
    <w:rsid w:val="005D3A1B"/>
    <w:rsid w:val="005D3C7E"/>
    <w:rsid w:val="005D3DA4"/>
    <w:rsid w:val="005D4028"/>
    <w:rsid w:val="005D429D"/>
    <w:rsid w:val="005D4600"/>
    <w:rsid w:val="005D462C"/>
    <w:rsid w:val="005D4C0A"/>
    <w:rsid w:val="005D4F79"/>
    <w:rsid w:val="005D536D"/>
    <w:rsid w:val="005D58DE"/>
    <w:rsid w:val="005D5E34"/>
    <w:rsid w:val="005D5E6A"/>
    <w:rsid w:val="005D63DB"/>
    <w:rsid w:val="005D6518"/>
    <w:rsid w:val="005D6ADB"/>
    <w:rsid w:val="005D6F13"/>
    <w:rsid w:val="005D7561"/>
    <w:rsid w:val="005D77F7"/>
    <w:rsid w:val="005D7CFF"/>
    <w:rsid w:val="005D7D00"/>
    <w:rsid w:val="005D7F46"/>
    <w:rsid w:val="005D7F4E"/>
    <w:rsid w:val="005E081E"/>
    <w:rsid w:val="005E0B4F"/>
    <w:rsid w:val="005E0D27"/>
    <w:rsid w:val="005E0F2A"/>
    <w:rsid w:val="005E0F6C"/>
    <w:rsid w:val="005E10B9"/>
    <w:rsid w:val="005E1966"/>
    <w:rsid w:val="005E1DEE"/>
    <w:rsid w:val="005E24E0"/>
    <w:rsid w:val="005E2D72"/>
    <w:rsid w:val="005E2DC5"/>
    <w:rsid w:val="005E3116"/>
    <w:rsid w:val="005E37CF"/>
    <w:rsid w:val="005E38E1"/>
    <w:rsid w:val="005E39DA"/>
    <w:rsid w:val="005E3FA8"/>
    <w:rsid w:val="005E460D"/>
    <w:rsid w:val="005E47FF"/>
    <w:rsid w:val="005E4837"/>
    <w:rsid w:val="005E4A02"/>
    <w:rsid w:val="005E4A62"/>
    <w:rsid w:val="005E4C3E"/>
    <w:rsid w:val="005E4DFE"/>
    <w:rsid w:val="005E4EFE"/>
    <w:rsid w:val="005E5031"/>
    <w:rsid w:val="005E5061"/>
    <w:rsid w:val="005E5302"/>
    <w:rsid w:val="005E57B0"/>
    <w:rsid w:val="005E598C"/>
    <w:rsid w:val="005E5BB3"/>
    <w:rsid w:val="005E5C8A"/>
    <w:rsid w:val="005E5EB1"/>
    <w:rsid w:val="005E6175"/>
    <w:rsid w:val="005E61CB"/>
    <w:rsid w:val="005E6992"/>
    <w:rsid w:val="005E7D3C"/>
    <w:rsid w:val="005E7FD1"/>
    <w:rsid w:val="005F082B"/>
    <w:rsid w:val="005F0D49"/>
    <w:rsid w:val="005F13F1"/>
    <w:rsid w:val="005F17E6"/>
    <w:rsid w:val="005F2A2B"/>
    <w:rsid w:val="005F2B38"/>
    <w:rsid w:val="005F2CE3"/>
    <w:rsid w:val="005F3823"/>
    <w:rsid w:val="005F3DF2"/>
    <w:rsid w:val="005F3FF5"/>
    <w:rsid w:val="005F43D3"/>
    <w:rsid w:val="005F4445"/>
    <w:rsid w:val="005F5102"/>
    <w:rsid w:val="005F5CA6"/>
    <w:rsid w:val="005F5F15"/>
    <w:rsid w:val="005F64A2"/>
    <w:rsid w:val="005F6C06"/>
    <w:rsid w:val="005F6E5C"/>
    <w:rsid w:val="005F6F8A"/>
    <w:rsid w:val="005F7232"/>
    <w:rsid w:val="005F7574"/>
    <w:rsid w:val="005F7917"/>
    <w:rsid w:val="005F7B4C"/>
    <w:rsid w:val="005F7DDC"/>
    <w:rsid w:val="0060024C"/>
    <w:rsid w:val="00600318"/>
    <w:rsid w:val="00600344"/>
    <w:rsid w:val="00600700"/>
    <w:rsid w:val="00600763"/>
    <w:rsid w:val="00600FC1"/>
    <w:rsid w:val="00600FCD"/>
    <w:rsid w:val="00600FE6"/>
    <w:rsid w:val="006015D1"/>
    <w:rsid w:val="006019D2"/>
    <w:rsid w:val="00601BD6"/>
    <w:rsid w:val="00601E66"/>
    <w:rsid w:val="00601F9F"/>
    <w:rsid w:val="00602142"/>
    <w:rsid w:val="00602B67"/>
    <w:rsid w:val="0060316D"/>
    <w:rsid w:val="00603180"/>
    <w:rsid w:val="006033D7"/>
    <w:rsid w:val="00603435"/>
    <w:rsid w:val="006042C2"/>
    <w:rsid w:val="006043E9"/>
    <w:rsid w:val="006047D6"/>
    <w:rsid w:val="00605157"/>
    <w:rsid w:val="00605198"/>
    <w:rsid w:val="006052B0"/>
    <w:rsid w:val="0060549B"/>
    <w:rsid w:val="006054E0"/>
    <w:rsid w:val="00605ACA"/>
    <w:rsid w:val="00605B63"/>
    <w:rsid w:val="0060686B"/>
    <w:rsid w:val="00606D87"/>
    <w:rsid w:val="00610B2E"/>
    <w:rsid w:val="00611076"/>
    <w:rsid w:val="006110C7"/>
    <w:rsid w:val="006125F4"/>
    <w:rsid w:val="0061261B"/>
    <w:rsid w:val="00612936"/>
    <w:rsid w:val="00612E09"/>
    <w:rsid w:val="00613002"/>
    <w:rsid w:val="00613171"/>
    <w:rsid w:val="00613444"/>
    <w:rsid w:val="0061397B"/>
    <w:rsid w:val="00614497"/>
    <w:rsid w:val="006146E0"/>
    <w:rsid w:val="00615001"/>
    <w:rsid w:val="006153F9"/>
    <w:rsid w:val="006155D8"/>
    <w:rsid w:val="0061592B"/>
    <w:rsid w:val="00615B24"/>
    <w:rsid w:val="00615C90"/>
    <w:rsid w:val="0061628F"/>
    <w:rsid w:val="0061667F"/>
    <w:rsid w:val="00617400"/>
    <w:rsid w:val="00617502"/>
    <w:rsid w:val="006178B1"/>
    <w:rsid w:val="00617C68"/>
    <w:rsid w:val="00617FFC"/>
    <w:rsid w:val="006201E1"/>
    <w:rsid w:val="006202F3"/>
    <w:rsid w:val="00620747"/>
    <w:rsid w:val="00620824"/>
    <w:rsid w:val="00620A2D"/>
    <w:rsid w:val="00620DCA"/>
    <w:rsid w:val="006212CA"/>
    <w:rsid w:val="006217B0"/>
    <w:rsid w:val="00622431"/>
    <w:rsid w:val="00622C12"/>
    <w:rsid w:val="00623255"/>
    <w:rsid w:val="006238C2"/>
    <w:rsid w:val="00623AB3"/>
    <w:rsid w:val="00623D2D"/>
    <w:rsid w:val="00624BBA"/>
    <w:rsid w:val="00624FAA"/>
    <w:rsid w:val="006252FE"/>
    <w:rsid w:val="0062540C"/>
    <w:rsid w:val="00625AEB"/>
    <w:rsid w:val="00625F90"/>
    <w:rsid w:val="0062675E"/>
    <w:rsid w:val="00626DB1"/>
    <w:rsid w:val="0062708D"/>
    <w:rsid w:val="006270DB"/>
    <w:rsid w:val="00627376"/>
    <w:rsid w:val="006275B5"/>
    <w:rsid w:val="00627DB4"/>
    <w:rsid w:val="006307B3"/>
    <w:rsid w:val="00630962"/>
    <w:rsid w:val="006309B2"/>
    <w:rsid w:val="00630A0A"/>
    <w:rsid w:val="00630C53"/>
    <w:rsid w:val="00630C5B"/>
    <w:rsid w:val="00630C66"/>
    <w:rsid w:val="00630C90"/>
    <w:rsid w:val="006313A8"/>
    <w:rsid w:val="0063157B"/>
    <w:rsid w:val="00631761"/>
    <w:rsid w:val="0063194E"/>
    <w:rsid w:val="00631C5D"/>
    <w:rsid w:val="00631D3A"/>
    <w:rsid w:val="00631F07"/>
    <w:rsid w:val="00631FBE"/>
    <w:rsid w:val="006320CA"/>
    <w:rsid w:val="00632647"/>
    <w:rsid w:val="00632668"/>
    <w:rsid w:val="0063275C"/>
    <w:rsid w:val="0063376C"/>
    <w:rsid w:val="00633B19"/>
    <w:rsid w:val="00633E4B"/>
    <w:rsid w:val="00633F30"/>
    <w:rsid w:val="006342D6"/>
    <w:rsid w:val="00634701"/>
    <w:rsid w:val="0063490E"/>
    <w:rsid w:val="006351DD"/>
    <w:rsid w:val="006363A9"/>
    <w:rsid w:val="00636B79"/>
    <w:rsid w:val="0063731A"/>
    <w:rsid w:val="0063741B"/>
    <w:rsid w:val="006377A8"/>
    <w:rsid w:val="00637B82"/>
    <w:rsid w:val="00637FD5"/>
    <w:rsid w:val="006401AC"/>
    <w:rsid w:val="00640321"/>
    <w:rsid w:val="00640727"/>
    <w:rsid w:val="00640A20"/>
    <w:rsid w:val="00640FB3"/>
    <w:rsid w:val="00641079"/>
    <w:rsid w:val="00641510"/>
    <w:rsid w:val="006415C8"/>
    <w:rsid w:val="00641B8D"/>
    <w:rsid w:val="00642026"/>
    <w:rsid w:val="006420D1"/>
    <w:rsid w:val="00642167"/>
    <w:rsid w:val="00642169"/>
    <w:rsid w:val="0064238A"/>
    <w:rsid w:val="006425B5"/>
    <w:rsid w:val="006427D4"/>
    <w:rsid w:val="00642A5E"/>
    <w:rsid w:val="00642AB5"/>
    <w:rsid w:val="00642DF0"/>
    <w:rsid w:val="00643082"/>
    <w:rsid w:val="006433C4"/>
    <w:rsid w:val="00644F00"/>
    <w:rsid w:val="00644FAC"/>
    <w:rsid w:val="006454BD"/>
    <w:rsid w:val="00645E95"/>
    <w:rsid w:val="00646447"/>
    <w:rsid w:val="006464D1"/>
    <w:rsid w:val="00646B8C"/>
    <w:rsid w:val="00646BCC"/>
    <w:rsid w:val="00646D2B"/>
    <w:rsid w:val="00646DA8"/>
    <w:rsid w:val="00646E2B"/>
    <w:rsid w:val="00647416"/>
    <w:rsid w:val="006477AB"/>
    <w:rsid w:val="006478E1"/>
    <w:rsid w:val="006503C7"/>
    <w:rsid w:val="00650B0F"/>
    <w:rsid w:val="00651465"/>
    <w:rsid w:val="006516DE"/>
    <w:rsid w:val="006521A5"/>
    <w:rsid w:val="00652454"/>
    <w:rsid w:val="0065255B"/>
    <w:rsid w:val="00652A8D"/>
    <w:rsid w:val="00652DAB"/>
    <w:rsid w:val="00652FBB"/>
    <w:rsid w:val="006532D3"/>
    <w:rsid w:val="00653345"/>
    <w:rsid w:val="00653A64"/>
    <w:rsid w:val="0065470C"/>
    <w:rsid w:val="006548A6"/>
    <w:rsid w:val="00654B1C"/>
    <w:rsid w:val="00654CDE"/>
    <w:rsid w:val="006551A2"/>
    <w:rsid w:val="006553A3"/>
    <w:rsid w:val="00655445"/>
    <w:rsid w:val="0065567E"/>
    <w:rsid w:val="00655D38"/>
    <w:rsid w:val="006568EA"/>
    <w:rsid w:val="00656D50"/>
    <w:rsid w:val="00656E29"/>
    <w:rsid w:val="00656E52"/>
    <w:rsid w:val="006570AA"/>
    <w:rsid w:val="00657355"/>
    <w:rsid w:val="006573E5"/>
    <w:rsid w:val="00657524"/>
    <w:rsid w:val="006575BA"/>
    <w:rsid w:val="0065790B"/>
    <w:rsid w:val="00657AEB"/>
    <w:rsid w:val="00657BA7"/>
    <w:rsid w:val="006602DB"/>
    <w:rsid w:val="00660391"/>
    <w:rsid w:val="006608B3"/>
    <w:rsid w:val="006608F9"/>
    <w:rsid w:val="00660CCE"/>
    <w:rsid w:val="0066139A"/>
    <w:rsid w:val="006613F9"/>
    <w:rsid w:val="00661C66"/>
    <w:rsid w:val="00662151"/>
    <w:rsid w:val="0066215E"/>
    <w:rsid w:val="0066253C"/>
    <w:rsid w:val="0066293D"/>
    <w:rsid w:val="00662BD0"/>
    <w:rsid w:val="00662E4A"/>
    <w:rsid w:val="0066300C"/>
    <w:rsid w:val="00663EA5"/>
    <w:rsid w:val="00663FE4"/>
    <w:rsid w:val="00664496"/>
    <w:rsid w:val="0066476E"/>
    <w:rsid w:val="00664A0C"/>
    <w:rsid w:val="00664BB3"/>
    <w:rsid w:val="00664C20"/>
    <w:rsid w:val="00665075"/>
    <w:rsid w:val="006656FD"/>
    <w:rsid w:val="00666064"/>
    <w:rsid w:val="006662A7"/>
    <w:rsid w:val="006663D5"/>
    <w:rsid w:val="0066664A"/>
    <w:rsid w:val="006668DD"/>
    <w:rsid w:val="00667B37"/>
    <w:rsid w:val="00667E54"/>
    <w:rsid w:val="00670400"/>
    <w:rsid w:val="006708D8"/>
    <w:rsid w:val="00670C15"/>
    <w:rsid w:val="00670D32"/>
    <w:rsid w:val="00670E34"/>
    <w:rsid w:val="006714BC"/>
    <w:rsid w:val="006714F8"/>
    <w:rsid w:val="00671623"/>
    <w:rsid w:val="0067187B"/>
    <w:rsid w:val="00671AAB"/>
    <w:rsid w:val="0067264F"/>
    <w:rsid w:val="006726EE"/>
    <w:rsid w:val="00672746"/>
    <w:rsid w:val="0067295B"/>
    <w:rsid w:val="00672A82"/>
    <w:rsid w:val="00672F9C"/>
    <w:rsid w:val="006735D6"/>
    <w:rsid w:val="00673E15"/>
    <w:rsid w:val="00673FBF"/>
    <w:rsid w:val="00674F8E"/>
    <w:rsid w:val="006752C1"/>
    <w:rsid w:val="006752C4"/>
    <w:rsid w:val="00675424"/>
    <w:rsid w:val="006754A5"/>
    <w:rsid w:val="006757C7"/>
    <w:rsid w:val="0067589D"/>
    <w:rsid w:val="00677075"/>
    <w:rsid w:val="006800B9"/>
    <w:rsid w:val="006801C6"/>
    <w:rsid w:val="00680A8F"/>
    <w:rsid w:val="00680D8C"/>
    <w:rsid w:val="0068104F"/>
    <w:rsid w:val="0068113C"/>
    <w:rsid w:val="0068126A"/>
    <w:rsid w:val="006815AD"/>
    <w:rsid w:val="00681862"/>
    <w:rsid w:val="00681B21"/>
    <w:rsid w:val="00681B22"/>
    <w:rsid w:val="00681B91"/>
    <w:rsid w:val="00681E0E"/>
    <w:rsid w:val="00682257"/>
    <w:rsid w:val="0068267D"/>
    <w:rsid w:val="00682746"/>
    <w:rsid w:val="0068367D"/>
    <w:rsid w:val="00683B52"/>
    <w:rsid w:val="006842A4"/>
    <w:rsid w:val="006843FB"/>
    <w:rsid w:val="0068452D"/>
    <w:rsid w:val="00684627"/>
    <w:rsid w:val="00684726"/>
    <w:rsid w:val="00684ED6"/>
    <w:rsid w:val="00685354"/>
    <w:rsid w:val="0068591F"/>
    <w:rsid w:val="006859A7"/>
    <w:rsid w:val="00685B5E"/>
    <w:rsid w:val="00685E75"/>
    <w:rsid w:val="006866F8"/>
    <w:rsid w:val="00686F67"/>
    <w:rsid w:val="00686FAC"/>
    <w:rsid w:val="006872A2"/>
    <w:rsid w:val="00687B2C"/>
    <w:rsid w:val="006901B7"/>
    <w:rsid w:val="006905AF"/>
    <w:rsid w:val="006905EA"/>
    <w:rsid w:val="006905F8"/>
    <w:rsid w:val="00690648"/>
    <w:rsid w:val="00690789"/>
    <w:rsid w:val="0069092D"/>
    <w:rsid w:val="0069119E"/>
    <w:rsid w:val="006911EC"/>
    <w:rsid w:val="00691241"/>
    <w:rsid w:val="0069183E"/>
    <w:rsid w:val="00692253"/>
    <w:rsid w:val="00692431"/>
    <w:rsid w:val="00692B8B"/>
    <w:rsid w:val="00692DE6"/>
    <w:rsid w:val="006931DD"/>
    <w:rsid w:val="00693296"/>
    <w:rsid w:val="00693526"/>
    <w:rsid w:val="0069363C"/>
    <w:rsid w:val="00693A0A"/>
    <w:rsid w:val="00693B64"/>
    <w:rsid w:val="00693D03"/>
    <w:rsid w:val="00694507"/>
    <w:rsid w:val="006946E9"/>
    <w:rsid w:val="00694CA4"/>
    <w:rsid w:val="00694D17"/>
    <w:rsid w:val="00694EDA"/>
    <w:rsid w:val="00694EF2"/>
    <w:rsid w:val="00695051"/>
    <w:rsid w:val="006953BA"/>
    <w:rsid w:val="006959F4"/>
    <w:rsid w:val="00695AD6"/>
    <w:rsid w:val="00696979"/>
    <w:rsid w:val="00696997"/>
    <w:rsid w:val="00696A85"/>
    <w:rsid w:val="00696DA0"/>
    <w:rsid w:val="006971E2"/>
    <w:rsid w:val="0069725C"/>
    <w:rsid w:val="0069788C"/>
    <w:rsid w:val="00697994"/>
    <w:rsid w:val="00697EF3"/>
    <w:rsid w:val="006A026D"/>
    <w:rsid w:val="006A0686"/>
    <w:rsid w:val="006A09E7"/>
    <w:rsid w:val="006A0AF3"/>
    <w:rsid w:val="006A0F83"/>
    <w:rsid w:val="006A11D0"/>
    <w:rsid w:val="006A1406"/>
    <w:rsid w:val="006A1EFF"/>
    <w:rsid w:val="006A1FB4"/>
    <w:rsid w:val="006A2041"/>
    <w:rsid w:val="006A274D"/>
    <w:rsid w:val="006A2C77"/>
    <w:rsid w:val="006A2DB8"/>
    <w:rsid w:val="006A3563"/>
    <w:rsid w:val="006A35D0"/>
    <w:rsid w:val="006A36C2"/>
    <w:rsid w:val="006A4206"/>
    <w:rsid w:val="006A4753"/>
    <w:rsid w:val="006A4872"/>
    <w:rsid w:val="006A4E53"/>
    <w:rsid w:val="006A59FA"/>
    <w:rsid w:val="006A5B05"/>
    <w:rsid w:val="006A5D71"/>
    <w:rsid w:val="006A5EDB"/>
    <w:rsid w:val="006A5F57"/>
    <w:rsid w:val="006A6081"/>
    <w:rsid w:val="006A6A8F"/>
    <w:rsid w:val="006A73C1"/>
    <w:rsid w:val="006A73FA"/>
    <w:rsid w:val="006A76A1"/>
    <w:rsid w:val="006A7FDE"/>
    <w:rsid w:val="006B0133"/>
    <w:rsid w:val="006B0744"/>
    <w:rsid w:val="006B0AFE"/>
    <w:rsid w:val="006B0B2C"/>
    <w:rsid w:val="006B0BDA"/>
    <w:rsid w:val="006B0DD8"/>
    <w:rsid w:val="006B0E2D"/>
    <w:rsid w:val="006B194C"/>
    <w:rsid w:val="006B1A94"/>
    <w:rsid w:val="006B21E4"/>
    <w:rsid w:val="006B2642"/>
    <w:rsid w:val="006B2FB8"/>
    <w:rsid w:val="006B32BC"/>
    <w:rsid w:val="006B3498"/>
    <w:rsid w:val="006B37BB"/>
    <w:rsid w:val="006B42B2"/>
    <w:rsid w:val="006B447B"/>
    <w:rsid w:val="006B45B4"/>
    <w:rsid w:val="006B4959"/>
    <w:rsid w:val="006B496D"/>
    <w:rsid w:val="006B4CD3"/>
    <w:rsid w:val="006B5267"/>
    <w:rsid w:val="006B526F"/>
    <w:rsid w:val="006B55BA"/>
    <w:rsid w:val="006B5930"/>
    <w:rsid w:val="006B5A35"/>
    <w:rsid w:val="006B5CD1"/>
    <w:rsid w:val="006B5E43"/>
    <w:rsid w:val="006B5EBE"/>
    <w:rsid w:val="006B6C71"/>
    <w:rsid w:val="006B6FF6"/>
    <w:rsid w:val="006B707F"/>
    <w:rsid w:val="006B7FE8"/>
    <w:rsid w:val="006C0483"/>
    <w:rsid w:val="006C1123"/>
    <w:rsid w:val="006C16E5"/>
    <w:rsid w:val="006C1CC0"/>
    <w:rsid w:val="006C2657"/>
    <w:rsid w:val="006C275C"/>
    <w:rsid w:val="006C3168"/>
    <w:rsid w:val="006C32BF"/>
    <w:rsid w:val="006C37B9"/>
    <w:rsid w:val="006C3D6C"/>
    <w:rsid w:val="006C40BD"/>
    <w:rsid w:val="006C48C5"/>
    <w:rsid w:val="006C4949"/>
    <w:rsid w:val="006C49B0"/>
    <w:rsid w:val="006C4C9E"/>
    <w:rsid w:val="006C51C5"/>
    <w:rsid w:val="006C51E5"/>
    <w:rsid w:val="006C52CD"/>
    <w:rsid w:val="006C54BF"/>
    <w:rsid w:val="006C57F0"/>
    <w:rsid w:val="006C5AD0"/>
    <w:rsid w:val="006C5CF6"/>
    <w:rsid w:val="006C618C"/>
    <w:rsid w:val="006C6D11"/>
    <w:rsid w:val="006C6E0A"/>
    <w:rsid w:val="006C70CF"/>
    <w:rsid w:val="006C7D28"/>
    <w:rsid w:val="006C7D39"/>
    <w:rsid w:val="006D05A6"/>
    <w:rsid w:val="006D0C65"/>
    <w:rsid w:val="006D10B2"/>
    <w:rsid w:val="006D1BA5"/>
    <w:rsid w:val="006D1C18"/>
    <w:rsid w:val="006D1DB3"/>
    <w:rsid w:val="006D20EE"/>
    <w:rsid w:val="006D2437"/>
    <w:rsid w:val="006D2C20"/>
    <w:rsid w:val="006D2D4F"/>
    <w:rsid w:val="006D3051"/>
    <w:rsid w:val="006D329C"/>
    <w:rsid w:val="006D336B"/>
    <w:rsid w:val="006D364B"/>
    <w:rsid w:val="006D3B5A"/>
    <w:rsid w:val="006D3B75"/>
    <w:rsid w:val="006D3BD4"/>
    <w:rsid w:val="006D3C0D"/>
    <w:rsid w:val="006D40E7"/>
    <w:rsid w:val="006D44DD"/>
    <w:rsid w:val="006D457D"/>
    <w:rsid w:val="006D45ED"/>
    <w:rsid w:val="006D474A"/>
    <w:rsid w:val="006D4907"/>
    <w:rsid w:val="006D4935"/>
    <w:rsid w:val="006D4FE5"/>
    <w:rsid w:val="006D5CFC"/>
    <w:rsid w:val="006D6389"/>
    <w:rsid w:val="006D679A"/>
    <w:rsid w:val="006D6E57"/>
    <w:rsid w:val="006D7168"/>
    <w:rsid w:val="006D72B3"/>
    <w:rsid w:val="006D75CF"/>
    <w:rsid w:val="006D79AF"/>
    <w:rsid w:val="006D7C82"/>
    <w:rsid w:val="006E016E"/>
    <w:rsid w:val="006E0504"/>
    <w:rsid w:val="006E0817"/>
    <w:rsid w:val="006E0B3C"/>
    <w:rsid w:val="006E0CEF"/>
    <w:rsid w:val="006E0D20"/>
    <w:rsid w:val="006E1006"/>
    <w:rsid w:val="006E1392"/>
    <w:rsid w:val="006E14B4"/>
    <w:rsid w:val="006E1C5A"/>
    <w:rsid w:val="006E2038"/>
    <w:rsid w:val="006E260A"/>
    <w:rsid w:val="006E26EF"/>
    <w:rsid w:val="006E2716"/>
    <w:rsid w:val="006E29AB"/>
    <w:rsid w:val="006E2DFB"/>
    <w:rsid w:val="006E2EAF"/>
    <w:rsid w:val="006E2F6A"/>
    <w:rsid w:val="006E30A9"/>
    <w:rsid w:val="006E31A8"/>
    <w:rsid w:val="006E31C7"/>
    <w:rsid w:val="006E3780"/>
    <w:rsid w:val="006E3CEE"/>
    <w:rsid w:val="006E3D9A"/>
    <w:rsid w:val="006E3DE3"/>
    <w:rsid w:val="006E44E2"/>
    <w:rsid w:val="006E4FC5"/>
    <w:rsid w:val="006E59F1"/>
    <w:rsid w:val="006E5B32"/>
    <w:rsid w:val="006E5BA1"/>
    <w:rsid w:val="006E66BF"/>
    <w:rsid w:val="006E674A"/>
    <w:rsid w:val="006E68E8"/>
    <w:rsid w:val="006E6957"/>
    <w:rsid w:val="006E6EC6"/>
    <w:rsid w:val="006E6FA4"/>
    <w:rsid w:val="006E708E"/>
    <w:rsid w:val="006E718E"/>
    <w:rsid w:val="006E72F8"/>
    <w:rsid w:val="006E7B7C"/>
    <w:rsid w:val="006E7B93"/>
    <w:rsid w:val="006E7D5E"/>
    <w:rsid w:val="006F01F3"/>
    <w:rsid w:val="006F0526"/>
    <w:rsid w:val="006F0AD8"/>
    <w:rsid w:val="006F0BF7"/>
    <w:rsid w:val="006F0C3D"/>
    <w:rsid w:val="006F1247"/>
    <w:rsid w:val="006F1B28"/>
    <w:rsid w:val="006F2420"/>
    <w:rsid w:val="006F247E"/>
    <w:rsid w:val="006F25EF"/>
    <w:rsid w:val="006F26DD"/>
    <w:rsid w:val="006F274F"/>
    <w:rsid w:val="006F2873"/>
    <w:rsid w:val="006F305B"/>
    <w:rsid w:val="006F38EC"/>
    <w:rsid w:val="006F41C7"/>
    <w:rsid w:val="006F46BB"/>
    <w:rsid w:val="006F479A"/>
    <w:rsid w:val="006F50F1"/>
    <w:rsid w:val="006F54AB"/>
    <w:rsid w:val="006F593F"/>
    <w:rsid w:val="006F59F5"/>
    <w:rsid w:val="006F5C75"/>
    <w:rsid w:val="006F622E"/>
    <w:rsid w:val="006F69EF"/>
    <w:rsid w:val="006F6DA6"/>
    <w:rsid w:val="006F71D0"/>
    <w:rsid w:val="006F74EA"/>
    <w:rsid w:val="00700C71"/>
    <w:rsid w:val="00700FA4"/>
    <w:rsid w:val="007020EE"/>
    <w:rsid w:val="0070225F"/>
    <w:rsid w:val="00703421"/>
    <w:rsid w:val="007036A2"/>
    <w:rsid w:val="00703948"/>
    <w:rsid w:val="007039BC"/>
    <w:rsid w:val="00704680"/>
    <w:rsid w:val="007046B4"/>
    <w:rsid w:val="0070481D"/>
    <w:rsid w:val="00704B76"/>
    <w:rsid w:val="00704D81"/>
    <w:rsid w:val="007052CF"/>
    <w:rsid w:val="007058D0"/>
    <w:rsid w:val="00705D8D"/>
    <w:rsid w:val="00705E75"/>
    <w:rsid w:val="00705F12"/>
    <w:rsid w:val="0070612C"/>
    <w:rsid w:val="007061AD"/>
    <w:rsid w:val="00706200"/>
    <w:rsid w:val="00706280"/>
    <w:rsid w:val="0070671D"/>
    <w:rsid w:val="00706910"/>
    <w:rsid w:val="00706E13"/>
    <w:rsid w:val="0070778C"/>
    <w:rsid w:val="00707859"/>
    <w:rsid w:val="00707B4A"/>
    <w:rsid w:val="00707E13"/>
    <w:rsid w:val="00707F30"/>
    <w:rsid w:val="007105AF"/>
    <w:rsid w:val="007115A5"/>
    <w:rsid w:val="007116F8"/>
    <w:rsid w:val="00711A6C"/>
    <w:rsid w:val="00711DEF"/>
    <w:rsid w:val="007121F9"/>
    <w:rsid w:val="00712EE2"/>
    <w:rsid w:val="007135F3"/>
    <w:rsid w:val="00713CEE"/>
    <w:rsid w:val="007144E7"/>
    <w:rsid w:val="0071458F"/>
    <w:rsid w:val="00714690"/>
    <w:rsid w:val="007147BF"/>
    <w:rsid w:val="00714B5A"/>
    <w:rsid w:val="00715241"/>
    <w:rsid w:val="007153A9"/>
    <w:rsid w:val="00715604"/>
    <w:rsid w:val="00715B0C"/>
    <w:rsid w:val="00715F74"/>
    <w:rsid w:val="00715FF7"/>
    <w:rsid w:val="007160A3"/>
    <w:rsid w:val="00716A2C"/>
    <w:rsid w:val="00716E18"/>
    <w:rsid w:val="007171EE"/>
    <w:rsid w:val="00717315"/>
    <w:rsid w:val="00717FBA"/>
    <w:rsid w:val="007205FE"/>
    <w:rsid w:val="00720875"/>
    <w:rsid w:val="00720ABA"/>
    <w:rsid w:val="00720AD8"/>
    <w:rsid w:val="00720BCE"/>
    <w:rsid w:val="00720E40"/>
    <w:rsid w:val="00721630"/>
    <w:rsid w:val="00721673"/>
    <w:rsid w:val="0072186A"/>
    <w:rsid w:val="0072187A"/>
    <w:rsid w:val="00721CB2"/>
    <w:rsid w:val="00721DDC"/>
    <w:rsid w:val="00721F0C"/>
    <w:rsid w:val="00722BB2"/>
    <w:rsid w:val="00723416"/>
    <w:rsid w:val="007235A3"/>
    <w:rsid w:val="007237FB"/>
    <w:rsid w:val="00723B99"/>
    <w:rsid w:val="00723DB2"/>
    <w:rsid w:val="00723E19"/>
    <w:rsid w:val="007240B7"/>
    <w:rsid w:val="00724133"/>
    <w:rsid w:val="00724C1E"/>
    <w:rsid w:val="00724C60"/>
    <w:rsid w:val="0072536B"/>
    <w:rsid w:val="007253BD"/>
    <w:rsid w:val="007254E1"/>
    <w:rsid w:val="00725604"/>
    <w:rsid w:val="00725C4C"/>
    <w:rsid w:val="00725FF3"/>
    <w:rsid w:val="007262AC"/>
    <w:rsid w:val="007262FB"/>
    <w:rsid w:val="007267B4"/>
    <w:rsid w:val="007267DA"/>
    <w:rsid w:val="00726BB7"/>
    <w:rsid w:val="00726DA8"/>
    <w:rsid w:val="00726E9A"/>
    <w:rsid w:val="007270C3"/>
    <w:rsid w:val="0072760F"/>
    <w:rsid w:val="00727632"/>
    <w:rsid w:val="00727ECC"/>
    <w:rsid w:val="007300F1"/>
    <w:rsid w:val="0073031C"/>
    <w:rsid w:val="00730715"/>
    <w:rsid w:val="0073074C"/>
    <w:rsid w:val="00730A9B"/>
    <w:rsid w:val="00730B08"/>
    <w:rsid w:val="00731AF6"/>
    <w:rsid w:val="00731F72"/>
    <w:rsid w:val="00731F8E"/>
    <w:rsid w:val="00732196"/>
    <w:rsid w:val="0073253D"/>
    <w:rsid w:val="007328A5"/>
    <w:rsid w:val="00732AD5"/>
    <w:rsid w:val="00732C2E"/>
    <w:rsid w:val="00733038"/>
    <w:rsid w:val="0073305C"/>
    <w:rsid w:val="0073323F"/>
    <w:rsid w:val="00733B1C"/>
    <w:rsid w:val="00733CE4"/>
    <w:rsid w:val="00733EE7"/>
    <w:rsid w:val="00733F14"/>
    <w:rsid w:val="007340D8"/>
    <w:rsid w:val="00734571"/>
    <w:rsid w:val="007348AC"/>
    <w:rsid w:val="00734AAA"/>
    <w:rsid w:val="00734AE6"/>
    <w:rsid w:val="00734BC2"/>
    <w:rsid w:val="00734CDA"/>
    <w:rsid w:val="00734EF0"/>
    <w:rsid w:val="007359CF"/>
    <w:rsid w:val="00735ADE"/>
    <w:rsid w:val="00735C5C"/>
    <w:rsid w:val="00735FA2"/>
    <w:rsid w:val="00735FC3"/>
    <w:rsid w:val="007360E9"/>
    <w:rsid w:val="00736876"/>
    <w:rsid w:val="00736BA7"/>
    <w:rsid w:val="00736FF5"/>
    <w:rsid w:val="00737166"/>
    <w:rsid w:val="00737338"/>
    <w:rsid w:val="007375BC"/>
    <w:rsid w:val="0074006A"/>
    <w:rsid w:val="00740451"/>
    <w:rsid w:val="00740D6F"/>
    <w:rsid w:val="00740FC9"/>
    <w:rsid w:val="007410B6"/>
    <w:rsid w:val="007410E5"/>
    <w:rsid w:val="007410F8"/>
    <w:rsid w:val="007413DE"/>
    <w:rsid w:val="0074175A"/>
    <w:rsid w:val="007417AE"/>
    <w:rsid w:val="0074242F"/>
    <w:rsid w:val="0074255C"/>
    <w:rsid w:val="00742595"/>
    <w:rsid w:val="0074270F"/>
    <w:rsid w:val="00742B24"/>
    <w:rsid w:val="00742DF7"/>
    <w:rsid w:val="00742F58"/>
    <w:rsid w:val="00742F83"/>
    <w:rsid w:val="007431D4"/>
    <w:rsid w:val="00743373"/>
    <w:rsid w:val="0074370F"/>
    <w:rsid w:val="0074427C"/>
    <w:rsid w:val="00744731"/>
    <w:rsid w:val="007454E0"/>
    <w:rsid w:val="0074553E"/>
    <w:rsid w:val="007455B5"/>
    <w:rsid w:val="007459AF"/>
    <w:rsid w:val="00745CDF"/>
    <w:rsid w:val="00746034"/>
    <w:rsid w:val="00746209"/>
    <w:rsid w:val="00746296"/>
    <w:rsid w:val="007467EF"/>
    <w:rsid w:val="00746A2C"/>
    <w:rsid w:val="00746A46"/>
    <w:rsid w:val="0074706D"/>
    <w:rsid w:val="00747CBC"/>
    <w:rsid w:val="00747FFE"/>
    <w:rsid w:val="00750347"/>
    <w:rsid w:val="00750365"/>
    <w:rsid w:val="007506B7"/>
    <w:rsid w:val="00750874"/>
    <w:rsid w:val="007508BD"/>
    <w:rsid w:val="007509B7"/>
    <w:rsid w:val="00750A09"/>
    <w:rsid w:val="00750B2A"/>
    <w:rsid w:val="00750E52"/>
    <w:rsid w:val="007519BF"/>
    <w:rsid w:val="00751DAA"/>
    <w:rsid w:val="00751ECA"/>
    <w:rsid w:val="0075237A"/>
    <w:rsid w:val="00752513"/>
    <w:rsid w:val="00752AEF"/>
    <w:rsid w:val="00753035"/>
    <w:rsid w:val="00753474"/>
    <w:rsid w:val="0075457B"/>
    <w:rsid w:val="007549CD"/>
    <w:rsid w:val="00754DB8"/>
    <w:rsid w:val="0075564E"/>
    <w:rsid w:val="00755781"/>
    <w:rsid w:val="00755858"/>
    <w:rsid w:val="00755D3E"/>
    <w:rsid w:val="00755EFE"/>
    <w:rsid w:val="007564E9"/>
    <w:rsid w:val="007575A9"/>
    <w:rsid w:val="007576C2"/>
    <w:rsid w:val="00757762"/>
    <w:rsid w:val="007579C6"/>
    <w:rsid w:val="00757BA1"/>
    <w:rsid w:val="00757C97"/>
    <w:rsid w:val="007600FF"/>
    <w:rsid w:val="007612E8"/>
    <w:rsid w:val="00761A81"/>
    <w:rsid w:val="007620B2"/>
    <w:rsid w:val="00762EF1"/>
    <w:rsid w:val="0076313B"/>
    <w:rsid w:val="00763C30"/>
    <w:rsid w:val="00763D0D"/>
    <w:rsid w:val="0076472A"/>
    <w:rsid w:val="007649E1"/>
    <w:rsid w:val="00764A8F"/>
    <w:rsid w:val="00764E2C"/>
    <w:rsid w:val="00764F6F"/>
    <w:rsid w:val="00765A8E"/>
    <w:rsid w:val="0076606C"/>
    <w:rsid w:val="007662E6"/>
    <w:rsid w:val="00766C21"/>
    <w:rsid w:val="0076737D"/>
    <w:rsid w:val="007674DE"/>
    <w:rsid w:val="007676D8"/>
    <w:rsid w:val="0076780C"/>
    <w:rsid w:val="00767C58"/>
    <w:rsid w:val="00767D6E"/>
    <w:rsid w:val="00767FB5"/>
    <w:rsid w:val="00770025"/>
    <w:rsid w:val="007700AD"/>
    <w:rsid w:val="00770429"/>
    <w:rsid w:val="00770A82"/>
    <w:rsid w:val="00770A99"/>
    <w:rsid w:val="00770C2A"/>
    <w:rsid w:val="00770CDE"/>
    <w:rsid w:val="00770D56"/>
    <w:rsid w:val="00770DA3"/>
    <w:rsid w:val="0077105F"/>
    <w:rsid w:val="007713C1"/>
    <w:rsid w:val="00771529"/>
    <w:rsid w:val="00771776"/>
    <w:rsid w:val="0077187E"/>
    <w:rsid w:val="00771A96"/>
    <w:rsid w:val="00771B77"/>
    <w:rsid w:val="00771FC5"/>
    <w:rsid w:val="00771FCB"/>
    <w:rsid w:val="007722EE"/>
    <w:rsid w:val="007728F5"/>
    <w:rsid w:val="00772C34"/>
    <w:rsid w:val="007732C0"/>
    <w:rsid w:val="00773654"/>
    <w:rsid w:val="007736FC"/>
    <w:rsid w:val="00773788"/>
    <w:rsid w:val="00773908"/>
    <w:rsid w:val="007741FA"/>
    <w:rsid w:val="007745DD"/>
    <w:rsid w:val="007747AD"/>
    <w:rsid w:val="00774A38"/>
    <w:rsid w:val="0077530E"/>
    <w:rsid w:val="00775682"/>
    <w:rsid w:val="00775D22"/>
    <w:rsid w:val="00775F56"/>
    <w:rsid w:val="00775FBC"/>
    <w:rsid w:val="0077603B"/>
    <w:rsid w:val="00776703"/>
    <w:rsid w:val="00776745"/>
    <w:rsid w:val="00776AB3"/>
    <w:rsid w:val="00776EE0"/>
    <w:rsid w:val="00776EFA"/>
    <w:rsid w:val="007770B6"/>
    <w:rsid w:val="0077714C"/>
    <w:rsid w:val="007775B8"/>
    <w:rsid w:val="0077765F"/>
    <w:rsid w:val="00777BDF"/>
    <w:rsid w:val="00777E53"/>
    <w:rsid w:val="00777FED"/>
    <w:rsid w:val="007805D5"/>
    <w:rsid w:val="00780655"/>
    <w:rsid w:val="007809C3"/>
    <w:rsid w:val="00780BF9"/>
    <w:rsid w:val="0078137D"/>
    <w:rsid w:val="00781434"/>
    <w:rsid w:val="00781561"/>
    <w:rsid w:val="00781A14"/>
    <w:rsid w:val="007820A6"/>
    <w:rsid w:val="007820F8"/>
    <w:rsid w:val="00782680"/>
    <w:rsid w:val="00782A49"/>
    <w:rsid w:val="00782AA7"/>
    <w:rsid w:val="00782BC7"/>
    <w:rsid w:val="00783233"/>
    <w:rsid w:val="007834EF"/>
    <w:rsid w:val="007838ED"/>
    <w:rsid w:val="00783B74"/>
    <w:rsid w:val="00783C9F"/>
    <w:rsid w:val="00784AD6"/>
    <w:rsid w:val="00784EDE"/>
    <w:rsid w:val="007850A1"/>
    <w:rsid w:val="00785327"/>
    <w:rsid w:val="007860B1"/>
    <w:rsid w:val="007864F6"/>
    <w:rsid w:val="00786890"/>
    <w:rsid w:val="007868EB"/>
    <w:rsid w:val="00786AF7"/>
    <w:rsid w:val="0078785E"/>
    <w:rsid w:val="00787F9A"/>
    <w:rsid w:val="00790470"/>
    <w:rsid w:val="00790698"/>
    <w:rsid w:val="00790E57"/>
    <w:rsid w:val="0079107E"/>
    <w:rsid w:val="00791377"/>
    <w:rsid w:val="00791400"/>
    <w:rsid w:val="00791879"/>
    <w:rsid w:val="00791B48"/>
    <w:rsid w:val="00791F07"/>
    <w:rsid w:val="007921AC"/>
    <w:rsid w:val="0079261F"/>
    <w:rsid w:val="00792F1C"/>
    <w:rsid w:val="00793030"/>
    <w:rsid w:val="007932BE"/>
    <w:rsid w:val="00793C8F"/>
    <w:rsid w:val="00794143"/>
    <w:rsid w:val="007942D2"/>
    <w:rsid w:val="00795377"/>
    <w:rsid w:val="0079548F"/>
    <w:rsid w:val="00795722"/>
    <w:rsid w:val="007957B1"/>
    <w:rsid w:val="00795829"/>
    <w:rsid w:val="00795A3D"/>
    <w:rsid w:val="00795A3E"/>
    <w:rsid w:val="007964F1"/>
    <w:rsid w:val="00796707"/>
    <w:rsid w:val="00796992"/>
    <w:rsid w:val="00796A51"/>
    <w:rsid w:val="00796CA0"/>
    <w:rsid w:val="00796E31"/>
    <w:rsid w:val="00797591"/>
    <w:rsid w:val="0079786C"/>
    <w:rsid w:val="007A064C"/>
    <w:rsid w:val="007A17F3"/>
    <w:rsid w:val="007A2A04"/>
    <w:rsid w:val="007A2A31"/>
    <w:rsid w:val="007A2B31"/>
    <w:rsid w:val="007A2B39"/>
    <w:rsid w:val="007A317B"/>
    <w:rsid w:val="007A31F2"/>
    <w:rsid w:val="007A363F"/>
    <w:rsid w:val="007A3AB5"/>
    <w:rsid w:val="007A3AD6"/>
    <w:rsid w:val="007A3E9E"/>
    <w:rsid w:val="007A45BC"/>
    <w:rsid w:val="007A4787"/>
    <w:rsid w:val="007A4C50"/>
    <w:rsid w:val="007A4EB4"/>
    <w:rsid w:val="007A4FB2"/>
    <w:rsid w:val="007A555F"/>
    <w:rsid w:val="007A5677"/>
    <w:rsid w:val="007A59AC"/>
    <w:rsid w:val="007A5BB0"/>
    <w:rsid w:val="007A5BB9"/>
    <w:rsid w:val="007A5D06"/>
    <w:rsid w:val="007A5EB7"/>
    <w:rsid w:val="007A63C5"/>
    <w:rsid w:val="007A68E4"/>
    <w:rsid w:val="007A7399"/>
    <w:rsid w:val="007A768F"/>
    <w:rsid w:val="007A788F"/>
    <w:rsid w:val="007B021B"/>
    <w:rsid w:val="007B08DA"/>
    <w:rsid w:val="007B0AED"/>
    <w:rsid w:val="007B0B9F"/>
    <w:rsid w:val="007B0BC8"/>
    <w:rsid w:val="007B0F25"/>
    <w:rsid w:val="007B105B"/>
    <w:rsid w:val="007B1999"/>
    <w:rsid w:val="007B1BB8"/>
    <w:rsid w:val="007B20B3"/>
    <w:rsid w:val="007B23FE"/>
    <w:rsid w:val="007B25D0"/>
    <w:rsid w:val="007B2CB9"/>
    <w:rsid w:val="007B3291"/>
    <w:rsid w:val="007B3339"/>
    <w:rsid w:val="007B3720"/>
    <w:rsid w:val="007B38CD"/>
    <w:rsid w:val="007B3E00"/>
    <w:rsid w:val="007B42FC"/>
    <w:rsid w:val="007B4BD7"/>
    <w:rsid w:val="007B53E0"/>
    <w:rsid w:val="007B5477"/>
    <w:rsid w:val="007B572C"/>
    <w:rsid w:val="007B57C3"/>
    <w:rsid w:val="007B5CD1"/>
    <w:rsid w:val="007B5E05"/>
    <w:rsid w:val="007B5E78"/>
    <w:rsid w:val="007B5F58"/>
    <w:rsid w:val="007B6014"/>
    <w:rsid w:val="007B62D1"/>
    <w:rsid w:val="007B63BE"/>
    <w:rsid w:val="007B63C0"/>
    <w:rsid w:val="007B66E6"/>
    <w:rsid w:val="007B6807"/>
    <w:rsid w:val="007B73DC"/>
    <w:rsid w:val="007B7FF1"/>
    <w:rsid w:val="007C02BB"/>
    <w:rsid w:val="007C0341"/>
    <w:rsid w:val="007C085E"/>
    <w:rsid w:val="007C08BB"/>
    <w:rsid w:val="007C0ACE"/>
    <w:rsid w:val="007C0C8B"/>
    <w:rsid w:val="007C0E69"/>
    <w:rsid w:val="007C1B31"/>
    <w:rsid w:val="007C1B83"/>
    <w:rsid w:val="007C245D"/>
    <w:rsid w:val="007C26AE"/>
    <w:rsid w:val="007C3178"/>
    <w:rsid w:val="007C3C99"/>
    <w:rsid w:val="007C3DC2"/>
    <w:rsid w:val="007C3DF6"/>
    <w:rsid w:val="007C40A8"/>
    <w:rsid w:val="007C4137"/>
    <w:rsid w:val="007C41C0"/>
    <w:rsid w:val="007C4C51"/>
    <w:rsid w:val="007C53E0"/>
    <w:rsid w:val="007C5406"/>
    <w:rsid w:val="007C5591"/>
    <w:rsid w:val="007C59BF"/>
    <w:rsid w:val="007C67D2"/>
    <w:rsid w:val="007C6835"/>
    <w:rsid w:val="007C6A80"/>
    <w:rsid w:val="007C6F54"/>
    <w:rsid w:val="007C7131"/>
    <w:rsid w:val="007C77E5"/>
    <w:rsid w:val="007C78B2"/>
    <w:rsid w:val="007C7ACE"/>
    <w:rsid w:val="007D013C"/>
    <w:rsid w:val="007D0448"/>
    <w:rsid w:val="007D07CB"/>
    <w:rsid w:val="007D087E"/>
    <w:rsid w:val="007D1293"/>
    <w:rsid w:val="007D1351"/>
    <w:rsid w:val="007D1453"/>
    <w:rsid w:val="007D21B2"/>
    <w:rsid w:val="007D25F6"/>
    <w:rsid w:val="007D2698"/>
    <w:rsid w:val="007D29FE"/>
    <w:rsid w:val="007D2B13"/>
    <w:rsid w:val="007D2B4E"/>
    <w:rsid w:val="007D2F17"/>
    <w:rsid w:val="007D3436"/>
    <w:rsid w:val="007D35F2"/>
    <w:rsid w:val="007D37D2"/>
    <w:rsid w:val="007D3DCA"/>
    <w:rsid w:val="007D3F05"/>
    <w:rsid w:val="007D4258"/>
    <w:rsid w:val="007D475B"/>
    <w:rsid w:val="007D4B77"/>
    <w:rsid w:val="007D4C68"/>
    <w:rsid w:val="007D561B"/>
    <w:rsid w:val="007D596B"/>
    <w:rsid w:val="007D5AD4"/>
    <w:rsid w:val="007D5C05"/>
    <w:rsid w:val="007D68DD"/>
    <w:rsid w:val="007D74D8"/>
    <w:rsid w:val="007D7685"/>
    <w:rsid w:val="007D7891"/>
    <w:rsid w:val="007D789D"/>
    <w:rsid w:val="007D7910"/>
    <w:rsid w:val="007D7958"/>
    <w:rsid w:val="007E0784"/>
    <w:rsid w:val="007E07E4"/>
    <w:rsid w:val="007E105E"/>
    <w:rsid w:val="007E14B3"/>
    <w:rsid w:val="007E15F0"/>
    <w:rsid w:val="007E1E02"/>
    <w:rsid w:val="007E1F63"/>
    <w:rsid w:val="007E211A"/>
    <w:rsid w:val="007E21C2"/>
    <w:rsid w:val="007E23BB"/>
    <w:rsid w:val="007E2844"/>
    <w:rsid w:val="007E2C78"/>
    <w:rsid w:val="007E3262"/>
    <w:rsid w:val="007E3C70"/>
    <w:rsid w:val="007E3DF8"/>
    <w:rsid w:val="007E428C"/>
    <w:rsid w:val="007E4905"/>
    <w:rsid w:val="007E4D58"/>
    <w:rsid w:val="007E52B6"/>
    <w:rsid w:val="007E55B4"/>
    <w:rsid w:val="007E55D7"/>
    <w:rsid w:val="007E5618"/>
    <w:rsid w:val="007E57FA"/>
    <w:rsid w:val="007E5881"/>
    <w:rsid w:val="007E6049"/>
    <w:rsid w:val="007E6838"/>
    <w:rsid w:val="007E6994"/>
    <w:rsid w:val="007E7BBE"/>
    <w:rsid w:val="007E7DBF"/>
    <w:rsid w:val="007F014C"/>
    <w:rsid w:val="007F01BB"/>
    <w:rsid w:val="007F0312"/>
    <w:rsid w:val="007F0CBA"/>
    <w:rsid w:val="007F12B3"/>
    <w:rsid w:val="007F1610"/>
    <w:rsid w:val="007F173E"/>
    <w:rsid w:val="007F17E6"/>
    <w:rsid w:val="007F18D7"/>
    <w:rsid w:val="007F1A97"/>
    <w:rsid w:val="007F1AEC"/>
    <w:rsid w:val="007F2AC3"/>
    <w:rsid w:val="007F2C25"/>
    <w:rsid w:val="007F329F"/>
    <w:rsid w:val="007F3AE8"/>
    <w:rsid w:val="007F3E19"/>
    <w:rsid w:val="007F4113"/>
    <w:rsid w:val="007F4601"/>
    <w:rsid w:val="007F4A82"/>
    <w:rsid w:val="007F4AEB"/>
    <w:rsid w:val="007F59B0"/>
    <w:rsid w:val="007F5C5F"/>
    <w:rsid w:val="007F6315"/>
    <w:rsid w:val="007F67B0"/>
    <w:rsid w:val="007F6B3B"/>
    <w:rsid w:val="007F6C69"/>
    <w:rsid w:val="007F6DE7"/>
    <w:rsid w:val="007F6F3B"/>
    <w:rsid w:val="007F7699"/>
    <w:rsid w:val="007F78AF"/>
    <w:rsid w:val="008004C9"/>
    <w:rsid w:val="00800EE4"/>
    <w:rsid w:val="00801481"/>
    <w:rsid w:val="008026DD"/>
    <w:rsid w:val="0080290A"/>
    <w:rsid w:val="00803C92"/>
    <w:rsid w:val="00803CFD"/>
    <w:rsid w:val="0080404A"/>
    <w:rsid w:val="00804257"/>
    <w:rsid w:val="0080467F"/>
    <w:rsid w:val="0080479B"/>
    <w:rsid w:val="00804B84"/>
    <w:rsid w:val="00805194"/>
    <w:rsid w:val="00805501"/>
    <w:rsid w:val="0080592F"/>
    <w:rsid w:val="00805CFC"/>
    <w:rsid w:val="00806913"/>
    <w:rsid w:val="00806950"/>
    <w:rsid w:val="00806F44"/>
    <w:rsid w:val="008076D8"/>
    <w:rsid w:val="0080799E"/>
    <w:rsid w:val="00807D34"/>
    <w:rsid w:val="0081007F"/>
    <w:rsid w:val="00810260"/>
    <w:rsid w:val="00810506"/>
    <w:rsid w:val="00810962"/>
    <w:rsid w:val="00810A11"/>
    <w:rsid w:val="00810D3E"/>
    <w:rsid w:val="00810FB7"/>
    <w:rsid w:val="0081105F"/>
    <w:rsid w:val="008112D3"/>
    <w:rsid w:val="008113D6"/>
    <w:rsid w:val="008116C1"/>
    <w:rsid w:val="00811C72"/>
    <w:rsid w:val="008120FA"/>
    <w:rsid w:val="0081218E"/>
    <w:rsid w:val="008122EF"/>
    <w:rsid w:val="0081338B"/>
    <w:rsid w:val="008135F9"/>
    <w:rsid w:val="008144B0"/>
    <w:rsid w:val="00814542"/>
    <w:rsid w:val="0081473F"/>
    <w:rsid w:val="008147A1"/>
    <w:rsid w:val="008149C0"/>
    <w:rsid w:val="00815993"/>
    <w:rsid w:val="00816178"/>
    <w:rsid w:val="00816895"/>
    <w:rsid w:val="008168BE"/>
    <w:rsid w:val="00816A38"/>
    <w:rsid w:val="00816F02"/>
    <w:rsid w:val="008170B4"/>
    <w:rsid w:val="00817106"/>
    <w:rsid w:val="008171A4"/>
    <w:rsid w:val="008173B6"/>
    <w:rsid w:val="008178E5"/>
    <w:rsid w:val="00817BC9"/>
    <w:rsid w:val="00817C38"/>
    <w:rsid w:val="00820103"/>
    <w:rsid w:val="0082026A"/>
    <w:rsid w:val="00821F86"/>
    <w:rsid w:val="00822196"/>
    <w:rsid w:val="0082219B"/>
    <w:rsid w:val="008224B0"/>
    <w:rsid w:val="00822A28"/>
    <w:rsid w:val="00822A55"/>
    <w:rsid w:val="00822DB7"/>
    <w:rsid w:val="00822EDE"/>
    <w:rsid w:val="0082337C"/>
    <w:rsid w:val="00823D64"/>
    <w:rsid w:val="008244BB"/>
    <w:rsid w:val="008247E5"/>
    <w:rsid w:val="00824A83"/>
    <w:rsid w:val="0082589D"/>
    <w:rsid w:val="00825AE0"/>
    <w:rsid w:val="00826368"/>
    <w:rsid w:val="00826AAF"/>
    <w:rsid w:val="00826B56"/>
    <w:rsid w:val="00826B78"/>
    <w:rsid w:val="00826BF2"/>
    <w:rsid w:val="00826E6F"/>
    <w:rsid w:val="00826EEC"/>
    <w:rsid w:val="00827461"/>
    <w:rsid w:val="008309B6"/>
    <w:rsid w:val="0083100B"/>
    <w:rsid w:val="008310F0"/>
    <w:rsid w:val="0083113D"/>
    <w:rsid w:val="0083121A"/>
    <w:rsid w:val="008314CF"/>
    <w:rsid w:val="00831CF4"/>
    <w:rsid w:val="008321A5"/>
    <w:rsid w:val="00832C09"/>
    <w:rsid w:val="00832C78"/>
    <w:rsid w:val="00832FA2"/>
    <w:rsid w:val="00833113"/>
    <w:rsid w:val="0083313A"/>
    <w:rsid w:val="00833820"/>
    <w:rsid w:val="00833BB1"/>
    <w:rsid w:val="008344AC"/>
    <w:rsid w:val="0083489E"/>
    <w:rsid w:val="00834C5A"/>
    <w:rsid w:val="00834C99"/>
    <w:rsid w:val="0083576D"/>
    <w:rsid w:val="00835860"/>
    <w:rsid w:val="00835D6E"/>
    <w:rsid w:val="00835EC7"/>
    <w:rsid w:val="00835F1B"/>
    <w:rsid w:val="0083608F"/>
    <w:rsid w:val="00836277"/>
    <w:rsid w:val="008368BE"/>
    <w:rsid w:val="00837050"/>
    <w:rsid w:val="008373C1"/>
    <w:rsid w:val="0083744E"/>
    <w:rsid w:val="008378D5"/>
    <w:rsid w:val="00840147"/>
    <w:rsid w:val="0084065C"/>
    <w:rsid w:val="00840851"/>
    <w:rsid w:val="008409E0"/>
    <w:rsid w:val="00840C0B"/>
    <w:rsid w:val="00840EF3"/>
    <w:rsid w:val="008413AD"/>
    <w:rsid w:val="00841482"/>
    <w:rsid w:val="008417C0"/>
    <w:rsid w:val="008419A8"/>
    <w:rsid w:val="00841A2F"/>
    <w:rsid w:val="008421BF"/>
    <w:rsid w:val="008427AE"/>
    <w:rsid w:val="00842DBA"/>
    <w:rsid w:val="00842FF1"/>
    <w:rsid w:val="008430C9"/>
    <w:rsid w:val="00843821"/>
    <w:rsid w:val="008439AB"/>
    <w:rsid w:val="00844183"/>
    <w:rsid w:val="0084422B"/>
    <w:rsid w:val="00844FDD"/>
    <w:rsid w:val="008450F2"/>
    <w:rsid w:val="00845B8F"/>
    <w:rsid w:val="00845BCA"/>
    <w:rsid w:val="00845DEA"/>
    <w:rsid w:val="00845DFC"/>
    <w:rsid w:val="00846441"/>
    <w:rsid w:val="00846929"/>
    <w:rsid w:val="00846CB7"/>
    <w:rsid w:val="0084720E"/>
    <w:rsid w:val="00847610"/>
    <w:rsid w:val="00847C8C"/>
    <w:rsid w:val="00847D03"/>
    <w:rsid w:val="008500C3"/>
    <w:rsid w:val="0085020B"/>
    <w:rsid w:val="008502EB"/>
    <w:rsid w:val="0085048E"/>
    <w:rsid w:val="00850579"/>
    <w:rsid w:val="00850CB6"/>
    <w:rsid w:val="00850FB4"/>
    <w:rsid w:val="00851106"/>
    <w:rsid w:val="00851304"/>
    <w:rsid w:val="0085148C"/>
    <w:rsid w:val="008517C2"/>
    <w:rsid w:val="00851A7D"/>
    <w:rsid w:val="00851F00"/>
    <w:rsid w:val="008521C8"/>
    <w:rsid w:val="008528EA"/>
    <w:rsid w:val="008535D7"/>
    <w:rsid w:val="00853B8F"/>
    <w:rsid w:val="00853EE3"/>
    <w:rsid w:val="00853EF4"/>
    <w:rsid w:val="00853F3E"/>
    <w:rsid w:val="008547D9"/>
    <w:rsid w:val="00854D6A"/>
    <w:rsid w:val="00854F48"/>
    <w:rsid w:val="00855706"/>
    <w:rsid w:val="00855A67"/>
    <w:rsid w:val="00855AF9"/>
    <w:rsid w:val="00856229"/>
    <w:rsid w:val="008567DC"/>
    <w:rsid w:val="00856E07"/>
    <w:rsid w:val="008571B9"/>
    <w:rsid w:val="0085744A"/>
    <w:rsid w:val="0086007F"/>
    <w:rsid w:val="008604B4"/>
    <w:rsid w:val="00860D1C"/>
    <w:rsid w:val="00860D6F"/>
    <w:rsid w:val="00860E86"/>
    <w:rsid w:val="00860F59"/>
    <w:rsid w:val="00862208"/>
    <w:rsid w:val="00862D01"/>
    <w:rsid w:val="00862FF0"/>
    <w:rsid w:val="00863632"/>
    <w:rsid w:val="008637B4"/>
    <w:rsid w:val="008638CC"/>
    <w:rsid w:val="00863A87"/>
    <w:rsid w:val="00863B17"/>
    <w:rsid w:val="00863CB0"/>
    <w:rsid w:val="008642CD"/>
    <w:rsid w:val="0086434E"/>
    <w:rsid w:val="00864677"/>
    <w:rsid w:val="00864BD8"/>
    <w:rsid w:val="008652F2"/>
    <w:rsid w:val="008653AD"/>
    <w:rsid w:val="0086569F"/>
    <w:rsid w:val="00865B3E"/>
    <w:rsid w:val="00865F6C"/>
    <w:rsid w:val="00866AFE"/>
    <w:rsid w:val="00866C6B"/>
    <w:rsid w:val="00867063"/>
    <w:rsid w:val="008672C6"/>
    <w:rsid w:val="008679AA"/>
    <w:rsid w:val="00867B7B"/>
    <w:rsid w:val="00867F85"/>
    <w:rsid w:val="008705C8"/>
    <w:rsid w:val="008707EF"/>
    <w:rsid w:val="00870838"/>
    <w:rsid w:val="00871656"/>
    <w:rsid w:val="00872513"/>
    <w:rsid w:val="008727DB"/>
    <w:rsid w:val="0087286E"/>
    <w:rsid w:val="00872A80"/>
    <w:rsid w:val="008733EF"/>
    <w:rsid w:val="008734CE"/>
    <w:rsid w:val="0087370A"/>
    <w:rsid w:val="0087382E"/>
    <w:rsid w:val="008739C8"/>
    <w:rsid w:val="00873AB6"/>
    <w:rsid w:val="00873FC0"/>
    <w:rsid w:val="00874434"/>
    <w:rsid w:val="0087459D"/>
    <w:rsid w:val="008747F1"/>
    <w:rsid w:val="008748F4"/>
    <w:rsid w:val="00874C7A"/>
    <w:rsid w:val="0087531E"/>
    <w:rsid w:val="008754BB"/>
    <w:rsid w:val="0087575B"/>
    <w:rsid w:val="00875901"/>
    <w:rsid w:val="008759CF"/>
    <w:rsid w:val="00875DDB"/>
    <w:rsid w:val="00876270"/>
    <w:rsid w:val="008766B1"/>
    <w:rsid w:val="008767D0"/>
    <w:rsid w:val="00876943"/>
    <w:rsid w:val="00876C82"/>
    <w:rsid w:val="00877129"/>
    <w:rsid w:val="0087730F"/>
    <w:rsid w:val="00877AF3"/>
    <w:rsid w:val="00877CC0"/>
    <w:rsid w:val="00877D37"/>
    <w:rsid w:val="008800B9"/>
    <w:rsid w:val="00880121"/>
    <w:rsid w:val="00880BAE"/>
    <w:rsid w:val="00880C52"/>
    <w:rsid w:val="00881399"/>
    <w:rsid w:val="0088151D"/>
    <w:rsid w:val="00881AD4"/>
    <w:rsid w:val="00881EB7"/>
    <w:rsid w:val="00881F66"/>
    <w:rsid w:val="008820D0"/>
    <w:rsid w:val="00882282"/>
    <w:rsid w:val="00882A44"/>
    <w:rsid w:val="00882C2F"/>
    <w:rsid w:val="00882E15"/>
    <w:rsid w:val="00882EF5"/>
    <w:rsid w:val="00883097"/>
    <w:rsid w:val="0088314A"/>
    <w:rsid w:val="00883998"/>
    <w:rsid w:val="00883D59"/>
    <w:rsid w:val="00883E20"/>
    <w:rsid w:val="00884131"/>
    <w:rsid w:val="008842FC"/>
    <w:rsid w:val="00884779"/>
    <w:rsid w:val="008848DD"/>
    <w:rsid w:val="008849C3"/>
    <w:rsid w:val="00884D5F"/>
    <w:rsid w:val="00884EA6"/>
    <w:rsid w:val="00885293"/>
    <w:rsid w:val="00885883"/>
    <w:rsid w:val="00885F76"/>
    <w:rsid w:val="00885F84"/>
    <w:rsid w:val="008860E8"/>
    <w:rsid w:val="00886274"/>
    <w:rsid w:val="00886366"/>
    <w:rsid w:val="0088657A"/>
    <w:rsid w:val="00886B95"/>
    <w:rsid w:val="00886F4D"/>
    <w:rsid w:val="00887384"/>
    <w:rsid w:val="00887506"/>
    <w:rsid w:val="00887767"/>
    <w:rsid w:val="008877BD"/>
    <w:rsid w:val="00887B08"/>
    <w:rsid w:val="00890336"/>
    <w:rsid w:val="00890C18"/>
    <w:rsid w:val="00890C8A"/>
    <w:rsid w:val="00890D83"/>
    <w:rsid w:val="00891010"/>
    <w:rsid w:val="008917C7"/>
    <w:rsid w:val="0089196E"/>
    <w:rsid w:val="00891997"/>
    <w:rsid w:val="00891C32"/>
    <w:rsid w:val="00891EA2"/>
    <w:rsid w:val="00892110"/>
    <w:rsid w:val="0089283F"/>
    <w:rsid w:val="00892C7A"/>
    <w:rsid w:val="008936B4"/>
    <w:rsid w:val="008936D6"/>
    <w:rsid w:val="00893BD9"/>
    <w:rsid w:val="00893D4F"/>
    <w:rsid w:val="0089415E"/>
    <w:rsid w:val="00894469"/>
    <w:rsid w:val="008945A2"/>
    <w:rsid w:val="008948AC"/>
    <w:rsid w:val="00894D21"/>
    <w:rsid w:val="00894DEE"/>
    <w:rsid w:val="00896396"/>
    <w:rsid w:val="0089650A"/>
    <w:rsid w:val="0089668F"/>
    <w:rsid w:val="008967FC"/>
    <w:rsid w:val="00896A80"/>
    <w:rsid w:val="00896FE7"/>
    <w:rsid w:val="00897198"/>
    <w:rsid w:val="00897264"/>
    <w:rsid w:val="00897329"/>
    <w:rsid w:val="00897596"/>
    <w:rsid w:val="00897719"/>
    <w:rsid w:val="0089779E"/>
    <w:rsid w:val="00897E98"/>
    <w:rsid w:val="00897EF1"/>
    <w:rsid w:val="008A0111"/>
    <w:rsid w:val="008A03AB"/>
    <w:rsid w:val="008A045C"/>
    <w:rsid w:val="008A0616"/>
    <w:rsid w:val="008A0AF9"/>
    <w:rsid w:val="008A1032"/>
    <w:rsid w:val="008A1187"/>
    <w:rsid w:val="008A1AB3"/>
    <w:rsid w:val="008A1E83"/>
    <w:rsid w:val="008A230B"/>
    <w:rsid w:val="008A27FF"/>
    <w:rsid w:val="008A2883"/>
    <w:rsid w:val="008A2EF7"/>
    <w:rsid w:val="008A3A20"/>
    <w:rsid w:val="008A3C0F"/>
    <w:rsid w:val="008A3C65"/>
    <w:rsid w:val="008A3DFD"/>
    <w:rsid w:val="008A47B0"/>
    <w:rsid w:val="008A4A33"/>
    <w:rsid w:val="008A4A53"/>
    <w:rsid w:val="008A4E30"/>
    <w:rsid w:val="008A545A"/>
    <w:rsid w:val="008A59CC"/>
    <w:rsid w:val="008A5ADC"/>
    <w:rsid w:val="008A5CC9"/>
    <w:rsid w:val="008A62B4"/>
    <w:rsid w:val="008A63EE"/>
    <w:rsid w:val="008A6F1A"/>
    <w:rsid w:val="008A72B8"/>
    <w:rsid w:val="008A7780"/>
    <w:rsid w:val="008A7AB2"/>
    <w:rsid w:val="008A7B48"/>
    <w:rsid w:val="008A7F83"/>
    <w:rsid w:val="008A7FD4"/>
    <w:rsid w:val="008B0FC0"/>
    <w:rsid w:val="008B1234"/>
    <w:rsid w:val="008B1297"/>
    <w:rsid w:val="008B1560"/>
    <w:rsid w:val="008B1A25"/>
    <w:rsid w:val="008B1A7E"/>
    <w:rsid w:val="008B1DBC"/>
    <w:rsid w:val="008B1FAA"/>
    <w:rsid w:val="008B20D5"/>
    <w:rsid w:val="008B2FFC"/>
    <w:rsid w:val="008B341B"/>
    <w:rsid w:val="008B372D"/>
    <w:rsid w:val="008B3C68"/>
    <w:rsid w:val="008B4434"/>
    <w:rsid w:val="008B48E0"/>
    <w:rsid w:val="008B4AB0"/>
    <w:rsid w:val="008B4AC4"/>
    <w:rsid w:val="008B53ED"/>
    <w:rsid w:val="008B5A33"/>
    <w:rsid w:val="008B67CE"/>
    <w:rsid w:val="008B6B89"/>
    <w:rsid w:val="008B7180"/>
    <w:rsid w:val="008B7EEE"/>
    <w:rsid w:val="008B7FBC"/>
    <w:rsid w:val="008C04A2"/>
    <w:rsid w:val="008C050F"/>
    <w:rsid w:val="008C073E"/>
    <w:rsid w:val="008C08C1"/>
    <w:rsid w:val="008C19C0"/>
    <w:rsid w:val="008C1B8C"/>
    <w:rsid w:val="008C1FC6"/>
    <w:rsid w:val="008C23A8"/>
    <w:rsid w:val="008C24DD"/>
    <w:rsid w:val="008C2842"/>
    <w:rsid w:val="008C2895"/>
    <w:rsid w:val="008C2951"/>
    <w:rsid w:val="008C2B5F"/>
    <w:rsid w:val="008C2EA5"/>
    <w:rsid w:val="008C3355"/>
    <w:rsid w:val="008C3725"/>
    <w:rsid w:val="008C3CF7"/>
    <w:rsid w:val="008C4172"/>
    <w:rsid w:val="008C41C6"/>
    <w:rsid w:val="008C44BF"/>
    <w:rsid w:val="008C4603"/>
    <w:rsid w:val="008C4B4A"/>
    <w:rsid w:val="008C52A9"/>
    <w:rsid w:val="008C556B"/>
    <w:rsid w:val="008C55DF"/>
    <w:rsid w:val="008C56D2"/>
    <w:rsid w:val="008C61E4"/>
    <w:rsid w:val="008C66B8"/>
    <w:rsid w:val="008C6AA3"/>
    <w:rsid w:val="008C6AE7"/>
    <w:rsid w:val="008C6CE7"/>
    <w:rsid w:val="008C6DE4"/>
    <w:rsid w:val="008C6EE1"/>
    <w:rsid w:val="008C73B5"/>
    <w:rsid w:val="008C7676"/>
    <w:rsid w:val="008C77B3"/>
    <w:rsid w:val="008C7AE5"/>
    <w:rsid w:val="008C7FA0"/>
    <w:rsid w:val="008D0444"/>
    <w:rsid w:val="008D0662"/>
    <w:rsid w:val="008D08BB"/>
    <w:rsid w:val="008D0918"/>
    <w:rsid w:val="008D0F81"/>
    <w:rsid w:val="008D1781"/>
    <w:rsid w:val="008D1E15"/>
    <w:rsid w:val="008D1E3C"/>
    <w:rsid w:val="008D23CA"/>
    <w:rsid w:val="008D2487"/>
    <w:rsid w:val="008D27A3"/>
    <w:rsid w:val="008D27D3"/>
    <w:rsid w:val="008D2825"/>
    <w:rsid w:val="008D2A7E"/>
    <w:rsid w:val="008D2CD3"/>
    <w:rsid w:val="008D2E91"/>
    <w:rsid w:val="008D33EB"/>
    <w:rsid w:val="008D3517"/>
    <w:rsid w:val="008D3673"/>
    <w:rsid w:val="008D3E09"/>
    <w:rsid w:val="008D4064"/>
    <w:rsid w:val="008D4303"/>
    <w:rsid w:val="008D477E"/>
    <w:rsid w:val="008D4942"/>
    <w:rsid w:val="008D4BB9"/>
    <w:rsid w:val="008D4CBB"/>
    <w:rsid w:val="008D5042"/>
    <w:rsid w:val="008D5089"/>
    <w:rsid w:val="008D5119"/>
    <w:rsid w:val="008D55F3"/>
    <w:rsid w:val="008D5BC2"/>
    <w:rsid w:val="008D65E8"/>
    <w:rsid w:val="008D68A5"/>
    <w:rsid w:val="008D6BC7"/>
    <w:rsid w:val="008D6D6A"/>
    <w:rsid w:val="008D7399"/>
    <w:rsid w:val="008D76D0"/>
    <w:rsid w:val="008D7752"/>
    <w:rsid w:val="008D7DFF"/>
    <w:rsid w:val="008D7FBE"/>
    <w:rsid w:val="008D7FE6"/>
    <w:rsid w:val="008E012B"/>
    <w:rsid w:val="008E0D5E"/>
    <w:rsid w:val="008E1075"/>
    <w:rsid w:val="008E12EE"/>
    <w:rsid w:val="008E18A3"/>
    <w:rsid w:val="008E20A6"/>
    <w:rsid w:val="008E2A89"/>
    <w:rsid w:val="008E2B17"/>
    <w:rsid w:val="008E2C08"/>
    <w:rsid w:val="008E2EBF"/>
    <w:rsid w:val="008E304A"/>
    <w:rsid w:val="008E3393"/>
    <w:rsid w:val="008E341C"/>
    <w:rsid w:val="008E36E4"/>
    <w:rsid w:val="008E3CF3"/>
    <w:rsid w:val="008E3EAD"/>
    <w:rsid w:val="008E431E"/>
    <w:rsid w:val="008E49D9"/>
    <w:rsid w:val="008E4B6F"/>
    <w:rsid w:val="008E4C81"/>
    <w:rsid w:val="008E4EC9"/>
    <w:rsid w:val="008E54ED"/>
    <w:rsid w:val="008E5868"/>
    <w:rsid w:val="008E60C0"/>
    <w:rsid w:val="008E63E6"/>
    <w:rsid w:val="008E695D"/>
    <w:rsid w:val="008E6BE5"/>
    <w:rsid w:val="008E6D1B"/>
    <w:rsid w:val="008E6E99"/>
    <w:rsid w:val="008E6EBF"/>
    <w:rsid w:val="008E6F51"/>
    <w:rsid w:val="008E75A4"/>
    <w:rsid w:val="008E76C2"/>
    <w:rsid w:val="008E79DA"/>
    <w:rsid w:val="008E7A59"/>
    <w:rsid w:val="008F01B4"/>
    <w:rsid w:val="008F0353"/>
    <w:rsid w:val="008F0E4F"/>
    <w:rsid w:val="008F1096"/>
    <w:rsid w:val="008F1267"/>
    <w:rsid w:val="008F129C"/>
    <w:rsid w:val="008F1C66"/>
    <w:rsid w:val="008F2D38"/>
    <w:rsid w:val="008F32A8"/>
    <w:rsid w:val="008F34F1"/>
    <w:rsid w:val="008F3581"/>
    <w:rsid w:val="008F36F0"/>
    <w:rsid w:val="008F3721"/>
    <w:rsid w:val="008F3A86"/>
    <w:rsid w:val="008F3F1F"/>
    <w:rsid w:val="008F4086"/>
    <w:rsid w:val="008F430B"/>
    <w:rsid w:val="008F4454"/>
    <w:rsid w:val="008F47BE"/>
    <w:rsid w:val="008F504F"/>
    <w:rsid w:val="008F5C15"/>
    <w:rsid w:val="008F5C2B"/>
    <w:rsid w:val="008F5E86"/>
    <w:rsid w:val="008F5FDC"/>
    <w:rsid w:val="008F633D"/>
    <w:rsid w:val="008F69E0"/>
    <w:rsid w:val="008F70B6"/>
    <w:rsid w:val="008F7C08"/>
    <w:rsid w:val="009011D6"/>
    <w:rsid w:val="00901607"/>
    <w:rsid w:val="0090190E"/>
    <w:rsid w:val="00901F0D"/>
    <w:rsid w:val="0090210C"/>
    <w:rsid w:val="009027C8"/>
    <w:rsid w:val="009029D6"/>
    <w:rsid w:val="00902D66"/>
    <w:rsid w:val="00903614"/>
    <w:rsid w:val="00903BDC"/>
    <w:rsid w:val="00903CFE"/>
    <w:rsid w:val="009048A2"/>
    <w:rsid w:val="00904FB8"/>
    <w:rsid w:val="00906925"/>
    <w:rsid w:val="00906E4A"/>
    <w:rsid w:val="00906F05"/>
    <w:rsid w:val="00906F84"/>
    <w:rsid w:val="00906FBD"/>
    <w:rsid w:val="00906FFA"/>
    <w:rsid w:val="00907108"/>
    <w:rsid w:val="0090716F"/>
    <w:rsid w:val="009075E4"/>
    <w:rsid w:val="009077FC"/>
    <w:rsid w:val="00907829"/>
    <w:rsid w:val="0091036D"/>
    <w:rsid w:val="00910A18"/>
    <w:rsid w:val="009110CF"/>
    <w:rsid w:val="009112CD"/>
    <w:rsid w:val="00911B5D"/>
    <w:rsid w:val="00911FA7"/>
    <w:rsid w:val="00912325"/>
    <w:rsid w:val="00912454"/>
    <w:rsid w:val="00912469"/>
    <w:rsid w:val="0091263D"/>
    <w:rsid w:val="00912A8F"/>
    <w:rsid w:val="0091319C"/>
    <w:rsid w:val="00913757"/>
    <w:rsid w:val="0091396E"/>
    <w:rsid w:val="00913C8F"/>
    <w:rsid w:val="00913C9D"/>
    <w:rsid w:val="0091422A"/>
    <w:rsid w:val="009142A2"/>
    <w:rsid w:val="009146AE"/>
    <w:rsid w:val="009148F8"/>
    <w:rsid w:val="00915736"/>
    <w:rsid w:val="00915D58"/>
    <w:rsid w:val="00915F6E"/>
    <w:rsid w:val="009167A2"/>
    <w:rsid w:val="00916989"/>
    <w:rsid w:val="0091698F"/>
    <w:rsid w:val="00916BEA"/>
    <w:rsid w:val="00916C79"/>
    <w:rsid w:val="00916E70"/>
    <w:rsid w:val="0091708B"/>
    <w:rsid w:val="0091727E"/>
    <w:rsid w:val="009172E1"/>
    <w:rsid w:val="00917439"/>
    <w:rsid w:val="009174B9"/>
    <w:rsid w:val="009179D4"/>
    <w:rsid w:val="00917FA8"/>
    <w:rsid w:val="00920BB7"/>
    <w:rsid w:val="00920F4F"/>
    <w:rsid w:val="00921378"/>
    <w:rsid w:val="009216D1"/>
    <w:rsid w:val="00921710"/>
    <w:rsid w:val="009218C9"/>
    <w:rsid w:val="00921919"/>
    <w:rsid w:val="00921D82"/>
    <w:rsid w:val="00921E8C"/>
    <w:rsid w:val="00922441"/>
    <w:rsid w:val="009236D8"/>
    <w:rsid w:val="00923A02"/>
    <w:rsid w:val="00923C18"/>
    <w:rsid w:val="00923DEB"/>
    <w:rsid w:val="00924709"/>
    <w:rsid w:val="00924904"/>
    <w:rsid w:val="00924CE4"/>
    <w:rsid w:val="00924D80"/>
    <w:rsid w:val="009256BC"/>
    <w:rsid w:val="00925962"/>
    <w:rsid w:val="00926A65"/>
    <w:rsid w:val="00927148"/>
    <w:rsid w:val="00927366"/>
    <w:rsid w:val="00927A5C"/>
    <w:rsid w:val="009304B9"/>
    <w:rsid w:val="009304C9"/>
    <w:rsid w:val="00930D56"/>
    <w:rsid w:val="00930EFE"/>
    <w:rsid w:val="00930F26"/>
    <w:rsid w:val="00930F5A"/>
    <w:rsid w:val="00931095"/>
    <w:rsid w:val="00931220"/>
    <w:rsid w:val="0093123F"/>
    <w:rsid w:val="00931522"/>
    <w:rsid w:val="009317BD"/>
    <w:rsid w:val="009319F9"/>
    <w:rsid w:val="00932BBD"/>
    <w:rsid w:val="00932E2E"/>
    <w:rsid w:val="00932F05"/>
    <w:rsid w:val="00933100"/>
    <w:rsid w:val="00933525"/>
    <w:rsid w:val="009335BA"/>
    <w:rsid w:val="00933D86"/>
    <w:rsid w:val="00933F11"/>
    <w:rsid w:val="00933F16"/>
    <w:rsid w:val="00933F94"/>
    <w:rsid w:val="00934297"/>
    <w:rsid w:val="00934663"/>
    <w:rsid w:val="00934685"/>
    <w:rsid w:val="00934DBE"/>
    <w:rsid w:val="00935149"/>
    <w:rsid w:val="009354EC"/>
    <w:rsid w:val="00935C68"/>
    <w:rsid w:val="00936075"/>
    <w:rsid w:val="009360CD"/>
    <w:rsid w:val="0093627B"/>
    <w:rsid w:val="00936369"/>
    <w:rsid w:val="009369B4"/>
    <w:rsid w:val="00936FFF"/>
    <w:rsid w:val="00937B9A"/>
    <w:rsid w:val="00937F77"/>
    <w:rsid w:val="009401F1"/>
    <w:rsid w:val="009407CC"/>
    <w:rsid w:val="00940D95"/>
    <w:rsid w:val="00941A45"/>
    <w:rsid w:val="009420BD"/>
    <w:rsid w:val="00942526"/>
    <w:rsid w:val="00942D58"/>
    <w:rsid w:val="0094316F"/>
    <w:rsid w:val="00943C5D"/>
    <w:rsid w:val="009443B3"/>
    <w:rsid w:val="009445C3"/>
    <w:rsid w:val="009449F2"/>
    <w:rsid w:val="00944B71"/>
    <w:rsid w:val="00944C95"/>
    <w:rsid w:val="0094568A"/>
    <w:rsid w:val="00945815"/>
    <w:rsid w:val="00945CF9"/>
    <w:rsid w:val="009462DE"/>
    <w:rsid w:val="009463B2"/>
    <w:rsid w:val="009464CB"/>
    <w:rsid w:val="0094659F"/>
    <w:rsid w:val="00946B27"/>
    <w:rsid w:val="00946C81"/>
    <w:rsid w:val="00947530"/>
    <w:rsid w:val="0094755F"/>
    <w:rsid w:val="0095001B"/>
    <w:rsid w:val="00950763"/>
    <w:rsid w:val="00950961"/>
    <w:rsid w:val="00950CD0"/>
    <w:rsid w:val="00951261"/>
    <w:rsid w:val="00951429"/>
    <w:rsid w:val="0095185A"/>
    <w:rsid w:val="00951EC0"/>
    <w:rsid w:val="009520BE"/>
    <w:rsid w:val="0095210E"/>
    <w:rsid w:val="009523C7"/>
    <w:rsid w:val="009523F2"/>
    <w:rsid w:val="00952AB5"/>
    <w:rsid w:val="00952C3C"/>
    <w:rsid w:val="00952DAF"/>
    <w:rsid w:val="00952ED5"/>
    <w:rsid w:val="0095359C"/>
    <w:rsid w:val="00953A33"/>
    <w:rsid w:val="00953A9A"/>
    <w:rsid w:val="00953B5D"/>
    <w:rsid w:val="00953CDA"/>
    <w:rsid w:val="009540C1"/>
    <w:rsid w:val="00954674"/>
    <w:rsid w:val="00954AD2"/>
    <w:rsid w:val="00954FEB"/>
    <w:rsid w:val="0095532D"/>
    <w:rsid w:val="00955339"/>
    <w:rsid w:val="009553FE"/>
    <w:rsid w:val="009556E1"/>
    <w:rsid w:val="00956402"/>
    <w:rsid w:val="0095670D"/>
    <w:rsid w:val="00956E38"/>
    <w:rsid w:val="00957161"/>
    <w:rsid w:val="0095723A"/>
    <w:rsid w:val="00957F44"/>
    <w:rsid w:val="0096020A"/>
    <w:rsid w:val="00960608"/>
    <w:rsid w:val="00960614"/>
    <w:rsid w:val="00960797"/>
    <w:rsid w:val="009608CE"/>
    <w:rsid w:val="00960944"/>
    <w:rsid w:val="00960C87"/>
    <w:rsid w:val="00960F40"/>
    <w:rsid w:val="0096103E"/>
    <w:rsid w:val="0096120E"/>
    <w:rsid w:val="009612AB"/>
    <w:rsid w:val="0096135E"/>
    <w:rsid w:val="00961413"/>
    <w:rsid w:val="0096166A"/>
    <w:rsid w:val="00961983"/>
    <w:rsid w:val="00961BDF"/>
    <w:rsid w:val="00962325"/>
    <w:rsid w:val="0096292A"/>
    <w:rsid w:val="00962EE5"/>
    <w:rsid w:val="009630B5"/>
    <w:rsid w:val="0096365E"/>
    <w:rsid w:val="009638CF"/>
    <w:rsid w:val="00963A03"/>
    <w:rsid w:val="009645EA"/>
    <w:rsid w:val="00964742"/>
    <w:rsid w:val="00964BC8"/>
    <w:rsid w:val="00964F6B"/>
    <w:rsid w:val="009653D7"/>
    <w:rsid w:val="00965637"/>
    <w:rsid w:val="009663E7"/>
    <w:rsid w:val="00966986"/>
    <w:rsid w:val="00966A87"/>
    <w:rsid w:val="00966BAC"/>
    <w:rsid w:val="00966D79"/>
    <w:rsid w:val="00966F0D"/>
    <w:rsid w:val="00967001"/>
    <w:rsid w:val="00967315"/>
    <w:rsid w:val="009674DB"/>
    <w:rsid w:val="00967FBB"/>
    <w:rsid w:val="009708F7"/>
    <w:rsid w:val="00970F84"/>
    <w:rsid w:val="00970FE6"/>
    <w:rsid w:val="00971574"/>
    <w:rsid w:val="00971750"/>
    <w:rsid w:val="009720B5"/>
    <w:rsid w:val="0097273F"/>
    <w:rsid w:val="00972AE0"/>
    <w:rsid w:val="00973058"/>
    <w:rsid w:val="009730F6"/>
    <w:rsid w:val="0097321D"/>
    <w:rsid w:val="00973685"/>
    <w:rsid w:val="00973B3C"/>
    <w:rsid w:val="00974B8C"/>
    <w:rsid w:val="00974DB2"/>
    <w:rsid w:val="00974E7A"/>
    <w:rsid w:val="00974F9C"/>
    <w:rsid w:val="009755DE"/>
    <w:rsid w:val="00975CF9"/>
    <w:rsid w:val="00975E96"/>
    <w:rsid w:val="009762F4"/>
    <w:rsid w:val="00976760"/>
    <w:rsid w:val="00976F20"/>
    <w:rsid w:val="00976F4D"/>
    <w:rsid w:val="00977296"/>
    <w:rsid w:val="00977367"/>
    <w:rsid w:val="009773C9"/>
    <w:rsid w:val="00977CE0"/>
    <w:rsid w:val="00977EEE"/>
    <w:rsid w:val="00980130"/>
    <w:rsid w:val="009806CA"/>
    <w:rsid w:val="0098075F"/>
    <w:rsid w:val="00980892"/>
    <w:rsid w:val="00980A23"/>
    <w:rsid w:val="0098144F"/>
    <w:rsid w:val="00981487"/>
    <w:rsid w:val="009814EA"/>
    <w:rsid w:val="00981A23"/>
    <w:rsid w:val="00981AFD"/>
    <w:rsid w:val="00981B59"/>
    <w:rsid w:val="00981CF5"/>
    <w:rsid w:val="00982175"/>
    <w:rsid w:val="0098222A"/>
    <w:rsid w:val="00982586"/>
    <w:rsid w:val="009827C4"/>
    <w:rsid w:val="00982A60"/>
    <w:rsid w:val="009831C2"/>
    <w:rsid w:val="00983739"/>
    <w:rsid w:val="009838D8"/>
    <w:rsid w:val="00983969"/>
    <w:rsid w:val="00983B89"/>
    <w:rsid w:val="00985205"/>
    <w:rsid w:val="00985534"/>
    <w:rsid w:val="00985F5A"/>
    <w:rsid w:val="009861D1"/>
    <w:rsid w:val="00986CCF"/>
    <w:rsid w:val="00986D31"/>
    <w:rsid w:val="009871D7"/>
    <w:rsid w:val="00987976"/>
    <w:rsid w:val="00987C52"/>
    <w:rsid w:val="00987CA7"/>
    <w:rsid w:val="00987D88"/>
    <w:rsid w:val="009903C3"/>
    <w:rsid w:val="009905DF"/>
    <w:rsid w:val="00990880"/>
    <w:rsid w:val="00991142"/>
    <w:rsid w:val="009917C2"/>
    <w:rsid w:val="00991919"/>
    <w:rsid w:val="00991A0B"/>
    <w:rsid w:val="00991A33"/>
    <w:rsid w:val="00991B57"/>
    <w:rsid w:val="00991DCD"/>
    <w:rsid w:val="00992115"/>
    <w:rsid w:val="0099283A"/>
    <w:rsid w:val="009930BE"/>
    <w:rsid w:val="00993299"/>
    <w:rsid w:val="00993617"/>
    <w:rsid w:val="0099370E"/>
    <w:rsid w:val="00993993"/>
    <w:rsid w:val="00993A1E"/>
    <w:rsid w:val="00993B7E"/>
    <w:rsid w:val="00993D4B"/>
    <w:rsid w:val="00993DC5"/>
    <w:rsid w:val="00994837"/>
    <w:rsid w:val="00994F37"/>
    <w:rsid w:val="00995135"/>
    <w:rsid w:val="00995177"/>
    <w:rsid w:val="00995235"/>
    <w:rsid w:val="00995D53"/>
    <w:rsid w:val="0099634F"/>
    <w:rsid w:val="00996725"/>
    <w:rsid w:val="009967C9"/>
    <w:rsid w:val="00996A88"/>
    <w:rsid w:val="009970A5"/>
    <w:rsid w:val="009973DC"/>
    <w:rsid w:val="00997936"/>
    <w:rsid w:val="00997C45"/>
    <w:rsid w:val="00997EE9"/>
    <w:rsid w:val="00997FDE"/>
    <w:rsid w:val="009A00E9"/>
    <w:rsid w:val="009A026C"/>
    <w:rsid w:val="009A02AA"/>
    <w:rsid w:val="009A064E"/>
    <w:rsid w:val="009A0836"/>
    <w:rsid w:val="009A0848"/>
    <w:rsid w:val="009A09AE"/>
    <w:rsid w:val="009A0D64"/>
    <w:rsid w:val="009A138E"/>
    <w:rsid w:val="009A16DC"/>
    <w:rsid w:val="009A16FF"/>
    <w:rsid w:val="009A1C6E"/>
    <w:rsid w:val="009A25ED"/>
    <w:rsid w:val="009A2912"/>
    <w:rsid w:val="009A31F8"/>
    <w:rsid w:val="009A423B"/>
    <w:rsid w:val="009A446C"/>
    <w:rsid w:val="009A4B86"/>
    <w:rsid w:val="009A4D24"/>
    <w:rsid w:val="009A54D2"/>
    <w:rsid w:val="009A58C1"/>
    <w:rsid w:val="009A5912"/>
    <w:rsid w:val="009A5AF8"/>
    <w:rsid w:val="009A5AFF"/>
    <w:rsid w:val="009A5C1A"/>
    <w:rsid w:val="009A6AD1"/>
    <w:rsid w:val="009A6C72"/>
    <w:rsid w:val="009A6F50"/>
    <w:rsid w:val="009A7350"/>
    <w:rsid w:val="009A73D3"/>
    <w:rsid w:val="009A73F2"/>
    <w:rsid w:val="009A7613"/>
    <w:rsid w:val="009A77F5"/>
    <w:rsid w:val="009A7957"/>
    <w:rsid w:val="009A796C"/>
    <w:rsid w:val="009A7E6D"/>
    <w:rsid w:val="009B02B7"/>
    <w:rsid w:val="009B0B10"/>
    <w:rsid w:val="009B0B77"/>
    <w:rsid w:val="009B1119"/>
    <w:rsid w:val="009B1289"/>
    <w:rsid w:val="009B17A8"/>
    <w:rsid w:val="009B1A04"/>
    <w:rsid w:val="009B1D58"/>
    <w:rsid w:val="009B2107"/>
    <w:rsid w:val="009B2256"/>
    <w:rsid w:val="009B23FC"/>
    <w:rsid w:val="009B29B9"/>
    <w:rsid w:val="009B2B0D"/>
    <w:rsid w:val="009B2F4B"/>
    <w:rsid w:val="009B3BB1"/>
    <w:rsid w:val="009B3C6A"/>
    <w:rsid w:val="009B3FFE"/>
    <w:rsid w:val="009B496D"/>
    <w:rsid w:val="009B4C66"/>
    <w:rsid w:val="009B4EB4"/>
    <w:rsid w:val="009B4F26"/>
    <w:rsid w:val="009B4FD2"/>
    <w:rsid w:val="009B5EF6"/>
    <w:rsid w:val="009B6C7B"/>
    <w:rsid w:val="009B6D33"/>
    <w:rsid w:val="009B6D35"/>
    <w:rsid w:val="009B7443"/>
    <w:rsid w:val="009B7CE8"/>
    <w:rsid w:val="009C008D"/>
    <w:rsid w:val="009C0AE6"/>
    <w:rsid w:val="009C0B1B"/>
    <w:rsid w:val="009C0E96"/>
    <w:rsid w:val="009C0EC5"/>
    <w:rsid w:val="009C1255"/>
    <w:rsid w:val="009C1284"/>
    <w:rsid w:val="009C1870"/>
    <w:rsid w:val="009C1BEE"/>
    <w:rsid w:val="009C2077"/>
    <w:rsid w:val="009C208A"/>
    <w:rsid w:val="009C25D2"/>
    <w:rsid w:val="009C27A3"/>
    <w:rsid w:val="009C29E0"/>
    <w:rsid w:val="009C2AAC"/>
    <w:rsid w:val="009C2DE1"/>
    <w:rsid w:val="009C3497"/>
    <w:rsid w:val="009C3A49"/>
    <w:rsid w:val="009C3AD9"/>
    <w:rsid w:val="009C4188"/>
    <w:rsid w:val="009C46FF"/>
    <w:rsid w:val="009C501F"/>
    <w:rsid w:val="009C541F"/>
    <w:rsid w:val="009C5A98"/>
    <w:rsid w:val="009C5E6B"/>
    <w:rsid w:val="009C6405"/>
    <w:rsid w:val="009C65A4"/>
    <w:rsid w:val="009C6A36"/>
    <w:rsid w:val="009C6CA4"/>
    <w:rsid w:val="009C6FC6"/>
    <w:rsid w:val="009C7531"/>
    <w:rsid w:val="009C75C4"/>
    <w:rsid w:val="009C76AE"/>
    <w:rsid w:val="009C7B01"/>
    <w:rsid w:val="009C7C4A"/>
    <w:rsid w:val="009C7DC2"/>
    <w:rsid w:val="009D00DE"/>
    <w:rsid w:val="009D05C7"/>
    <w:rsid w:val="009D0DDD"/>
    <w:rsid w:val="009D11E9"/>
    <w:rsid w:val="009D1261"/>
    <w:rsid w:val="009D126F"/>
    <w:rsid w:val="009D14A5"/>
    <w:rsid w:val="009D2057"/>
    <w:rsid w:val="009D2389"/>
    <w:rsid w:val="009D2C54"/>
    <w:rsid w:val="009D3988"/>
    <w:rsid w:val="009D3EFA"/>
    <w:rsid w:val="009D3F29"/>
    <w:rsid w:val="009D3F94"/>
    <w:rsid w:val="009D41D0"/>
    <w:rsid w:val="009D43F2"/>
    <w:rsid w:val="009D452E"/>
    <w:rsid w:val="009D4924"/>
    <w:rsid w:val="009D4B52"/>
    <w:rsid w:val="009D4FFE"/>
    <w:rsid w:val="009D5C57"/>
    <w:rsid w:val="009D640A"/>
    <w:rsid w:val="009D67FA"/>
    <w:rsid w:val="009D6A49"/>
    <w:rsid w:val="009D6DB1"/>
    <w:rsid w:val="009D70C7"/>
    <w:rsid w:val="009D74B1"/>
    <w:rsid w:val="009D7CF8"/>
    <w:rsid w:val="009E039E"/>
    <w:rsid w:val="009E07D5"/>
    <w:rsid w:val="009E0CA4"/>
    <w:rsid w:val="009E11A9"/>
    <w:rsid w:val="009E1539"/>
    <w:rsid w:val="009E1708"/>
    <w:rsid w:val="009E1BC4"/>
    <w:rsid w:val="009E1C04"/>
    <w:rsid w:val="009E1D33"/>
    <w:rsid w:val="009E1E7F"/>
    <w:rsid w:val="009E1FEC"/>
    <w:rsid w:val="009E231F"/>
    <w:rsid w:val="009E269E"/>
    <w:rsid w:val="009E2785"/>
    <w:rsid w:val="009E2800"/>
    <w:rsid w:val="009E2A3D"/>
    <w:rsid w:val="009E2B66"/>
    <w:rsid w:val="009E44BE"/>
    <w:rsid w:val="009E4A4C"/>
    <w:rsid w:val="009E5358"/>
    <w:rsid w:val="009E5A45"/>
    <w:rsid w:val="009E5B6D"/>
    <w:rsid w:val="009E5EDF"/>
    <w:rsid w:val="009E6908"/>
    <w:rsid w:val="009E6AD3"/>
    <w:rsid w:val="009E6B94"/>
    <w:rsid w:val="009E6D67"/>
    <w:rsid w:val="009E6EB2"/>
    <w:rsid w:val="009E703D"/>
    <w:rsid w:val="009E7335"/>
    <w:rsid w:val="009E74C8"/>
    <w:rsid w:val="009E74D8"/>
    <w:rsid w:val="009E7597"/>
    <w:rsid w:val="009E75CF"/>
    <w:rsid w:val="009E7B40"/>
    <w:rsid w:val="009E7E0C"/>
    <w:rsid w:val="009F0B57"/>
    <w:rsid w:val="009F0CD6"/>
    <w:rsid w:val="009F1022"/>
    <w:rsid w:val="009F12B2"/>
    <w:rsid w:val="009F1350"/>
    <w:rsid w:val="009F1484"/>
    <w:rsid w:val="009F1ACD"/>
    <w:rsid w:val="009F1B10"/>
    <w:rsid w:val="009F1EB9"/>
    <w:rsid w:val="009F2321"/>
    <w:rsid w:val="009F3544"/>
    <w:rsid w:val="009F376A"/>
    <w:rsid w:val="009F4BAE"/>
    <w:rsid w:val="009F52E6"/>
    <w:rsid w:val="009F531C"/>
    <w:rsid w:val="009F6554"/>
    <w:rsid w:val="009F6791"/>
    <w:rsid w:val="009F6A8B"/>
    <w:rsid w:val="009F72EB"/>
    <w:rsid w:val="009F781B"/>
    <w:rsid w:val="00A003E8"/>
    <w:rsid w:val="00A005C4"/>
    <w:rsid w:val="00A008F8"/>
    <w:rsid w:val="00A00B5C"/>
    <w:rsid w:val="00A00EC8"/>
    <w:rsid w:val="00A00EDA"/>
    <w:rsid w:val="00A00FD0"/>
    <w:rsid w:val="00A01826"/>
    <w:rsid w:val="00A01C40"/>
    <w:rsid w:val="00A01C7C"/>
    <w:rsid w:val="00A01D00"/>
    <w:rsid w:val="00A01D3B"/>
    <w:rsid w:val="00A02262"/>
    <w:rsid w:val="00A02849"/>
    <w:rsid w:val="00A02E90"/>
    <w:rsid w:val="00A02F03"/>
    <w:rsid w:val="00A030A2"/>
    <w:rsid w:val="00A0345A"/>
    <w:rsid w:val="00A039AC"/>
    <w:rsid w:val="00A03C46"/>
    <w:rsid w:val="00A03CF8"/>
    <w:rsid w:val="00A04318"/>
    <w:rsid w:val="00A0486A"/>
    <w:rsid w:val="00A04AF1"/>
    <w:rsid w:val="00A04AF4"/>
    <w:rsid w:val="00A05178"/>
    <w:rsid w:val="00A051C1"/>
    <w:rsid w:val="00A0525A"/>
    <w:rsid w:val="00A0554E"/>
    <w:rsid w:val="00A05957"/>
    <w:rsid w:val="00A05C0B"/>
    <w:rsid w:val="00A06442"/>
    <w:rsid w:val="00A068D5"/>
    <w:rsid w:val="00A06CED"/>
    <w:rsid w:val="00A06DE9"/>
    <w:rsid w:val="00A075EA"/>
    <w:rsid w:val="00A07794"/>
    <w:rsid w:val="00A07B1F"/>
    <w:rsid w:val="00A07B69"/>
    <w:rsid w:val="00A07C82"/>
    <w:rsid w:val="00A07FF8"/>
    <w:rsid w:val="00A101B6"/>
    <w:rsid w:val="00A10869"/>
    <w:rsid w:val="00A1094A"/>
    <w:rsid w:val="00A109FF"/>
    <w:rsid w:val="00A10C56"/>
    <w:rsid w:val="00A11213"/>
    <w:rsid w:val="00A11E07"/>
    <w:rsid w:val="00A128B4"/>
    <w:rsid w:val="00A12E54"/>
    <w:rsid w:val="00A12EAC"/>
    <w:rsid w:val="00A1329B"/>
    <w:rsid w:val="00A133A0"/>
    <w:rsid w:val="00A134D0"/>
    <w:rsid w:val="00A13927"/>
    <w:rsid w:val="00A13A1F"/>
    <w:rsid w:val="00A13B10"/>
    <w:rsid w:val="00A13C84"/>
    <w:rsid w:val="00A13E02"/>
    <w:rsid w:val="00A13E94"/>
    <w:rsid w:val="00A13EC6"/>
    <w:rsid w:val="00A1401E"/>
    <w:rsid w:val="00A14531"/>
    <w:rsid w:val="00A1453B"/>
    <w:rsid w:val="00A1465E"/>
    <w:rsid w:val="00A14780"/>
    <w:rsid w:val="00A15034"/>
    <w:rsid w:val="00A15616"/>
    <w:rsid w:val="00A1567E"/>
    <w:rsid w:val="00A15D1D"/>
    <w:rsid w:val="00A163C0"/>
    <w:rsid w:val="00A16E6C"/>
    <w:rsid w:val="00A16EAF"/>
    <w:rsid w:val="00A17279"/>
    <w:rsid w:val="00A17436"/>
    <w:rsid w:val="00A20217"/>
    <w:rsid w:val="00A203E5"/>
    <w:rsid w:val="00A20643"/>
    <w:rsid w:val="00A20F42"/>
    <w:rsid w:val="00A2104A"/>
    <w:rsid w:val="00A211CE"/>
    <w:rsid w:val="00A211FB"/>
    <w:rsid w:val="00A21270"/>
    <w:rsid w:val="00A213B6"/>
    <w:rsid w:val="00A21522"/>
    <w:rsid w:val="00A2164E"/>
    <w:rsid w:val="00A22034"/>
    <w:rsid w:val="00A22994"/>
    <w:rsid w:val="00A232D5"/>
    <w:rsid w:val="00A2357F"/>
    <w:rsid w:val="00A23746"/>
    <w:rsid w:val="00A23C37"/>
    <w:rsid w:val="00A23F5A"/>
    <w:rsid w:val="00A2429E"/>
    <w:rsid w:val="00A2525E"/>
    <w:rsid w:val="00A25425"/>
    <w:rsid w:val="00A25476"/>
    <w:rsid w:val="00A2578E"/>
    <w:rsid w:val="00A25843"/>
    <w:rsid w:val="00A263E4"/>
    <w:rsid w:val="00A26669"/>
    <w:rsid w:val="00A26875"/>
    <w:rsid w:val="00A26B1B"/>
    <w:rsid w:val="00A27329"/>
    <w:rsid w:val="00A273A2"/>
    <w:rsid w:val="00A273A3"/>
    <w:rsid w:val="00A273A9"/>
    <w:rsid w:val="00A27528"/>
    <w:rsid w:val="00A275C1"/>
    <w:rsid w:val="00A2786F"/>
    <w:rsid w:val="00A27CEF"/>
    <w:rsid w:val="00A27D1C"/>
    <w:rsid w:val="00A30089"/>
    <w:rsid w:val="00A301D3"/>
    <w:rsid w:val="00A30392"/>
    <w:rsid w:val="00A3046C"/>
    <w:rsid w:val="00A30BAD"/>
    <w:rsid w:val="00A3122B"/>
    <w:rsid w:val="00A31A53"/>
    <w:rsid w:val="00A31DD9"/>
    <w:rsid w:val="00A320E5"/>
    <w:rsid w:val="00A32143"/>
    <w:rsid w:val="00A32C3A"/>
    <w:rsid w:val="00A32E09"/>
    <w:rsid w:val="00A32FAF"/>
    <w:rsid w:val="00A33915"/>
    <w:rsid w:val="00A33AE5"/>
    <w:rsid w:val="00A33B32"/>
    <w:rsid w:val="00A3417E"/>
    <w:rsid w:val="00A341B8"/>
    <w:rsid w:val="00A34517"/>
    <w:rsid w:val="00A34746"/>
    <w:rsid w:val="00A34D76"/>
    <w:rsid w:val="00A34FD5"/>
    <w:rsid w:val="00A3524D"/>
    <w:rsid w:val="00A353E6"/>
    <w:rsid w:val="00A35BA4"/>
    <w:rsid w:val="00A35C54"/>
    <w:rsid w:val="00A36186"/>
    <w:rsid w:val="00A361C5"/>
    <w:rsid w:val="00A362B8"/>
    <w:rsid w:val="00A36A7D"/>
    <w:rsid w:val="00A36D62"/>
    <w:rsid w:val="00A36D69"/>
    <w:rsid w:val="00A36F55"/>
    <w:rsid w:val="00A36FF6"/>
    <w:rsid w:val="00A372BB"/>
    <w:rsid w:val="00A37731"/>
    <w:rsid w:val="00A37A6A"/>
    <w:rsid w:val="00A37B52"/>
    <w:rsid w:val="00A40618"/>
    <w:rsid w:val="00A408C3"/>
    <w:rsid w:val="00A41358"/>
    <w:rsid w:val="00A41AF3"/>
    <w:rsid w:val="00A4209A"/>
    <w:rsid w:val="00A421E3"/>
    <w:rsid w:val="00A42562"/>
    <w:rsid w:val="00A426A3"/>
    <w:rsid w:val="00A426D6"/>
    <w:rsid w:val="00A42A81"/>
    <w:rsid w:val="00A42B6B"/>
    <w:rsid w:val="00A42C62"/>
    <w:rsid w:val="00A42C6C"/>
    <w:rsid w:val="00A4369C"/>
    <w:rsid w:val="00A436C9"/>
    <w:rsid w:val="00A437E3"/>
    <w:rsid w:val="00A43A94"/>
    <w:rsid w:val="00A43ECA"/>
    <w:rsid w:val="00A44159"/>
    <w:rsid w:val="00A443F7"/>
    <w:rsid w:val="00A445C7"/>
    <w:rsid w:val="00A44B16"/>
    <w:rsid w:val="00A44CB3"/>
    <w:rsid w:val="00A44DD6"/>
    <w:rsid w:val="00A45A87"/>
    <w:rsid w:val="00A45C1D"/>
    <w:rsid w:val="00A45C21"/>
    <w:rsid w:val="00A46035"/>
    <w:rsid w:val="00A4643F"/>
    <w:rsid w:val="00A46469"/>
    <w:rsid w:val="00A466FA"/>
    <w:rsid w:val="00A46B6C"/>
    <w:rsid w:val="00A46DB2"/>
    <w:rsid w:val="00A46E1A"/>
    <w:rsid w:val="00A4725A"/>
    <w:rsid w:val="00A47389"/>
    <w:rsid w:val="00A4795C"/>
    <w:rsid w:val="00A50C92"/>
    <w:rsid w:val="00A50D86"/>
    <w:rsid w:val="00A50E72"/>
    <w:rsid w:val="00A514DD"/>
    <w:rsid w:val="00A51A5A"/>
    <w:rsid w:val="00A51BAE"/>
    <w:rsid w:val="00A51FE4"/>
    <w:rsid w:val="00A524F2"/>
    <w:rsid w:val="00A52618"/>
    <w:rsid w:val="00A52A1C"/>
    <w:rsid w:val="00A52C8B"/>
    <w:rsid w:val="00A52DDC"/>
    <w:rsid w:val="00A5307D"/>
    <w:rsid w:val="00A53741"/>
    <w:rsid w:val="00A537A0"/>
    <w:rsid w:val="00A537AC"/>
    <w:rsid w:val="00A537E5"/>
    <w:rsid w:val="00A53944"/>
    <w:rsid w:val="00A54084"/>
    <w:rsid w:val="00A5467C"/>
    <w:rsid w:val="00A547E5"/>
    <w:rsid w:val="00A54B00"/>
    <w:rsid w:val="00A55B32"/>
    <w:rsid w:val="00A55E35"/>
    <w:rsid w:val="00A562AE"/>
    <w:rsid w:val="00A56591"/>
    <w:rsid w:val="00A56A22"/>
    <w:rsid w:val="00A56E5C"/>
    <w:rsid w:val="00A57441"/>
    <w:rsid w:val="00A5775B"/>
    <w:rsid w:val="00A5793F"/>
    <w:rsid w:val="00A579BE"/>
    <w:rsid w:val="00A57A68"/>
    <w:rsid w:val="00A57B40"/>
    <w:rsid w:val="00A57B67"/>
    <w:rsid w:val="00A57C64"/>
    <w:rsid w:val="00A60DBE"/>
    <w:rsid w:val="00A60E47"/>
    <w:rsid w:val="00A60FAC"/>
    <w:rsid w:val="00A6136A"/>
    <w:rsid w:val="00A61429"/>
    <w:rsid w:val="00A61B38"/>
    <w:rsid w:val="00A61CCD"/>
    <w:rsid w:val="00A61DF1"/>
    <w:rsid w:val="00A62641"/>
    <w:rsid w:val="00A62BDE"/>
    <w:rsid w:val="00A6334E"/>
    <w:rsid w:val="00A63398"/>
    <w:rsid w:val="00A634D9"/>
    <w:rsid w:val="00A63791"/>
    <w:rsid w:val="00A642DA"/>
    <w:rsid w:val="00A64585"/>
    <w:rsid w:val="00A64841"/>
    <w:rsid w:val="00A64A41"/>
    <w:rsid w:val="00A64BBC"/>
    <w:rsid w:val="00A65A76"/>
    <w:rsid w:val="00A668F8"/>
    <w:rsid w:val="00A67164"/>
    <w:rsid w:val="00A67187"/>
    <w:rsid w:val="00A67951"/>
    <w:rsid w:val="00A70367"/>
    <w:rsid w:val="00A7046E"/>
    <w:rsid w:val="00A7055D"/>
    <w:rsid w:val="00A70D89"/>
    <w:rsid w:val="00A71226"/>
    <w:rsid w:val="00A71355"/>
    <w:rsid w:val="00A7139D"/>
    <w:rsid w:val="00A71BC7"/>
    <w:rsid w:val="00A7214E"/>
    <w:rsid w:val="00A721D8"/>
    <w:rsid w:val="00A729E9"/>
    <w:rsid w:val="00A7309E"/>
    <w:rsid w:val="00A731DD"/>
    <w:rsid w:val="00A73313"/>
    <w:rsid w:val="00A7363A"/>
    <w:rsid w:val="00A7383D"/>
    <w:rsid w:val="00A738F3"/>
    <w:rsid w:val="00A73D19"/>
    <w:rsid w:val="00A73EF4"/>
    <w:rsid w:val="00A740A6"/>
    <w:rsid w:val="00A741B1"/>
    <w:rsid w:val="00A74B94"/>
    <w:rsid w:val="00A74F41"/>
    <w:rsid w:val="00A7529F"/>
    <w:rsid w:val="00A7543D"/>
    <w:rsid w:val="00A75588"/>
    <w:rsid w:val="00A756E5"/>
    <w:rsid w:val="00A75ADF"/>
    <w:rsid w:val="00A75B71"/>
    <w:rsid w:val="00A769F0"/>
    <w:rsid w:val="00A76E06"/>
    <w:rsid w:val="00A77282"/>
    <w:rsid w:val="00A777D9"/>
    <w:rsid w:val="00A77E2F"/>
    <w:rsid w:val="00A80119"/>
    <w:rsid w:val="00A802B5"/>
    <w:rsid w:val="00A8074E"/>
    <w:rsid w:val="00A807FA"/>
    <w:rsid w:val="00A80BF0"/>
    <w:rsid w:val="00A80E4F"/>
    <w:rsid w:val="00A8125A"/>
    <w:rsid w:val="00A81273"/>
    <w:rsid w:val="00A817D3"/>
    <w:rsid w:val="00A81B4D"/>
    <w:rsid w:val="00A81D4F"/>
    <w:rsid w:val="00A81F10"/>
    <w:rsid w:val="00A822E4"/>
    <w:rsid w:val="00A8252D"/>
    <w:rsid w:val="00A8278D"/>
    <w:rsid w:val="00A82815"/>
    <w:rsid w:val="00A8287B"/>
    <w:rsid w:val="00A83012"/>
    <w:rsid w:val="00A832F9"/>
    <w:rsid w:val="00A83505"/>
    <w:rsid w:val="00A835DB"/>
    <w:rsid w:val="00A83DBD"/>
    <w:rsid w:val="00A83F15"/>
    <w:rsid w:val="00A844D3"/>
    <w:rsid w:val="00A846F1"/>
    <w:rsid w:val="00A84BEF"/>
    <w:rsid w:val="00A84BF5"/>
    <w:rsid w:val="00A84DD6"/>
    <w:rsid w:val="00A85197"/>
    <w:rsid w:val="00A8524E"/>
    <w:rsid w:val="00A856A5"/>
    <w:rsid w:val="00A85CFE"/>
    <w:rsid w:val="00A861EC"/>
    <w:rsid w:val="00A862C5"/>
    <w:rsid w:val="00A86471"/>
    <w:rsid w:val="00A86D7B"/>
    <w:rsid w:val="00A86E41"/>
    <w:rsid w:val="00A87054"/>
    <w:rsid w:val="00A8705B"/>
    <w:rsid w:val="00A873A7"/>
    <w:rsid w:val="00A87446"/>
    <w:rsid w:val="00A876C5"/>
    <w:rsid w:val="00A8789F"/>
    <w:rsid w:val="00A87934"/>
    <w:rsid w:val="00A87A59"/>
    <w:rsid w:val="00A900E2"/>
    <w:rsid w:val="00A904EE"/>
    <w:rsid w:val="00A905F7"/>
    <w:rsid w:val="00A90AA5"/>
    <w:rsid w:val="00A913A0"/>
    <w:rsid w:val="00A91523"/>
    <w:rsid w:val="00A915DC"/>
    <w:rsid w:val="00A915E0"/>
    <w:rsid w:val="00A9177C"/>
    <w:rsid w:val="00A918B4"/>
    <w:rsid w:val="00A91F3C"/>
    <w:rsid w:val="00A9291D"/>
    <w:rsid w:val="00A92A17"/>
    <w:rsid w:val="00A93574"/>
    <w:rsid w:val="00A936F9"/>
    <w:rsid w:val="00A93726"/>
    <w:rsid w:val="00A93A44"/>
    <w:rsid w:val="00A93AC8"/>
    <w:rsid w:val="00A93ACF"/>
    <w:rsid w:val="00A93DFD"/>
    <w:rsid w:val="00A94261"/>
    <w:rsid w:val="00A943EE"/>
    <w:rsid w:val="00A94468"/>
    <w:rsid w:val="00A946D0"/>
    <w:rsid w:val="00A94AC5"/>
    <w:rsid w:val="00A94B75"/>
    <w:rsid w:val="00A94D9A"/>
    <w:rsid w:val="00A95191"/>
    <w:rsid w:val="00A9543E"/>
    <w:rsid w:val="00A954B3"/>
    <w:rsid w:val="00A957FC"/>
    <w:rsid w:val="00A95854"/>
    <w:rsid w:val="00A9592C"/>
    <w:rsid w:val="00A95993"/>
    <w:rsid w:val="00A95A6A"/>
    <w:rsid w:val="00A9601C"/>
    <w:rsid w:val="00A96386"/>
    <w:rsid w:val="00A963BB"/>
    <w:rsid w:val="00A96781"/>
    <w:rsid w:val="00A96978"/>
    <w:rsid w:val="00A971D8"/>
    <w:rsid w:val="00A97376"/>
    <w:rsid w:val="00A97473"/>
    <w:rsid w:val="00A979D9"/>
    <w:rsid w:val="00A97A2D"/>
    <w:rsid w:val="00A97C01"/>
    <w:rsid w:val="00A97C6E"/>
    <w:rsid w:val="00AA029E"/>
    <w:rsid w:val="00AA04A2"/>
    <w:rsid w:val="00AA04F2"/>
    <w:rsid w:val="00AA05A7"/>
    <w:rsid w:val="00AA0995"/>
    <w:rsid w:val="00AA11C2"/>
    <w:rsid w:val="00AA11FA"/>
    <w:rsid w:val="00AA1853"/>
    <w:rsid w:val="00AA18F4"/>
    <w:rsid w:val="00AA19BA"/>
    <w:rsid w:val="00AA1AB2"/>
    <w:rsid w:val="00AA1EA1"/>
    <w:rsid w:val="00AA2245"/>
    <w:rsid w:val="00AA254B"/>
    <w:rsid w:val="00AA2553"/>
    <w:rsid w:val="00AA2970"/>
    <w:rsid w:val="00AA29AE"/>
    <w:rsid w:val="00AA2AFB"/>
    <w:rsid w:val="00AA2EA0"/>
    <w:rsid w:val="00AA2F16"/>
    <w:rsid w:val="00AA34D5"/>
    <w:rsid w:val="00AA37C0"/>
    <w:rsid w:val="00AA3A8B"/>
    <w:rsid w:val="00AA3F32"/>
    <w:rsid w:val="00AA4864"/>
    <w:rsid w:val="00AA4CDD"/>
    <w:rsid w:val="00AA4F14"/>
    <w:rsid w:val="00AA51D4"/>
    <w:rsid w:val="00AA5328"/>
    <w:rsid w:val="00AA5A0D"/>
    <w:rsid w:val="00AA5A2B"/>
    <w:rsid w:val="00AA5C32"/>
    <w:rsid w:val="00AA6441"/>
    <w:rsid w:val="00AA6BF6"/>
    <w:rsid w:val="00AA74D7"/>
    <w:rsid w:val="00AA7909"/>
    <w:rsid w:val="00AA792A"/>
    <w:rsid w:val="00AB04A2"/>
    <w:rsid w:val="00AB04B7"/>
    <w:rsid w:val="00AB08C2"/>
    <w:rsid w:val="00AB1B45"/>
    <w:rsid w:val="00AB24AA"/>
    <w:rsid w:val="00AB26B0"/>
    <w:rsid w:val="00AB314A"/>
    <w:rsid w:val="00AB409F"/>
    <w:rsid w:val="00AB41D1"/>
    <w:rsid w:val="00AB4329"/>
    <w:rsid w:val="00AB4575"/>
    <w:rsid w:val="00AB4940"/>
    <w:rsid w:val="00AB49DC"/>
    <w:rsid w:val="00AB4DB2"/>
    <w:rsid w:val="00AB5E67"/>
    <w:rsid w:val="00AB5FA0"/>
    <w:rsid w:val="00AB63F3"/>
    <w:rsid w:val="00AB6A7B"/>
    <w:rsid w:val="00AB6E9A"/>
    <w:rsid w:val="00AB709B"/>
    <w:rsid w:val="00AB71AC"/>
    <w:rsid w:val="00AB71AD"/>
    <w:rsid w:val="00AB7224"/>
    <w:rsid w:val="00AB775C"/>
    <w:rsid w:val="00AB7993"/>
    <w:rsid w:val="00AB7AE5"/>
    <w:rsid w:val="00AC01BD"/>
    <w:rsid w:val="00AC0298"/>
    <w:rsid w:val="00AC031E"/>
    <w:rsid w:val="00AC0451"/>
    <w:rsid w:val="00AC13DD"/>
    <w:rsid w:val="00AC1828"/>
    <w:rsid w:val="00AC18AF"/>
    <w:rsid w:val="00AC19D9"/>
    <w:rsid w:val="00AC1FD1"/>
    <w:rsid w:val="00AC2298"/>
    <w:rsid w:val="00AC23E0"/>
    <w:rsid w:val="00AC2618"/>
    <w:rsid w:val="00AC286C"/>
    <w:rsid w:val="00AC2DBD"/>
    <w:rsid w:val="00AC3C4F"/>
    <w:rsid w:val="00AC3E1A"/>
    <w:rsid w:val="00AC43FF"/>
    <w:rsid w:val="00AC44ED"/>
    <w:rsid w:val="00AC47D0"/>
    <w:rsid w:val="00AC4A0E"/>
    <w:rsid w:val="00AC4D1D"/>
    <w:rsid w:val="00AC5082"/>
    <w:rsid w:val="00AC5359"/>
    <w:rsid w:val="00AC56E9"/>
    <w:rsid w:val="00AC5B3A"/>
    <w:rsid w:val="00AC5B71"/>
    <w:rsid w:val="00AC5D26"/>
    <w:rsid w:val="00AC5F02"/>
    <w:rsid w:val="00AC5F2E"/>
    <w:rsid w:val="00AC60C0"/>
    <w:rsid w:val="00AC66D9"/>
    <w:rsid w:val="00AC6747"/>
    <w:rsid w:val="00AC67BC"/>
    <w:rsid w:val="00AC695C"/>
    <w:rsid w:val="00AC6E6B"/>
    <w:rsid w:val="00AC70CF"/>
    <w:rsid w:val="00AC7E8E"/>
    <w:rsid w:val="00AD0A0D"/>
    <w:rsid w:val="00AD10E6"/>
    <w:rsid w:val="00AD12D8"/>
    <w:rsid w:val="00AD1A29"/>
    <w:rsid w:val="00AD1A7E"/>
    <w:rsid w:val="00AD1B0B"/>
    <w:rsid w:val="00AD1D91"/>
    <w:rsid w:val="00AD20AB"/>
    <w:rsid w:val="00AD234C"/>
    <w:rsid w:val="00AD33B2"/>
    <w:rsid w:val="00AD368F"/>
    <w:rsid w:val="00AD3708"/>
    <w:rsid w:val="00AD3BC8"/>
    <w:rsid w:val="00AD3F53"/>
    <w:rsid w:val="00AD3F6A"/>
    <w:rsid w:val="00AD403A"/>
    <w:rsid w:val="00AD46FC"/>
    <w:rsid w:val="00AD4C4F"/>
    <w:rsid w:val="00AD4F30"/>
    <w:rsid w:val="00AD4FD4"/>
    <w:rsid w:val="00AD5145"/>
    <w:rsid w:val="00AD59C3"/>
    <w:rsid w:val="00AD5A44"/>
    <w:rsid w:val="00AD5D9E"/>
    <w:rsid w:val="00AD6085"/>
    <w:rsid w:val="00AD616E"/>
    <w:rsid w:val="00AD6BDF"/>
    <w:rsid w:val="00AD744B"/>
    <w:rsid w:val="00AD7B9E"/>
    <w:rsid w:val="00AD7DC0"/>
    <w:rsid w:val="00AE0047"/>
    <w:rsid w:val="00AE0446"/>
    <w:rsid w:val="00AE08D4"/>
    <w:rsid w:val="00AE1293"/>
    <w:rsid w:val="00AE16A2"/>
    <w:rsid w:val="00AE175A"/>
    <w:rsid w:val="00AE1B35"/>
    <w:rsid w:val="00AE1ECC"/>
    <w:rsid w:val="00AE1EE9"/>
    <w:rsid w:val="00AE2ABF"/>
    <w:rsid w:val="00AE2E31"/>
    <w:rsid w:val="00AE3F0D"/>
    <w:rsid w:val="00AE4125"/>
    <w:rsid w:val="00AE4266"/>
    <w:rsid w:val="00AE4A05"/>
    <w:rsid w:val="00AE4BB5"/>
    <w:rsid w:val="00AE4FB7"/>
    <w:rsid w:val="00AE52C5"/>
    <w:rsid w:val="00AE608A"/>
    <w:rsid w:val="00AE68BF"/>
    <w:rsid w:val="00AE693F"/>
    <w:rsid w:val="00AE6F0B"/>
    <w:rsid w:val="00AE6F48"/>
    <w:rsid w:val="00AE74AC"/>
    <w:rsid w:val="00AE7C33"/>
    <w:rsid w:val="00AF038D"/>
    <w:rsid w:val="00AF03BC"/>
    <w:rsid w:val="00AF06CD"/>
    <w:rsid w:val="00AF06E7"/>
    <w:rsid w:val="00AF10E8"/>
    <w:rsid w:val="00AF1C08"/>
    <w:rsid w:val="00AF1F73"/>
    <w:rsid w:val="00AF214F"/>
    <w:rsid w:val="00AF2888"/>
    <w:rsid w:val="00AF2DCA"/>
    <w:rsid w:val="00AF30B2"/>
    <w:rsid w:val="00AF3C2D"/>
    <w:rsid w:val="00AF3C56"/>
    <w:rsid w:val="00AF3D05"/>
    <w:rsid w:val="00AF3FCB"/>
    <w:rsid w:val="00AF41E0"/>
    <w:rsid w:val="00AF4205"/>
    <w:rsid w:val="00AF44E7"/>
    <w:rsid w:val="00AF4509"/>
    <w:rsid w:val="00AF487D"/>
    <w:rsid w:val="00AF48D3"/>
    <w:rsid w:val="00AF4B5A"/>
    <w:rsid w:val="00AF5367"/>
    <w:rsid w:val="00AF5377"/>
    <w:rsid w:val="00AF5AD3"/>
    <w:rsid w:val="00AF5F72"/>
    <w:rsid w:val="00AF62BE"/>
    <w:rsid w:val="00AF65CE"/>
    <w:rsid w:val="00AF6708"/>
    <w:rsid w:val="00AF67C0"/>
    <w:rsid w:val="00AF6824"/>
    <w:rsid w:val="00AF6972"/>
    <w:rsid w:val="00AF6CE5"/>
    <w:rsid w:val="00AF6D99"/>
    <w:rsid w:val="00AF715A"/>
    <w:rsid w:val="00AF7232"/>
    <w:rsid w:val="00AF7F05"/>
    <w:rsid w:val="00B00638"/>
    <w:rsid w:val="00B00865"/>
    <w:rsid w:val="00B00E35"/>
    <w:rsid w:val="00B011AE"/>
    <w:rsid w:val="00B01A73"/>
    <w:rsid w:val="00B01AFB"/>
    <w:rsid w:val="00B01D77"/>
    <w:rsid w:val="00B01E1B"/>
    <w:rsid w:val="00B021B1"/>
    <w:rsid w:val="00B0239F"/>
    <w:rsid w:val="00B02A25"/>
    <w:rsid w:val="00B02D60"/>
    <w:rsid w:val="00B02DB1"/>
    <w:rsid w:val="00B0312E"/>
    <w:rsid w:val="00B036A5"/>
    <w:rsid w:val="00B037A7"/>
    <w:rsid w:val="00B03A3A"/>
    <w:rsid w:val="00B03E2C"/>
    <w:rsid w:val="00B04F31"/>
    <w:rsid w:val="00B050B4"/>
    <w:rsid w:val="00B05A10"/>
    <w:rsid w:val="00B05D19"/>
    <w:rsid w:val="00B05D20"/>
    <w:rsid w:val="00B05DAA"/>
    <w:rsid w:val="00B05ECF"/>
    <w:rsid w:val="00B05F1B"/>
    <w:rsid w:val="00B06485"/>
    <w:rsid w:val="00B06625"/>
    <w:rsid w:val="00B06F87"/>
    <w:rsid w:val="00B0701B"/>
    <w:rsid w:val="00B073D9"/>
    <w:rsid w:val="00B076DF"/>
    <w:rsid w:val="00B077DA"/>
    <w:rsid w:val="00B0793C"/>
    <w:rsid w:val="00B07FC3"/>
    <w:rsid w:val="00B103D4"/>
    <w:rsid w:val="00B104FB"/>
    <w:rsid w:val="00B106F3"/>
    <w:rsid w:val="00B11725"/>
    <w:rsid w:val="00B11BBF"/>
    <w:rsid w:val="00B11C77"/>
    <w:rsid w:val="00B12727"/>
    <w:rsid w:val="00B1294F"/>
    <w:rsid w:val="00B13108"/>
    <w:rsid w:val="00B13683"/>
    <w:rsid w:val="00B13876"/>
    <w:rsid w:val="00B13C40"/>
    <w:rsid w:val="00B14247"/>
    <w:rsid w:val="00B145ED"/>
    <w:rsid w:val="00B14D9C"/>
    <w:rsid w:val="00B1576D"/>
    <w:rsid w:val="00B15F6E"/>
    <w:rsid w:val="00B16472"/>
    <w:rsid w:val="00B164E2"/>
    <w:rsid w:val="00B16648"/>
    <w:rsid w:val="00B16771"/>
    <w:rsid w:val="00B16EC4"/>
    <w:rsid w:val="00B17181"/>
    <w:rsid w:val="00B171A5"/>
    <w:rsid w:val="00B1735F"/>
    <w:rsid w:val="00B1795A"/>
    <w:rsid w:val="00B17CFF"/>
    <w:rsid w:val="00B17DF8"/>
    <w:rsid w:val="00B17FC4"/>
    <w:rsid w:val="00B207DB"/>
    <w:rsid w:val="00B20CB6"/>
    <w:rsid w:val="00B20F3C"/>
    <w:rsid w:val="00B20F62"/>
    <w:rsid w:val="00B21041"/>
    <w:rsid w:val="00B2181D"/>
    <w:rsid w:val="00B21AF8"/>
    <w:rsid w:val="00B21CE9"/>
    <w:rsid w:val="00B21F99"/>
    <w:rsid w:val="00B22079"/>
    <w:rsid w:val="00B221C0"/>
    <w:rsid w:val="00B223D0"/>
    <w:rsid w:val="00B22622"/>
    <w:rsid w:val="00B22635"/>
    <w:rsid w:val="00B227C5"/>
    <w:rsid w:val="00B22AB1"/>
    <w:rsid w:val="00B22B95"/>
    <w:rsid w:val="00B22D13"/>
    <w:rsid w:val="00B22D21"/>
    <w:rsid w:val="00B22FC4"/>
    <w:rsid w:val="00B2382B"/>
    <w:rsid w:val="00B23A45"/>
    <w:rsid w:val="00B23AD6"/>
    <w:rsid w:val="00B23C3E"/>
    <w:rsid w:val="00B23E1C"/>
    <w:rsid w:val="00B24150"/>
    <w:rsid w:val="00B245FA"/>
    <w:rsid w:val="00B24ECD"/>
    <w:rsid w:val="00B25304"/>
    <w:rsid w:val="00B256BD"/>
    <w:rsid w:val="00B25870"/>
    <w:rsid w:val="00B258A8"/>
    <w:rsid w:val="00B25CA2"/>
    <w:rsid w:val="00B26F8B"/>
    <w:rsid w:val="00B2700D"/>
    <w:rsid w:val="00B27556"/>
    <w:rsid w:val="00B27C2E"/>
    <w:rsid w:val="00B30400"/>
    <w:rsid w:val="00B3130C"/>
    <w:rsid w:val="00B313DE"/>
    <w:rsid w:val="00B31954"/>
    <w:rsid w:val="00B319EE"/>
    <w:rsid w:val="00B31A75"/>
    <w:rsid w:val="00B31B34"/>
    <w:rsid w:val="00B320E7"/>
    <w:rsid w:val="00B3283A"/>
    <w:rsid w:val="00B32842"/>
    <w:rsid w:val="00B32A91"/>
    <w:rsid w:val="00B32B62"/>
    <w:rsid w:val="00B33028"/>
    <w:rsid w:val="00B33694"/>
    <w:rsid w:val="00B33C2B"/>
    <w:rsid w:val="00B33C64"/>
    <w:rsid w:val="00B33E40"/>
    <w:rsid w:val="00B342FA"/>
    <w:rsid w:val="00B34332"/>
    <w:rsid w:val="00B34712"/>
    <w:rsid w:val="00B34D80"/>
    <w:rsid w:val="00B34E0E"/>
    <w:rsid w:val="00B352DE"/>
    <w:rsid w:val="00B355C9"/>
    <w:rsid w:val="00B3575A"/>
    <w:rsid w:val="00B35AF3"/>
    <w:rsid w:val="00B36483"/>
    <w:rsid w:val="00B364A4"/>
    <w:rsid w:val="00B364F4"/>
    <w:rsid w:val="00B3656C"/>
    <w:rsid w:val="00B367B2"/>
    <w:rsid w:val="00B3680A"/>
    <w:rsid w:val="00B36984"/>
    <w:rsid w:val="00B36FE4"/>
    <w:rsid w:val="00B3758C"/>
    <w:rsid w:val="00B3792C"/>
    <w:rsid w:val="00B4045A"/>
    <w:rsid w:val="00B40F68"/>
    <w:rsid w:val="00B41E29"/>
    <w:rsid w:val="00B41F04"/>
    <w:rsid w:val="00B42252"/>
    <w:rsid w:val="00B43917"/>
    <w:rsid w:val="00B43A2E"/>
    <w:rsid w:val="00B43AA4"/>
    <w:rsid w:val="00B43CE5"/>
    <w:rsid w:val="00B442FF"/>
    <w:rsid w:val="00B44E00"/>
    <w:rsid w:val="00B45A73"/>
    <w:rsid w:val="00B462C1"/>
    <w:rsid w:val="00B4634B"/>
    <w:rsid w:val="00B468FD"/>
    <w:rsid w:val="00B46A63"/>
    <w:rsid w:val="00B46D66"/>
    <w:rsid w:val="00B46F08"/>
    <w:rsid w:val="00B472E4"/>
    <w:rsid w:val="00B47A68"/>
    <w:rsid w:val="00B47ABE"/>
    <w:rsid w:val="00B47F62"/>
    <w:rsid w:val="00B5018F"/>
    <w:rsid w:val="00B50C9D"/>
    <w:rsid w:val="00B51545"/>
    <w:rsid w:val="00B520CF"/>
    <w:rsid w:val="00B5212C"/>
    <w:rsid w:val="00B5218D"/>
    <w:rsid w:val="00B52412"/>
    <w:rsid w:val="00B52720"/>
    <w:rsid w:val="00B527D1"/>
    <w:rsid w:val="00B52A22"/>
    <w:rsid w:val="00B52AF9"/>
    <w:rsid w:val="00B52BC6"/>
    <w:rsid w:val="00B535CE"/>
    <w:rsid w:val="00B53891"/>
    <w:rsid w:val="00B53BEC"/>
    <w:rsid w:val="00B53F3B"/>
    <w:rsid w:val="00B54109"/>
    <w:rsid w:val="00B548FC"/>
    <w:rsid w:val="00B54BB3"/>
    <w:rsid w:val="00B54DB5"/>
    <w:rsid w:val="00B54DDC"/>
    <w:rsid w:val="00B54F7A"/>
    <w:rsid w:val="00B54F9C"/>
    <w:rsid w:val="00B558FC"/>
    <w:rsid w:val="00B55A9A"/>
    <w:rsid w:val="00B561A7"/>
    <w:rsid w:val="00B5674B"/>
    <w:rsid w:val="00B56B0B"/>
    <w:rsid w:val="00B56C59"/>
    <w:rsid w:val="00B572BC"/>
    <w:rsid w:val="00B5747E"/>
    <w:rsid w:val="00B600C6"/>
    <w:rsid w:val="00B60117"/>
    <w:rsid w:val="00B6067F"/>
    <w:rsid w:val="00B60F30"/>
    <w:rsid w:val="00B610F4"/>
    <w:rsid w:val="00B61366"/>
    <w:rsid w:val="00B61D14"/>
    <w:rsid w:val="00B6250D"/>
    <w:rsid w:val="00B62C2A"/>
    <w:rsid w:val="00B62D16"/>
    <w:rsid w:val="00B62ED5"/>
    <w:rsid w:val="00B62F92"/>
    <w:rsid w:val="00B62FB6"/>
    <w:rsid w:val="00B63581"/>
    <w:rsid w:val="00B63CB9"/>
    <w:rsid w:val="00B64302"/>
    <w:rsid w:val="00B64483"/>
    <w:rsid w:val="00B64B13"/>
    <w:rsid w:val="00B64F01"/>
    <w:rsid w:val="00B652B4"/>
    <w:rsid w:val="00B655CF"/>
    <w:rsid w:val="00B659AD"/>
    <w:rsid w:val="00B65D1D"/>
    <w:rsid w:val="00B66039"/>
    <w:rsid w:val="00B66452"/>
    <w:rsid w:val="00B668A2"/>
    <w:rsid w:val="00B66AC3"/>
    <w:rsid w:val="00B670F4"/>
    <w:rsid w:val="00B67E24"/>
    <w:rsid w:val="00B67F54"/>
    <w:rsid w:val="00B701CA"/>
    <w:rsid w:val="00B7024F"/>
    <w:rsid w:val="00B704C4"/>
    <w:rsid w:val="00B707E1"/>
    <w:rsid w:val="00B70987"/>
    <w:rsid w:val="00B70BFC"/>
    <w:rsid w:val="00B70E2F"/>
    <w:rsid w:val="00B71665"/>
    <w:rsid w:val="00B7171E"/>
    <w:rsid w:val="00B71D0D"/>
    <w:rsid w:val="00B729E8"/>
    <w:rsid w:val="00B72AE9"/>
    <w:rsid w:val="00B72C22"/>
    <w:rsid w:val="00B72F66"/>
    <w:rsid w:val="00B730AE"/>
    <w:rsid w:val="00B732B9"/>
    <w:rsid w:val="00B73856"/>
    <w:rsid w:val="00B73F95"/>
    <w:rsid w:val="00B74405"/>
    <w:rsid w:val="00B744F5"/>
    <w:rsid w:val="00B74715"/>
    <w:rsid w:val="00B74770"/>
    <w:rsid w:val="00B74A35"/>
    <w:rsid w:val="00B74A5C"/>
    <w:rsid w:val="00B74D4D"/>
    <w:rsid w:val="00B74EE3"/>
    <w:rsid w:val="00B7509C"/>
    <w:rsid w:val="00B7554C"/>
    <w:rsid w:val="00B75B98"/>
    <w:rsid w:val="00B75BE2"/>
    <w:rsid w:val="00B75D6D"/>
    <w:rsid w:val="00B75E46"/>
    <w:rsid w:val="00B75E8C"/>
    <w:rsid w:val="00B760FE"/>
    <w:rsid w:val="00B761D5"/>
    <w:rsid w:val="00B765C4"/>
    <w:rsid w:val="00B76811"/>
    <w:rsid w:val="00B769C8"/>
    <w:rsid w:val="00B77152"/>
    <w:rsid w:val="00B7730E"/>
    <w:rsid w:val="00B775B3"/>
    <w:rsid w:val="00B77973"/>
    <w:rsid w:val="00B77E25"/>
    <w:rsid w:val="00B77FC2"/>
    <w:rsid w:val="00B800AB"/>
    <w:rsid w:val="00B809BC"/>
    <w:rsid w:val="00B809CD"/>
    <w:rsid w:val="00B80A10"/>
    <w:rsid w:val="00B80A7A"/>
    <w:rsid w:val="00B81627"/>
    <w:rsid w:val="00B81903"/>
    <w:rsid w:val="00B827D2"/>
    <w:rsid w:val="00B83083"/>
    <w:rsid w:val="00B8375D"/>
    <w:rsid w:val="00B83AA3"/>
    <w:rsid w:val="00B83B8C"/>
    <w:rsid w:val="00B83CED"/>
    <w:rsid w:val="00B83E85"/>
    <w:rsid w:val="00B84C52"/>
    <w:rsid w:val="00B84CAB"/>
    <w:rsid w:val="00B84F03"/>
    <w:rsid w:val="00B85507"/>
    <w:rsid w:val="00B855B9"/>
    <w:rsid w:val="00B856D3"/>
    <w:rsid w:val="00B86673"/>
    <w:rsid w:val="00B86949"/>
    <w:rsid w:val="00B86D35"/>
    <w:rsid w:val="00B86ED7"/>
    <w:rsid w:val="00B87185"/>
    <w:rsid w:val="00B872BC"/>
    <w:rsid w:val="00B8744C"/>
    <w:rsid w:val="00B8769B"/>
    <w:rsid w:val="00B877BF"/>
    <w:rsid w:val="00B87AD6"/>
    <w:rsid w:val="00B87CEF"/>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686"/>
    <w:rsid w:val="00B92A2E"/>
    <w:rsid w:val="00B9305B"/>
    <w:rsid w:val="00B9366E"/>
    <w:rsid w:val="00B93A04"/>
    <w:rsid w:val="00B93CA4"/>
    <w:rsid w:val="00B93E34"/>
    <w:rsid w:val="00B945DA"/>
    <w:rsid w:val="00B94876"/>
    <w:rsid w:val="00B94AE8"/>
    <w:rsid w:val="00B94B98"/>
    <w:rsid w:val="00B94C45"/>
    <w:rsid w:val="00B95122"/>
    <w:rsid w:val="00B9585D"/>
    <w:rsid w:val="00B95FC4"/>
    <w:rsid w:val="00B96035"/>
    <w:rsid w:val="00B96300"/>
    <w:rsid w:val="00B968AB"/>
    <w:rsid w:val="00B96BB0"/>
    <w:rsid w:val="00B972E2"/>
    <w:rsid w:val="00BA11A2"/>
    <w:rsid w:val="00BA1278"/>
    <w:rsid w:val="00BA17B7"/>
    <w:rsid w:val="00BA1F3B"/>
    <w:rsid w:val="00BA2433"/>
    <w:rsid w:val="00BA243F"/>
    <w:rsid w:val="00BA2CF9"/>
    <w:rsid w:val="00BA375C"/>
    <w:rsid w:val="00BA3B43"/>
    <w:rsid w:val="00BA3D18"/>
    <w:rsid w:val="00BA3D7B"/>
    <w:rsid w:val="00BA3FAC"/>
    <w:rsid w:val="00BA4114"/>
    <w:rsid w:val="00BA4631"/>
    <w:rsid w:val="00BA5118"/>
    <w:rsid w:val="00BA5BA8"/>
    <w:rsid w:val="00BA6432"/>
    <w:rsid w:val="00BA65CD"/>
    <w:rsid w:val="00BA6970"/>
    <w:rsid w:val="00BA6ACA"/>
    <w:rsid w:val="00BA6B5B"/>
    <w:rsid w:val="00BA6C08"/>
    <w:rsid w:val="00BA7030"/>
    <w:rsid w:val="00BA75A6"/>
    <w:rsid w:val="00BA7A62"/>
    <w:rsid w:val="00BA7C62"/>
    <w:rsid w:val="00BB0158"/>
    <w:rsid w:val="00BB0800"/>
    <w:rsid w:val="00BB0F7E"/>
    <w:rsid w:val="00BB11CB"/>
    <w:rsid w:val="00BB1228"/>
    <w:rsid w:val="00BB134F"/>
    <w:rsid w:val="00BB16EA"/>
    <w:rsid w:val="00BB194A"/>
    <w:rsid w:val="00BB1ACA"/>
    <w:rsid w:val="00BB2288"/>
    <w:rsid w:val="00BB2389"/>
    <w:rsid w:val="00BB2410"/>
    <w:rsid w:val="00BB248C"/>
    <w:rsid w:val="00BB2953"/>
    <w:rsid w:val="00BB2A30"/>
    <w:rsid w:val="00BB2D57"/>
    <w:rsid w:val="00BB3039"/>
    <w:rsid w:val="00BB308C"/>
    <w:rsid w:val="00BB313C"/>
    <w:rsid w:val="00BB3193"/>
    <w:rsid w:val="00BB31A0"/>
    <w:rsid w:val="00BB32D6"/>
    <w:rsid w:val="00BB34C5"/>
    <w:rsid w:val="00BB37EB"/>
    <w:rsid w:val="00BB4105"/>
    <w:rsid w:val="00BB45C3"/>
    <w:rsid w:val="00BB4E3F"/>
    <w:rsid w:val="00BB4E6B"/>
    <w:rsid w:val="00BB5453"/>
    <w:rsid w:val="00BB5775"/>
    <w:rsid w:val="00BB5A1A"/>
    <w:rsid w:val="00BB5D22"/>
    <w:rsid w:val="00BB6240"/>
    <w:rsid w:val="00BB66C0"/>
    <w:rsid w:val="00BB679A"/>
    <w:rsid w:val="00BB7519"/>
    <w:rsid w:val="00BB75EF"/>
    <w:rsid w:val="00BB76CD"/>
    <w:rsid w:val="00BB78A5"/>
    <w:rsid w:val="00BC0426"/>
    <w:rsid w:val="00BC0A8A"/>
    <w:rsid w:val="00BC11A1"/>
    <w:rsid w:val="00BC1296"/>
    <w:rsid w:val="00BC170C"/>
    <w:rsid w:val="00BC21C1"/>
    <w:rsid w:val="00BC2579"/>
    <w:rsid w:val="00BC3636"/>
    <w:rsid w:val="00BC36DB"/>
    <w:rsid w:val="00BC3E77"/>
    <w:rsid w:val="00BC3F0B"/>
    <w:rsid w:val="00BC3F94"/>
    <w:rsid w:val="00BC444E"/>
    <w:rsid w:val="00BC458D"/>
    <w:rsid w:val="00BC4719"/>
    <w:rsid w:val="00BC48F0"/>
    <w:rsid w:val="00BC504F"/>
    <w:rsid w:val="00BC5337"/>
    <w:rsid w:val="00BC53B5"/>
    <w:rsid w:val="00BC5F3F"/>
    <w:rsid w:val="00BC6267"/>
    <w:rsid w:val="00BC64D1"/>
    <w:rsid w:val="00BC65BB"/>
    <w:rsid w:val="00BC67A9"/>
    <w:rsid w:val="00BC69B9"/>
    <w:rsid w:val="00BC6C24"/>
    <w:rsid w:val="00BC6E87"/>
    <w:rsid w:val="00BC701D"/>
    <w:rsid w:val="00BC703A"/>
    <w:rsid w:val="00BC71B7"/>
    <w:rsid w:val="00BC71C4"/>
    <w:rsid w:val="00BC722E"/>
    <w:rsid w:val="00BD038B"/>
    <w:rsid w:val="00BD071A"/>
    <w:rsid w:val="00BD090A"/>
    <w:rsid w:val="00BD1000"/>
    <w:rsid w:val="00BD1887"/>
    <w:rsid w:val="00BD1B86"/>
    <w:rsid w:val="00BD1CB1"/>
    <w:rsid w:val="00BD2098"/>
    <w:rsid w:val="00BD223E"/>
    <w:rsid w:val="00BD304A"/>
    <w:rsid w:val="00BD350F"/>
    <w:rsid w:val="00BD3902"/>
    <w:rsid w:val="00BD397C"/>
    <w:rsid w:val="00BD3A6F"/>
    <w:rsid w:val="00BD3A96"/>
    <w:rsid w:val="00BD3B4E"/>
    <w:rsid w:val="00BD407B"/>
    <w:rsid w:val="00BD43F5"/>
    <w:rsid w:val="00BD4715"/>
    <w:rsid w:val="00BD4766"/>
    <w:rsid w:val="00BD5176"/>
    <w:rsid w:val="00BD54DF"/>
    <w:rsid w:val="00BD58D7"/>
    <w:rsid w:val="00BD5C7F"/>
    <w:rsid w:val="00BD63BA"/>
    <w:rsid w:val="00BD6951"/>
    <w:rsid w:val="00BD6D53"/>
    <w:rsid w:val="00BD7002"/>
    <w:rsid w:val="00BD717D"/>
    <w:rsid w:val="00BD71FF"/>
    <w:rsid w:val="00BD7217"/>
    <w:rsid w:val="00BD7411"/>
    <w:rsid w:val="00BD74BF"/>
    <w:rsid w:val="00BD7696"/>
    <w:rsid w:val="00BD7AF6"/>
    <w:rsid w:val="00BE054D"/>
    <w:rsid w:val="00BE06C0"/>
    <w:rsid w:val="00BE082A"/>
    <w:rsid w:val="00BE09EA"/>
    <w:rsid w:val="00BE0E98"/>
    <w:rsid w:val="00BE11D9"/>
    <w:rsid w:val="00BE1356"/>
    <w:rsid w:val="00BE15DB"/>
    <w:rsid w:val="00BE1999"/>
    <w:rsid w:val="00BE1B25"/>
    <w:rsid w:val="00BE242C"/>
    <w:rsid w:val="00BE245D"/>
    <w:rsid w:val="00BE26A6"/>
    <w:rsid w:val="00BE28BE"/>
    <w:rsid w:val="00BE29C4"/>
    <w:rsid w:val="00BE2E18"/>
    <w:rsid w:val="00BE2E7E"/>
    <w:rsid w:val="00BE3C75"/>
    <w:rsid w:val="00BE3CC5"/>
    <w:rsid w:val="00BE3FDC"/>
    <w:rsid w:val="00BE40D1"/>
    <w:rsid w:val="00BE49BF"/>
    <w:rsid w:val="00BE51D8"/>
    <w:rsid w:val="00BE5940"/>
    <w:rsid w:val="00BE5B4D"/>
    <w:rsid w:val="00BE60E4"/>
    <w:rsid w:val="00BE67BC"/>
    <w:rsid w:val="00BE67CD"/>
    <w:rsid w:val="00BE69D2"/>
    <w:rsid w:val="00BE6A5A"/>
    <w:rsid w:val="00BE73C3"/>
    <w:rsid w:val="00BE7D10"/>
    <w:rsid w:val="00BE7F52"/>
    <w:rsid w:val="00BF033D"/>
    <w:rsid w:val="00BF0469"/>
    <w:rsid w:val="00BF07E9"/>
    <w:rsid w:val="00BF0F27"/>
    <w:rsid w:val="00BF1114"/>
    <w:rsid w:val="00BF1EB0"/>
    <w:rsid w:val="00BF1F7E"/>
    <w:rsid w:val="00BF2433"/>
    <w:rsid w:val="00BF257B"/>
    <w:rsid w:val="00BF25F7"/>
    <w:rsid w:val="00BF2C72"/>
    <w:rsid w:val="00BF3097"/>
    <w:rsid w:val="00BF39FA"/>
    <w:rsid w:val="00BF3CC4"/>
    <w:rsid w:val="00BF3D34"/>
    <w:rsid w:val="00BF3F8D"/>
    <w:rsid w:val="00BF4383"/>
    <w:rsid w:val="00BF441D"/>
    <w:rsid w:val="00BF4663"/>
    <w:rsid w:val="00BF4A01"/>
    <w:rsid w:val="00BF4F2E"/>
    <w:rsid w:val="00BF541A"/>
    <w:rsid w:val="00BF5E7E"/>
    <w:rsid w:val="00BF6178"/>
    <w:rsid w:val="00BF6750"/>
    <w:rsid w:val="00BF6A6F"/>
    <w:rsid w:val="00BF6B94"/>
    <w:rsid w:val="00BF6E07"/>
    <w:rsid w:val="00BF6F0A"/>
    <w:rsid w:val="00BF7037"/>
    <w:rsid w:val="00BF7043"/>
    <w:rsid w:val="00BF7206"/>
    <w:rsid w:val="00BF7E1C"/>
    <w:rsid w:val="00C00141"/>
    <w:rsid w:val="00C001D4"/>
    <w:rsid w:val="00C006F7"/>
    <w:rsid w:val="00C0088D"/>
    <w:rsid w:val="00C00981"/>
    <w:rsid w:val="00C01097"/>
    <w:rsid w:val="00C0218F"/>
    <w:rsid w:val="00C0255F"/>
    <w:rsid w:val="00C02709"/>
    <w:rsid w:val="00C02C96"/>
    <w:rsid w:val="00C02E89"/>
    <w:rsid w:val="00C02E8A"/>
    <w:rsid w:val="00C031E7"/>
    <w:rsid w:val="00C03BFF"/>
    <w:rsid w:val="00C03CB4"/>
    <w:rsid w:val="00C041D9"/>
    <w:rsid w:val="00C0434C"/>
    <w:rsid w:val="00C0445C"/>
    <w:rsid w:val="00C04539"/>
    <w:rsid w:val="00C048D1"/>
    <w:rsid w:val="00C04B74"/>
    <w:rsid w:val="00C055C9"/>
    <w:rsid w:val="00C05AE1"/>
    <w:rsid w:val="00C06000"/>
    <w:rsid w:val="00C06085"/>
    <w:rsid w:val="00C06511"/>
    <w:rsid w:val="00C06ABD"/>
    <w:rsid w:val="00C06F37"/>
    <w:rsid w:val="00C06FBF"/>
    <w:rsid w:val="00C0703D"/>
    <w:rsid w:val="00C07241"/>
    <w:rsid w:val="00C07581"/>
    <w:rsid w:val="00C07926"/>
    <w:rsid w:val="00C0795C"/>
    <w:rsid w:val="00C106E7"/>
    <w:rsid w:val="00C108BA"/>
    <w:rsid w:val="00C108FA"/>
    <w:rsid w:val="00C10B62"/>
    <w:rsid w:val="00C10B6E"/>
    <w:rsid w:val="00C10BE8"/>
    <w:rsid w:val="00C112F7"/>
    <w:rsid w:val="00C1151D"/>
    <w:rsid w:val="00C11785"/>
    <w:rsid w:val="00C11F4F"/>
    <w:rsid w:val="00C12A81"/>
    <w:rsid w:val="00C12B34"/>
    <w:rsid w:val="00C12E44"/>
    <w:rsid w:val="00C13336"/>
    <w:rsid w:val="00C134DE"/>
    <w:rsid w:val="00C13545"/>
    <w:rsid w:val="00C13943"/>
    <w:rsid w:val="00C13DBD"/>
    <w:rsid w:val="00C143D6"/>
    <w:rsid w:val="00C14519"/>
    <w:rsid w:val="00C14537"/>
    <w:rsid w:val="00C1500F"/>
    <w:rsid w:val="00C150D4"/>
    <w:rsid w:val="00C152BA"/>
    <w:rsid w:val="00C155CC"/>
    <w:rsid w:val="00C1595F"/>
    <w:rsid w:val="00C15F0C"/>
    <w:rsid w:val="00C15FB7"/>
    <w:rsid w:val="00C163AA"/>
    <w:rsid w:val="00C16833"/>
    <w:rsid w:val="00C17371"/>
    <w:rsid w:val="00C17475"/>
    <w:rsid w:val="00C17CA5"/>
    <w:rsid w:val="00C17FF7"/>
    <w:rsid w:val="00C20B20"/>
    <w:rsid w:val="00C20B4E"/>
    <w:rsid w:val="00C21780"/>
    <w:rsid w:val="00C21969"/>
    <w:rsid w:val="00C21CE3"/>
    <w:rsid w:val="00C21FE3"/>
    <w:rsid w:val="00C221A1"/>
    <w:rsid w:val="00C224DC"/>
    <w:rsid w:val="00C226A8"/>
    <w:rsid w:val="00C227BE"/>
    <w:rsid w:val="00C22941"/>
    <w:rsid w:val="00C22F56"/>
    <w:rsid w:val="00C23020"/>
    <w:rsid w:val="00C2341C"/>
    <w:rsid w:val="00C2360E"/>
    <w:rsid w:val="00C240DE"/>
    <w:rsid w:val="00C24146"/>
    <w:rsid w:val="00C24314"/>
    <w:rsid w:val="00C2434B"/>
    <w:rsid w:val="00C24505"/>
    <w:rsid w:val="00C24E11"/>
    <w:rsid w:val="00C25E50"/>
    <w:rsid w:val="00C2679D"/>
    <w:rsid w:val="00C26B6C"/>
    <w:rsid w:val="00C272D6"/>
    <w:rsid w:val="00C273EA"/>
    <w:rsid w:val="00C27BDC"/>
    <w:rsid w:val="00C27DCC"/>
    <w:rsid w:val="00C303EB"/>
    <w:rsid w:val="00C3086D"/>
    <w:rsid w:val="00C3114E"/>
    <w:rsid w:val="00C311D5"/>
    <w:rsid w:val="00C31237"/>
    <w:rsid w:val="00C3169E"/>
    <w:rsid w:val="00C31750"/>
    <w:rsid w:val="00C31993"/>
    <w:rsid w:val="00C31A11"/>
    <w:rsid w:val="00C31E46"/>
    <w:rsid w:val="00C31F09"/>
    <w:rsid w:val="00C324AB"/>
    <w:rsid w:val="00C32618"/>
    <w:rsid w:val="00C32C21"/>
    <w:rsid w:val="00C337DF"/>
    <w:rsid w:val="00C33A9F"/>
    <w:rsid w:val="00C33AE3"/>
    <w:rsid w:val="00C340C3"/>
    <w:rsid w:val="00C3576C"/>
    <w:rsid w:val="00C35B40"/>
    <w:rsid w:val="00C35B59"/>
    <w:rsid w:val="00C36147"/>
    <w:rsid w:val="00C36416"/>
    <w:rsid w:val="00C36905"/>
    <w:rsid w:val="00C36EBC"/>
    <w:rsid w:val="00C3767A"/>
    <w:rsid w:val="00C37A41"/>
    <w:rsid w:val="00C37DC3"/>
    <w:rsid w:val="00C37F04"/>
    <w:rsid w:val="00C4018A"/>
    <w:rsid w:val="00C40745"/>
    <w:rsid w:val="00C40E2A"/>
    <w:rsid w:val="00C413FB"/>
    <w:rsid w:val="00C41560"/>
    <w:rsid w:val="00C41776"/>
    <w:rsid w:val="00C41810"/>
    <w:rsid w:val="00C41A17"/>
    <w:rsid w:val="00C41EDB"/>
    <w:rsid w:val="00C43BF7"/>
    <w:rsid w:val="00C43CCD"/>
    <w:rsid w:val="00C43CD5"/>
    <w:rsid w:val="00C43D25"/>
    <w:rsid w:val="00C45AA5"/>
    <w:rsid w:val="00C45FC4"/>
    <w:rsid w:val="00C467D9"/>
    <w:rsid w:val="00C46801"/>
    <w:rsid w:val="00C47C37"/>
    <w:rsid w:val="00C501D7"/>
    <w:rsid w:val="00C50509"/>
    <w:rsid w:val="00C50535"/>
    <w:rsid w:val="00C50B9E"/>
    <w:rsid w:val="00C51085"/>
    <w:rsid w:val="00C51323"/>
    <w:rsid w:val="00C51FCB"/>
    <w:rsid w:val="00C5211D"/>
    <w:rsid w:val="00C523AE"/>
    <w:rsid w:val="00C528C9"/>
    <w:rsid w:val="00C52E16"/>
    <w:rsid w:val="00C5338F"/>
    <w:rsid w:val="00C53847"/>
    <w:rsid w:val="00C53AAC"/>
    <w:rsid w:val="00C54069"/>
    <w:rsid w:val="00C5408A"/>
    <w:rsid w:val="00C54173"/>
    <w:rsid w:val="00C54313"/>
    <w:rsid w:val="00C5488D"/>
    <w:rsid w:val="00C54F26"/>
    <w:rsid w:val="00C54FC7"/>
    <w:rsid w:val="00C5523D"/>
    <w:rsid w:val="00C55C1A"/>
    <w:rsid w:val="00C55DD1"/>
    <w:rsid w:val="00C5624E"/>
    <w:rsid w:val="00C5690C"/>
    <w:rsid w:val="00C5778C"/>
    <w:rsid w:val="00C57B1D"/>
    <w:rsid w:val="00C57D20"/>
    <w:rsid w:val="00C57DB3"/>
    <w:rsid w:val="00C604E0"/>
    <w:rsid w:val="00C60541"/>
    <w:rsid w:val="00C6054E"/>
    <w:rsid w:val="00C60776"/>
    <w:rsid w:val="00C60F88"/>
    <w:rsid w:val="00C60FDA"/>
    <w:rsid w:val="00C61764"/>
    <w:rsid w:val="00C619B8"/>
    <w:rsid w:val="00C61AE6"/>
    <w:rsid w:val="00C61BC8"/>
    <w:rsid w:val="00C61C7F"/>
    <w:rsid w:val="00C62052"/>
    <w:rsid w:val="00C62130"/>
    <w:rsid w:val="00C6228A"/>
    <w:rsid w:val="00C6289E"/>
    <w:rsid w:val="00C632C9"/>
    <w:rsid w:val="00C634B9"/>
    <w:rsid w:val="00C63A4A"/>
    <w:rsid w:val="00C63AD1"/>
    <w:rsid w:val="00C63BF9"/>
    <w:rsid w:val="00C63F05"/>
    <w:rsid w:val="00C64236"/>
    <w:rsid w:val="00C6458E"/>
    <w:rsid w:val="00C6523B"/>
    <w:rsid w:val="00C653C9"/>
    <w:rsid w:val="00C667F2"/>
    <w:rsid w:val="00C66FF8"/>
    <w:rsid w:val="00C674C1"/>
    <w:rsid w:val="00C7060F"/>
    <w:rsid w:val="00C707C9"/>
    <w:rsid w:val="00C71913"/>
    <w:rsid w:val="00C73246"/>
    <w:rsid w:val="00C73502"/>
    <w:rsid w:val="00C73C23"/>
    <w:rsid w:val="00C73E0A"/>
    <w:rsid w:val="00C74060"/>
    <w:rsid w:val="00C74260"/>
    <w:rsid w:val="00C748CF"/>
    <w:rsid w:val="00C74BEA"/>
    <w:rsid w:val="00C757F2"/>
    <w:rsid w:val="00C75BDD"/>
    <w:rsid w:val="00C75E4A"/>
    <w:rsid w:val="00C7631D"/>
    <w:rsid w:val="00C76360"/>
    <w:rsid w:val="00C76A6D"/>
    <w:rsid w:val="00C77335"/>
    <w:rsid w:val="00C777B7"/>
    <w:rsid w:val="00C800CE"/>
    <w:rsid w:val="00C805EA"/>
    <w:rsid w:val="00C81047"/>
    <w:rsid w:val="00C81CF2"/>
    <w:rsid w:val="00C81F00"/>
    <w:rsid w:val="00C823B8"/>
    <w:rsid w:val="00C82510"/>
    <w:rsid w:val="00C82591"/>
    <w:rsid w:val="00C825D4"/>
    <w:rsid w:val="00C82E19"/>
    <w:rsid w:val="00C82F8F"/>
    <w:rsid w:val="00C831CA"/>
    <w:rsid w:val="00C83343"/>
    <w:rsid w:val="00C83505"/>
    <w:rsid w:val="00C835DA"/>
    <w:rsid w:val="00C83746"/>
    <w:rsid w:val="00C83809"/>
    <w:rsid w:val="00C83A64"/>
    <w:rsid w:val="00C84838"/>
    <w:rsid w:val="00C84B91"/>
    <w:rsid w:val="00C84F6E"/>
    <w:rsid w:val="00C84FF8"/>
    <w:rsid w:val="00C85084"/>
    <w:rsid w:val="00C85202"/>
    <w:rsid w:val="00C852B7"/>
    <w:rsid w:val="00C857F8"/>
    <w:rsid w:val="00C8581E"/>
    <w:rsid w:val="00C85B9A"/>
    <w:rsid w:val="00C861CE"/>
    <w:rsid w:val="00C8642D"/>
    <w:rsid w:val="00C87203"/>
    <w:rsid w:val="00C87220"/>
    <w:rsid w:val="00C876B2"/>
    <w:rsid w:val="00C87782"/>
    <w:rsid w:val="00C9001A"/>
    <w:rsid w:val="00C90B22"/>
    <w:rsid w:val="00C91A38"/>
    <w:rsid w:val="00C922DE"/>
    <w:rsid w:val="00C926C9"/>
    <w:rsid w:val="00C93357"/>
    <w:rsid w:val="00C934A3"/>
    <w:rsid w:val="00C93FD6"/>
    <w:rsid w:val="00C94218"/>
    <w:rsid w:val="00C94381"/>
    <w:rsid w:val="00C946E5"/>
    <w:rsid w:val="00C947E3"/>
    <w:rsid w:val="00C94E58"/>
    <w:rsid w:val="00C94FCC"/>
    <w:rsid w:val="00C955FC"/>
    <w:rsid w:val="00C95643"/>
    <w:rsid w:val="00C957B7"/>
    <w:rsid w:val="00C95C80"/>
    <w:rsid w:val="00C95E95"/>
    <w:rsid w:val="00C9601E"/>
    <w:rsid w:val="00C965C6"/>
    <w:rsid w:val="00C96A03"/>
    <w:rsid w:val="00C96D1F"/>
    <w:rsid w:val="00C96D34"/>
    <w:rsid w:val="00C9745E"/>
    <w:rsid w:val="00C97B95"/>
    <w:rsid w:val="00C97CFD"/>
    <w:rsid w:val="00C97DFC"/>
    <w:rsid w:val="00CA0123"/>
    <w:rsid w:val="00CA0125"/>
    <w:rsid w:val="00CA0650"/>
    <w:rsid w:val="00CA077F"/>
    <w:rsid w:val="00CA07DA"/>
    <w:rsid w:val="00CA1443"/>
    <w:rsid w:val="00CA1999"/>
    <w:rsid w:val="00CA1A44"/>
    <w:rsid w:val="00CA1B05"/>
    <w:rsid w:val="00CA1B62"/>
    <w:rsid w:val="00CA1DD6"/>
    <w:rsid w:val="00CA2184"/>
    <w:rsid w:val="00CA247F"/>
    <w:rsid w:val="00CA24B0"/>
    <w:rsid w:val="00CA2905"/>
    <w:rsid w:val="00CA2BA9"/>
    <w:rsid w:val="00CA35B1"/>
    <w:rsid w:val="00CA3621"/>
    <w:rsid w:val="00CA3A77"/>
    <w:rsid w:val="00CA40B7"/>
    <w:rsid w:val="00CA4203"/>
    <w:rsid w:val="00CA4723"/>
    <w:rsid w:val="00CA495B"/>
    <w:rsid w:val="00CA4AC5"/>
    <w:rsid w:val="00CA4D06"/>
    <w:rsid w:val="00CA4D0A"/>
    <w:rsid w:val="00CA4FB1"/>
    <w:rsid w:val="00CA5007"/>
    <w:rsid w:val="00CA535E"/>
    <w:rsid w:val="00CA5571"/>
    <w:rsid w:val="00CA558A"/>
    <w:rsid w:val="00CA55E7"/>
    <w:rsid w:val="00CA592D"/>
    <w:rsid w:val="00CA62C9"/>
    <w:rsid w:val="00CA6497"/>
    <w:rsid w:val="00CA654C"/>
    <w:rsid w:val="00CA6556"/>
    <w:rsid w:val="00CA66C4"/>
    <w:rsid w:val="00CA6BEE"/>
    <w:rsid w:val="00CA7151"/>
    <w:rsid w:val="00CA7280"/>
    <w:rsid w:val="00CA78D1"/>
    <w:rsid w:val="00CA7AF4"/>
    <w:rsid w:val="00CA7EB2"/>
    <w:rsid w:val="00CB0FB6"/>
    <w:rsid w:val="00CB136C"/>
    <w:rsid w:val="00CB142B"/>
    <w:rsid w:val="00CB1B0D"/>
    <w:rsid w:val="00CB1B4D"/>
    <w:rsid w:val="00CB1CE9"/>
    <w:rsid w:val="00CB227B"/>
    <w:rsid w:val="00CB24AD"/>
    <w:rsid w:val="00CB2B4D"/>
    <w:rsid w:val="00CB2B89"/>
    <w:rsid w:val="00CB30C1"/>
    <w:rsid w:val="00CB324D"/>
    <w:rsid w:val="00CB371D"/>
    <w:rsid w:val="00CB3931"/>
    <w:rsid w:val="00CB3AB7"/>
    <w:rsid w:val="00CB3FC3"/>
    <w:rsid w:val="00CB43FD"/>
    <w:rsid w:val="00CB4720"/>
    <w:rsid w:val="00CB4CB5"/>
    <w:rsid w:val="00CB54B5"/>
    <w:rsid w:val="00CB5595"/>
    <w:rsid w:val="00CB605D"/>
    <w:rsid w:val="00CB65BF"/>
    <w:rsid w:val="00CB6E62"/>
    <w:rsid w:val="00CB72B3"/>
    <w:rsid w:val="00CB72EE"/>
    <w:rsid w:val="00CB73CA"/>
    <w:rsid w:val="00CB75EA"/>
    <w:rsid w:val="00CB7EF7"/>
    <w:rsid w:val="00CC0184"/>
    <w:rsid w:val="00CC05D4"/>
    <w:rsid w:val="00CC0854"/>
    <w:rsid w:val="00CC0872"/>
    <w:rsid w:val="00CC08FB"/>
    <w:rsid w:val="00CC1523"/>
    <w:rsid w:val="00CC247E"/>
    <w:rsid w:val="00CC24E8"/>
    <w:rsid w:val="00CC28A3"/>
    <w:rsid w:val="00CC3456"/>
    <w:rsid w:val="00CC36EE"/>
    <w:rsid w:val="00CC42A5"/>
    <w:rsid w:val="00CC4C6A"/>
    <w:rsid w:val="00CC4E43"/>
    <w:rsid w:val="00CC50BE"/>
    <w:rsid w:val="00CC5210"/>
    <w:rsid w:val="00CC587E"/>
    <w:rsid w:val="00CC58B0"/>
    <w:rsid w:val="00CC58D8"/>
    <w:rsid w:val="00CC5C6F"/>
    <w:rsid w:val="00CC5F0C"/>
    <w:rsid w:val="00CC6125"/>
    <w:rsid w:val="00CC617A"/>
    <w:rsid w:val="00CC6739"/>
    <w:rsid w:val="00CC68BC"/>
    <w:rsid w:val="00CC6DE8"/>
    <w:rsid w:val="00CC6F5F"/>
    <w:rsid w:val="00CC7A41"/>
    <w:rsid w:val="00CC7C57"/>
    <w:rsid w:val="00CD05F7"/>
    <w:rsid w:val="00CD0DC8"/>
    <w:rsid w:val="00CD17AB"/>
    <w:rsid w:val="00CD1AA3"/>
    <w:rsid w:val="00CD2007"/>
    <w:rsid w:val="00CD2983"/>
    <w:rsid w:val="00CD2B08"/>
    <w:rsid w:val="00CD2C4D"/>
    <w:rsid w:val="00CD2F53"/>
    <w:rsid w:val="00CD30F0"/>
    <w:rsid w:val="00CD310F"/>
    <w:rsid w:val="00CD3A0F"/>
    <w:rsid w:val="00CD3B3B"/>
    <w:rsid w:val="00CD41E4"/>
    <w:rsid w:val="00CD42FC"/>
    <w:rsid w:val="00CD431A"/>
    <w:rsid w:val="00CD43AC"/>
    <w:rsid w:val="00CD4ABE"/>
    <w:rsid w:val="00CD4B87"/>
    <w:rsid w:val="00CD4D49"/>
    <w:rsid w:val="00CD4E47"/>
    <w:rsid w:val="00CD4ECA"/>
    <w:rsid w:val="00CD5B81"/>
    <w:rsid w:val="00CD5BA6"/>
    <w:rsid w:val="00CD5D54"/>
    <w:rsid w:val="00CD6687"/>
    <w:rsid w:val="00CD695D"/>
    <w:rsid w:val="00CD6A15"/>
    <w:rsid w:val="00CD6A8A"/>
    <w:rsid w:val="00CD79BA"/>
    <w:rsid w:val="00CD7C11"/>
    <w:rsid w:val="00CD7CD5"/>
    <w:rsid w:val="00CD7E31"/>
    <w:rsid w:val="00CE01C5"/>
    <w:rsid w:val="00CE0415"/>
    <w:rsid w:val="00CE06E3"/>
    <w:rsid w:val="00CE09FE"/>
    <w:rsid w:val="00CE11BB"/>
    <w:rsid w:val="00CE196A"/>
    <w:rsid w:val="00CE1B5B"/>
    <w:rsid w:val="00CE1BF9"/>
    <w:rsid w:val="00CE1E76"/>
    <w:rsid w:val="00CE26A7"/>
    <w:rsid w:val="00CE26BE"/>
    <w:rsid w:val="00CE2B7B"/>
    <w:rsid w:val="00CE2ECE"/>
    <w:rsid w:val="00CE31D1"/>
    <w:rsid w:val="00CE405C"/>
    <w:rsid w:val="00CE40AC"/>
    <w:rsid w:val="00CE425B"/>
    <w:rsid w:val="00CE4408"/>
    <w:rsid w:val="00CE475A"/>
    <w:rsid w:val="00CE4EE7"/>
    <w:rsid w:val="00CE5041"/>
    <w:rsid w:val="00CE5390"/>
    <w:rsid w:val="00CE5875"/>
    <w:rsid w:val="00CE58AF"/>
    <w:rsid w:val="00CE5AA2"/>
    <w:rsid w:val="00CE5E99"/>
    <w:rsid w:val="00CE6126"/>
    <w:rsid w:val="00CE6316"/>
    <w:rsid w:val="00CE759B"/>
    <w:rsid w:val="00CE7704"/>
    <w:rsid w:val="00CE7D4E"/>
    <w:rsid w:val="00CF0703"/>
    <w:rsid w:val="00CF0BBB"/>
    <w:rsid w:val="00CF0F88"/>
    <w:rsid w:val="00CF12EF"/>
    <w:rsid w:val="00CF155C"/>
    <w:rsid w:val="00CF19BB"/>
    <w:rsid w:val="00CF1A6A"/>
    <w:rsid w:val="00CF1C09"/>
    <w:rsid w:val="00CF1C1A"/>
    <w:rsid w:val="00CF1F8E"/>
    <w:rsid w:val="00CF23CF"/>
    <w:rsid w:val="00CF276D"/>
    <w:rsid w:val="00CF35A5"/>
    <w:rsid w:val="00CF35CA"/>
    <w:rsid w:val="00CF3895"/>
    <w:rsid w:val="00CF45A0"/>
    <w:rsid w:val="00CF4787"/>
    <w:rsid w:val="00CF4966"/>
    <w:rsid w:val="00CF4D2F"/>
    <w:rsid w:val="00CF4DB8"/>
    <w:rsid w:val="00CF56EA"/>
    <w:rsid w:val="00CF5913"/>
    <w:rsid w:val="00CF59C6"/>
    <w:rsid w:val="00CF5E65"/>
    <w:rsid w:val="00CF646C"/>
    <w:rsid w:val="00CF6D13"/>
    <w:rsid w:val="00CF6F17"/>
    <w:rsid w:val="00CF74D9"/>
    <w:rsid w:val="00CF79B9"/>
    <w:rsid w:val="00CF7D2E"/>
    <w:rsid w:val="00CF7D95"/>
    <w:rsid w:val="00D00104"/>
    <w:rsid w:val="00D003F8"/>
    <w:rsid w:val="00D0064B"/>
    <w:rsid w:val="00D006EF"/>
    <w:rsid w:val="00D00BE4"/>
    <w:rsid w:val="00D012CE"/>
    <w:rsid w:val="00D015E9"/>
    <w:rsid w:val="00D01918"/>
    <w:rsid w:val="00D01C59"/>
    <w:rsid w:val="00D01D27"/>
    <w:rsid w:val="00D01DE2"/>
    <w:rsid w:val="00D0250D"/>
    <w:rsid w:val="00D0269C"/>
    <w:rsid w:val="00D02C0A"/>
    <w:rsid w:val="00D03112"/>
    <w:rsid w:val="00D03382"/>
    <w:rsid w:val="00D0343E"/>
    <w:rsid w:val="00D03A7D"/>
    <w:rsid w:val="00D03E7B"/>
    <w:rsid w:val="00D042F9"/>
    <w:rsid w:val="00D0441B"/>
    <w:rsid w:val="00D04B0A"/>
    <w:rsid w:val="00D04B6E"/>
    <w:rsid w:val="00D04F9E"/>
    <w:rsid w:val="00D04FF1"/>
    <w:rsid w:val="00D052AB"/>
    <w:rsid w:val="00D05547"/>
    <w:rsid w:val="00D058C9"/>
    <w:rsid w:val="00D0597F"/>
    <w:rsid w:val="00D059C8"/>
    <w:rsid w:val="00D059D7"/>
    <w:rsid w:val="00D05DD6"/>
    <w:rsid w:val="00D061D8"/>
    <w:rsid w:val="00D06C3B"/>
    <w:rsid w:val="00D072CF"/>
    <w:rsid w:val="00D07B1C"/>
    <w:rsid w:val="00D07B48"/>
    <w:rsid w:val="00D07BC2"/>
    <w:rsid w:val="00D07C71"/>
    <w:rsid w:val="00D100E9"/>
    <w:rsid w:val="00D10213"/>
    <w:rsid w:val="00D10354"/>
    <w:rsid w:val="00D10621"/>
    <w:rsid w:val="00D10C8E"/>
    <w:rsid w:val="00D10D6D"/>
    <w:rsid w:val="00D115A6"/>
    <w:rsid w:val="00D11A30"/>
    <w:rsid w:val="00D11CC0"/>
    <w:rsid w:val="00D11DF7"/>
    <w:rsid w:val="00D12DDE"/>
    <w:rsid w:val="00D13018"/>
    <w:rsid w:val="00D132ED"/>
    <w:rsid w:val="00D135D0"/>
    <w:rsid w:val="00D135DC"/>
    <w:rsid w:val="00D13BF0"/>
    <w:rsid w:val="00D13C0D"/>
    <w:rsid w:val="00D14243"/>
    <w:rsid w:val="00D14464"/>
    <w:rsid w:val="00D145BC"/>
    <w:rsid w:val="00D14B56"/>
    <w:rsid w:val="00D150FB"/>
    <w:rsid w:val="00D1515E"/>
    <w:rsid w:val="00D151EE"/>
    <w:rsid w:val="00D15656"/>
    <w:rsid w:val="00D15924"/>
    <w:rsid w:val="00D15989"/>
    <w:rsid w:val="00D159DA"/>
    <w:rsid w:val="00D16343"/>
    <w:rsid w:val="00D1658F"/>
    <w:rsid w:val="00D16AA2"/>
    <w:rsid w:val="00D16BAD"/>
    <w:rsid w:val="00D17114"/>
    <w:rsid w:val="00D179FB"/>
    <w:rsid w:val="00D20036"/>
    <w:rsid w:val="00D20308"/>
    <w:rsid w:val="00D2053C"/>
    <w:rsid w:val="00D2061C"/>
    <w:rsid w:val="00D206EA"/>
    <w:rsid w:val="00D20C1C"/>
    <w:rsid w:val="00D20F95"/>
    <w:rsid w:val="00D211C6"/>
    <w:rsid w:val="00D21712"/>
    <w:rsid w:val="00D2198C"/>
    <w:rsid w:val="00D219E2"/>
    <w:rsid w:val="00D21C9B"/>
    <w:rsid w:val="00D21D92"/>
    <w:rsid w:val="00D2277D"/>
    <w:rsid w:val="00D22FD0"/>
    <w:rsid w:val="00D23232"/>
    <w:rsid w:val="00D23A42"/>
    <w:rsid w:val="00D23BA1"/>
    <w:rsid w:val="00D23DFB"/>
    <w:rsid w:val="00D23F72"/>
    <w:rsid w:val="00D2461D"/>
    <w:rsid w:val="00D24B9F"/>
    <w:rsid w:val="00D2502F"/>
    <w:rsid w:val="00D254DC"/>
    <w:rsid w:val="00D2567A"/>
    <w:rsid w:val="00D25847"/>
    <w:rsid w:val="00D26227"/>
    <w:rsid w:val="00D2625D"/>
    <w:rsid w:val="00D266B4"/>
    <w:rsid w:val="00D26C9A"/>
    <w:rsid w:val="00D26F5D"/>
    <w:rsid w:val="00D27286"/>
    <w:rsid w:val="00D27774"/>
    <w:rsid w:val="00D27A97"/>
    <w:rsid w:val="00D27AA2"/>
    <w:rsid w:val="00D27B4C"/>
    <w:rsid w:val="00D27C8D"/>
    <w:rsid w:val="00D302DF"/>
    <w:rsid w:val="00D3054A"/>
    <w:rsid w:val="00D30A11"/>
    <w:rsid w:val="00D30EA7"/>
    <w:rsid w:val="00D3123D"/>
    <w:rsid w:val="00D318D3"/>
    <w:rsid w:val="00D31ED6"/>
    <w:rsid w:val="00D3280D"/>
    <w:rsid w:val="00D32FEF"/>
    <w:rsid w:val="00D3305B"/>
    <w:rsid w:val="00D331F6"/>
    <w:rsid w:val="00D33380"/>
    <w:rsid w:val="00D33C79"/>
    <w:rsid w:val="00D34775"/>
    <w:rsid w:val="00D34A32"/>
    <w:rsid w:val="00D34A5A"/>
    <w:rsid w:val="00D354E8"/>
    <w:rsid w:val="00D360BE"/>
    <w:rsid w:val="00D36997"/>
    <w:rsid w:val="00D36B2C"/>
    <w:rsid w:val="00D36EFE"/>
    <w:rsid w:val="00D36FAF"/>
    <w:rsid w:val="00D3714C"/>
    <w:rsid w:val="00D372CB"/>
    <w:rsid w:val="00D37D60"/>
    <w:rsid w:val="00D404C9"/>
    <w:rsid w:val="00D40603"/>
    <w:rsid w:val="00D407CB"/>
    <w:rsid w:val="00D40A28"/>
    <w:rsid w:val="00D4169C"/>
    <w:rsid w:val="00D4185F"/>
    <w:rsid w:val="00D418E5"/>
    <w:rsid w:val="00D41968"/>
    <w:rsid w:val="00D41B1B"/>
    <w:rsid w:val="00D4245B"/>
    <w:rsid w:val="00D42639"/>
    <w:rsid w:val="00D427EE"/>
    <w:rsid w:val="00D429EB"/>
    <w:rsid w:val="00D433C8"/>
    <w:rsid w:val="00D43477"/>
    <w:rsid w:val="00D43753"/>
    <w:rsid w:val="00D4481E"/>
    <w:rsid w:val="00D44B99"/>
    <w:rsid w:val="00D44C2E"/>
    <w:rsid w:val="00D44C59"/>
    <w:rsid w:val="00D44DCB"/>
    <w:rsid w:val="00D45A99"/>
    <w:rsid w:val="00D45AB3"/>
    <w:rsid w:val="00D45CAB"/>
    <w:rsid w:val="00D46DE3"/>
    <w:rsid w:val="00D4743C"/>
    <w:rsid w:val="00D47805"/>
    <w:rsid w:val="00D478B2"/>
    <w:rsid w:val="00D47991"/>
    <w:rsid w:val="00D47BE8"/>
    <w:rsid w:val="00D50175"/>
    <w:rsid w:val="00D50A06"/>
    <w:rsid w:val="00D50F2E"/>
    <w:rsid w:val="00D51019"/>
    <w:rsid w:val="00D51310"/>
    <w:rsid w:val="00D5181B"/>
    <w:rsid w:val="00D518E9"/>
    <w:rsid w:val="00D51A05"/>
    <w:rsid w:val="00D51D4A"/>
    <w:rsid w:val="00D51DB4"/>
    <w:rsid w:val="00D52152"/>
    <w:rsid w:val="00D52940"/>
    <w:rsid w:val="00D52993"/>
    <w:rsid w:val="00D52C30"/>
    <w:rsid w:val="00D53BCE"/>
    <w:rsid w:val="00D53C7C"/>
    <w:rsid w:val="00D53DDE"/>
    <w:rsid w:val="00D53F25"/>
    <w:rsid w:val="00D541B4"/>
    <w:rsid w:val="00D54FE7"/>
    <w:rsid w:val="00D55105"/>
    <w:rsid w:val="00D55411"/>
    <w:rsid w:val="00D55615"/>
    <w:rsid w:val="00D5565F"/>
    <w:rsid w:val="00D55741"/>
    <w:rsid w:val="00D55B95"/>
    <w:rsid w:val="00D55EF2"/>
    <w:rsid w:val="00D5612B"/>
    <w:rsid w:val="00D56704"/>
    <w:rsid w:val="00D57056"/>
    <w:rsid w:val="00D57747"/>
    <w:rsid w:val="00D57D3C"/>
    <w:rsid w:val="00D6001B"/>
    <w:rsid w:val="00D6069D"/>
    <w:rsid w:val="00D61085"/>
    <w:rsid w:val="00D61B5E"/>
    <w:rsid w:val="00D61B97"/>
    <w:rsid w:val="00D6232B"/>
    <w:rsid w:val="00D62519"/>
    <w:rsid w:val="00D6257F"/>
    <w:rsid w:val="00D62717"/>
    <w:rsid w:val="00D62A32"/>
    <w:rsid w:val="00D63A51"/>
    <w:rsid w:val="00D63EB9"/>
    <w:rsid w:val="00D64F18"/>
    <w:rsid w:val="00D64FC2"/>
    <w:rsid w:val="00D667B6"/>
    <w:rsid w:val="00D66C2B"/>
    <w:rsid w:val="00D66ECD"/>
    <w:rsid w:val="00D66F7B"/>
    <w:rsid w:val="00D67C44"/>
    <w:rsid w:val="00D67E4D"/>
    <w:rsid w:val="00D703DB"/>
    <w:rsid w:val="00D70708"/>
    <w:rsid w:val="00D7082E"/>
    <w:rsid w:val="00D70A33"/>
    <w:rsid w:val="00D70B46"/>
    <w:rsid w:val="00D70D41"/>
    <w:rsid w:val="00D70D4D"/>
    <w:rsid w:val="00D71299"/>
    <w:rsid w:val="00D712EA"/>
    <w:rsid w:val="00D71DCA"/>
    <w:rsid w:val="00D72711"/>
    <w:rsid w:val="00D72870"/>
    <w:rsid w:val="00D72A14"/>
    <w:rsid w:val="00D72BB6"/>
    <w:rsid w:val="00D72CF4"/>
    <w:rsid w:val="00D7302E"/>
    <w:rsid w:val="00D73070"/>
    <w:rsid w:val="00D7330C"/>
    <w:rsid w:val="00D733D7"/>
    <w:rsid w:val="00D739C3"/>
    <w:rsid w:val="00D74099"/>
    <w:rsid w:val="00D743D3"/>
    <w:rsid w:val="00D743DD"/>
    <w:rsid w:val="00D750A8"/>
    <w:rsid w:val="00D753E9"/>
    <w:rsid w:val="00D75997"/>
    <w:rsid w:val="00D76307"/>
    <w:rsid w:val="00D76812"/>
    <w:rsid w:val="00D76818"/>
    <w:rsid w:val="00D76A4B"/>
    <w:rsid w:val="00D76D15"/>
    <w:rsid w:val="00D76DDC"/>
    <w:rsid w:val="00D771F9"/>
    <w:rsid w:val="00D77604"/>
    <w:rsid w:val="00D77783"/>
    <w:rsid w:val="00D7783B"/>
    <w:rsid w:val="00D77C56"/>
    <w:rsid w:val="00D77CDC"/>
    <w:rsid w:val="00D80161"/>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22B"/>
    <w:rsid w:val="00D82DC1"/>
    <w:rsid w:val="00D832C1"/>
    <w:rsid w:val="00D838C5"/>
    <w:rsid w:val="00D84083"/>
    <w:rsid w:val="00D84F7E"/>
    <w:rsid w:val="00D85134"/>
    <w:rsid w:val="00D852A8"/>
    <w:rsid w:val="00D85585"/>
    <w:rsid w:val="00D859BC"/>
    <w:rsid w:val="00D866A3"/>
    <w:rsid w:val="00D86A1B"/>
    <w:rsid w:val="00D86CC3"/>
    <w:rsid w:val="00D870FD"/>
    <w:rsid w:val="00D877CB"/>
    <w:rsid w:val="00D904B3"/>
    <w:rsid w:val="00D905E4"/>
    <w:rsid w:val="00D90694"/>
    <w:rsid w:val="00D907AF"/>
    <w:rsid w:val="00D90DDE"/>
    <w:rsid w:val="00D91024"/>
    <w:rsid w:val="00D914CF"/>
    <w:rsid w:val="00D915F5"/>
    <w:rsid w:val="00D91761"/>
    <w:rsid w:val="00D919C7"/>
    <w:rsid w:val="00D91BD5"/>
    <w:rsid w:val="00D92C36"/>
    <w:rsid w:val="00D92D0C"/>
    <w:rsid w:val="00D9338A"/>
    <w:rsid w:val="00D9397D"/>
    <w:rsid w:val="00D940D4"/>
    <w:rsid w:val="00D941D9"/>
    <w:rsid w:val="00D94758"/>
    <w:rsid w:val="00D94B5D"/>
    <w:rsid w:val="00D94EA6"/>
    <w:rsid w:val="00D95333"/>
    <w:rsid w:val="00D96403"/>
    <w:rsid w:val="00D966CC"/>
    <w:rsid w:val="00D973EF"/>
    <w:rsid w:val="00D97C67"/>
    <w:rsid w:val="00DA0418"/>
    <w:rsid w:val="00DA07FD"/>
    <w:rsid w:val="00DA0CE3"/>
    <w:rsid w:val="00DA11DE"/>
    <w:rsid w:val="00DA13A7"/>
    <w:rsid w:val="00DA1894"/>
    <w:rsid w:val="00DA1E17"/>
    <w:rsid w:val="00DA275B"/>
    <w:rsid w:val="00DA29D0"/>
    <w:rsid w:val="00DA2DC1"/>
    <w:rsid w:val="00DA3275"/>
    <w:rsid w:val="00DA3322"/>
    <w:rsid w:val="00DA3516"/>
    <w:rsid w:val="00DA3692"/>
    <w:rsid w:val="00DA36C5"/>
    <w:rsid w:val="00DA381F"/>
    <w:rsid w:val="00DA3898"/>
    <w:rsid w:val="00DA3B11"/>
    <w:rsid w:val="00DA3CC1"/>
    <w:rsid w:val="00DA3F76"/>
    <w:rsid w:val="00DA40D8"/>
    <w:rsid w:val="00DA41AD"/>
    <w:rsid w:val="00DA44AD"/>
    <w:rsid w:val="00DA4BA7"/>
    <w:rsid w:val="00DA4C80"/>
    <w:rsid w:val="00DA51CB"/>
    <w:rsid w:val="00DA5AA3"/>
    <w:rsid w:val="00DA5AB6"/>
    <w:rsid w:val="00DA5E76"/>
    <w:rsid w:val="00DA5F34"/>
    <w:rsid w:val="00DA6401"/>
    <w:rsid w:val="00DA67CD"/>
    <w:rsid w:val="00DA6B65"/>
    <w:rsid w:val="00DA6BDC"/>
    <w:rsid w:val="00DA6DB5"/>
    <w:rsid w:val="00DA6E1F"/>
    <w:rsid w:val="00DA79E8"/>
    <w:rsid w:val="00DA7C94"/>
    <w:rsid w:val="00DA7DD5"/>
    <w:rsid w:val="00DB0238"/>
    <w:rsid w:val="00DB02FD"/>
    <w:rsid w:val="00DB0452"/>
    <w:rsid w:val="00DB0890"/>
    <w:rsid w:val="00DB08A6"/>
    <w:rsid w:val="00DB08DE"/>
    <w:rsid w:val="00DB0C9D"/>
    <w:rsid w:val="00DB0D1E"/>
    <w:rsid w:val="00DB1442"/>
    <w:rsid w:val="00DB1593"/>
    <w:rsid w:val="00DB1BBD"/>
    <w:rsid w:val="00DB1C60"/>
    <w:rsid w:val="00DB27B7"/>
    <w:rsid w:val="00DB2A7C"/>
    <w:rsid w:val="00DB2E80"/>
    <w:rsid w:val="00DB313A"/>
    <w:rsid w:val="00DB32D8"/>
    <w:rsid w:val="00DB358C"/>
    <w:rsid w:val="00DB38DC"/>
    <w:rsid w:val="00DB3E47"/>
    <w:rsid w:val="00DB423F"/>
    <w:rsid w:val="00DB431E"/>
    <w:rsid w:val="00DB44B6"/>
    <w:rsid w:val="00DB4736"/>
    <w:rsid w:val="00DB477E"/>
    <w:rsid w:val="00DB49E8"/>
    <w:rsid w:val="00DB4BD2"/>
    <w:rsid w:val="00DB51CD"/>
    <w:rsid w:val="00DB53A6"/>
    <w:rsid w:val="00DB5C1A"/>
    <w:rsid w:val="00DB5F25"/>
    <w:rsid w:val="00DB61E2"/>
    <w:rsid w:val="00DB68C2"/>
    <w:rsid w:val="00DB6DD8"/>
    <w:rsid w:val="00DB70E6"/>
    <w:rsid w:val="00DB74A4"/>
    <w:rsid w:val="00DB79C3"/>
    <w:rsid w:val="00DB7A12"/>
    <w:rsid w:val="00DC0538"/>
    <w:rsid w:val="00DC0578"/>
    <w:rsid w:val="00DC070A"/>
    <w:rsid w:val="00DC1776"/>
    <w:rsid w:val="00DC2093"/>
    <w:rsid w:val="00DC231F"/>
    <w:rsid w:val="00DC232D"/>
    <w:rsid w:val="00DC284B"/>
    <w:rsid w:val="00DC2CBB"/>
    <w:rsid w:val="00DC2D19"/>
    <w:rsid w:val="00DC3318"/>
    <w:rsid w:val="00DC3548"/>
    <w:rsid w:val="00DC386D"/>
    <w:rsid w:val="00DC3BF0"/>
    <w:rsid w:val="00DC3EF1"/>
    <w:rsid w:val="00DC4800"/>
    <w:rsid w:val="00DC4B0C"/>
    <w:rsid w:val="00DC4BC8"/>
    <w:rsid w:val="00DC4CB6"/>
    <w:rsid w:val="00DC580F"/>
    <w:rsid w:val="00DC5B5E"/>
    <w:rsid w:val="00DC5C57"/>
    <w:rsid w:val="00DC5EB2"/>
    <w:rsid w:val="00DC6140"/>
    <w:rsid w:val="00DC63CE"/>
    <w:rsid w:val="00DC671D"/>
    <w:rsid w:val="00DC6CC3"/>
    <w:rsid w:val="00DC6F45"/>
    <w:rsid w:val="00DC7BA7"/>
    <w:rsid w:val="00DD028A"/>
    <w:rsid w:val="00DD042A"/>
    <w:rsid w:val="00DD0535"/>
    <w:rsid w:val="00DD0565"/>
    <w:rsid w:val="00DD085E"/>
    <w:rsid w:val="00DD0E79"/>
    <w:rsid w:val="00DD1244"/>
    <w:rsid w:val="00DD1294"/>
    <w:rsid w:val="00DD17AB"/>
    <w:rsid w:val="00DD18DF"/>
    <w:rsid w:val="00DD289F"/>
    <w:rsid w:val="00DD28F1"/>
    <w:rsid w:val="00DD2A3E"/>
    <w:rsid w:val="00DD2BAF"/>
    <w:rsid w:val="00DD2DE6"/>
    <w:rsid w:val="00DD2FF2"/>
    <w:rsid w:val="00DD301C"/>
    <w:rsid w:val="00DD3066"/>
    <w:rsid w:val="00DD360C"/>
    <w:rsid w:val="00DD3682"/>
    <w:rsid w:val="00DD368C"/>
    <w:rsid w:val="00DD3898"/>
    <w:rsid w:val="00DD3921"/>
    <w:rsid w:val="00DD3DB1"/>
    <w:rsid w:val="00DD40D9"/>
    <w:rsid w:val="00DD4643"/>
    <w:rsid w:val="00DD47DA"/>
    <w:rsid w:val="00DD4A09"/>
    <w:rsid w:val="00DD4A4A"/>
    <w:rsid w:val="00DD4EF1"/>
    <w:rsid w:val="00DD5148"/>
    <w:rsid w:val="00DD519C"/>
    <w:rsid w:val="00DD55BD"/>
    <w:rsid w:val="00DD5800"/>
    <w:rsid w:val="00DD5A61"/>
    <w:rsid w:val="00DD5FF0"/>
    <w:rsid w:val="00DD6256"/>
    <w:rsid w:val="00DD645E"/>
    <w:rsid w:val="00DD68A2"/>
    <w:rsid w:val="00DD6915"/>
    <w:rsid w:val="00DD6B1C"/>
    <w:rsid w:val="00DD6E88"/>
    <w:rsid w:val="00DD74C3"/>
    <w:rsid w:val="00DD74FE"/>
    <w:rsid w:val="00DD78F8"/>
    <w:rsid w:val="00DD7911"/>
    <w:rsid w:val="00DD7C49"/>
    <w:rsid w:val="00DD7D59"/>
    <w:rsid w:val="00DE0306"/>
    <w:rsid w:val="00DE0EBC"/>
    <w:rsid w:val="00DE0F76"/>
    <w:rsid w:val="00DE1135"/>
    <w:rsid w:val="00DE17EC"/>
    <w:rsid w:val="00DE1B5E"/>
    <w:rsid w:val="00DE260B"/>
    <w:rsid w:val="00DE26A6"/>
    <w:rsid w:val="00DE2A03"/>
    <w:rsid w:val="00DE2A2B"/>
    <w:rsid w:val="00DE350C"/>
    <w:rsid w:val="00DE392A"/>
    <w:rsid w:val="00DE4000"/>
    <w:rsid w:val="00DE45ED"/>
    <w:rsid w:val="00DE47D5"/>
    <w:rsid w:val="00DE4F4D"/>
    <w:rsid w:val="00DE5AD8"/>
    <w:rsid w:val="00DE5D14"/>
    <w:rsid w:val="00DE5F2C"/>
    <w:rsid w:val="00DE6190"/>
    <w:rsid w:val="00DE63F0"/>
    <w:rsid w:val="00DE65BA"/>
    <w:rsid w:val="00DE65D5"/>
    <w:rsid w:val="00DE6B4D"/>
    <w:rsid w:val="00DE6F79"/>
    <w:rsid w:val="00DE724E"/>
    <w:rsid w:val="00DE745B"/>
    <w:rsid w:val="00DE7658"/>
    <w:rsid w:val="00DE7787"/>
    <w:rsid w:val="00DE7B99"/>
    <w:rsid w:val="00DE7FD1"/>
    <w:rsid w:val="00DF0444"/>
    <w:rsid w:val="00DF0857"/>
    <w:rsid w:val="00DF0D5C"/>
    <w:rsid w:val="00DF16FB"/>
    <w:rsid w:val="00DF1995"/>
    <w:rsid w:val="00DF1C3A"/>
    <w:rsid w:val="00DF1D9F"/>
    <w:rsid w:val="00DF2E56"/>
    <w:rsid w:val="00DF30C7"/>
    <w:rsid w:val="00DF368D"/>
    <w:rsid w:val="00DF395C"/>
    <w:rsid w:val="00DF4096"/>
    <w:rsid w:val="00DF44BA"/>
    <w:rsid w:val="00DF4CE1"/>
    <w:rsid w:val="00DF53E4"/>
    <w:rsid w:val="00DF560F"/>
    <w:rsid w:val="00DF5D4A"/>
    <w:rsid w:val="00DF61A2"/>
    <w:rsid w:val="00DF632D"/>
    <w:rsid w:val="00DF698E"/>
    <w:rsid w:val="00DF6E41"/>
    <w:rsid w:val="00DF7661"/>
    <w:rsid w:val="00DF7A43"/>
    <w:rsid w:val="00DF7B98"/>
    <w:rsid w:val="00E005BF"/>
    <w:rsid w:val="00E005ED"/>
    <w:rsid w:val="00E015E9"/>
    <w:rsid w:val="00E01827"/>
    <w:rsid w:val="00E01896"/>
    <w:rsid w:val="00E02099"/>
    <w:rsid w:val="00E02705"/>
    <w:rsid w:val="00E0285D"/>
    <w:rsid w:val="00E029A8"/>
    <w:rsid w:val="00E02A75"/>
    <w:rsid w:val="00E03120"/>
    <w:rsid w:val="00E032CA"/>
    <w:rsid w:val="00E0344D"/>
    <w:rsid w:val="00E03501"/>
    <w:rsid w:val="00E03795"/>
    <w:rsid w:val="00E0418A"/>
    <w:rsid w:val="00E055F1"/>
    <w:rsid w:val="00E05E42"/>
    <w:rsid w:val="00E05EC1"/>
    <w:rsid w:val="00E06482"/>
    <w:rsid w:val="00E067FA"/>
    <w:rsid w:val="00E068F0"/>
    <w:rsid w:val="00E06904"/>
    <w:rsid w:val="00E06ADE"/>
    <w:rsid w:val="00E06B35"/>
    <w:rsid w:val="00E06C22"/>
    <w:rsid w:val="00E070F1"/>
    <w:rsid w:val="00E07C18"/>
    <w:rsid w:val="00E07F2D"/>
    <w:rsid w:val="00E115AE"/>
    <w:rsid w:val="00E121F2"/>
    <w:rsid w:val="00E125BC"/>
    <w:rsid w:val="00E12824"/>
    <w:rsid w:val="00E129BC"/>
    <w:rsid w:val="00E12AB7"/>
    <w:rsid w:val="00E12ED1"/>
    <w:rsid w:val="00E1364D"/>
    <w:rsid w:val="00E13CCC"/>
    <w:rsid w:val="00E13F64"/>
    <w:rsid w:val="00E1447A"/>
    <w:rsid w:val="00E14645"/>
    <w:rsid w:val="00E1494F"/>
    <w:rsid w:val="00E14BE6"/>
    <w:rsid w:val="00E14EBC"/>
    <w:rsid w:val="00E154B9"/>
    <w:rsid w:val="00E15846"/>
    <w:rsid w:val="00E159B5"/>
    <w:rsid w:val="00E15C09"/>
    <w:rsid w:val="00E15D58"/>
    <w:rsid w:val="00E15DB0"/>
    <w:rsid w:val="00E1740F"/>
    <w:rsid w:val="00E17565"/>
    <w:rsid w:val="00E178EA"/>
    <w:rsid w:val="00E179CC"/>
    <w:rsid w:val="00E179D5"/>
    <w:rsid w:val="00E20168"/>
    <w:rsid w:val="00E205DA"/>
    <w:rsid w:val="00E2082C"/>
    <w:rsid w:val="00E20B51"/>
    <w:rsid w:val="00E20CD0"/>
    <w:rsid w:val="00E20EB5"/>
    <w:rsid w:val="00E2138F"/>
    <w:rsid w:val="00E21685"/>
    <w:rsid w:val="00E218BC"/>
    <w:rsid w:val="00E21ABA"/>
    <w:rsid w:val="00E21ABF"/>
    <w:rsid w:val="00E2233B"/>
    <w:rsid w:val="00E2234A"/>
    <w:rsid w:val="00E22752"/>
    <w:rsid w:val="00E22C19"/>
    <w:rsid w:val="00E22D8A"/>
    <w:rsid w:val="00E2306D"/>
    <w:rsid w:val="00E233FF"/>
    <w:rsid w:val="00E2348C"/>
    <w:rsid w:val="00E235CA"/>
    <w:rsid w:val="00E238F2"/>
    <w:rsid w:val="00E239F1"/>
    <w:rsid w:val="00E23DBA"/>
    <w:rsid w:val="00E23FE8"/>
    <w:rsid w:val="00E24D61"/>
    <w:rsid w:val="00E25116"/>
    <w:rsid w:val="00E2571A"/>
    <w:rsid w:val="00E25C5D"/>
    <w:rsid w:val="00E25E6D"/>
    <w:rsid w:val="00E25FB5"/>
    <w:rsid w:val="00E263FF"/>
    <w:rsid w:val="00E26486"/>
    <w:rsid w:val="00E2693A"/>
    <w:rsid w:val="00E278A6"/>
    <w:rsid w:val="00E27B7B"/>
    <w:rsid w:val="00E27E48"/>
    <w:rsid w:val="00E30155"/>
    <w:rsid w:val="00E301F7"/>
    <w:rsid w:val="00E30A91"/>
    <w:rsid w:val="00E30DED"/>
    <w:rsid w:val="00E3124F"/>
    <w:rsid w:val="00E31334"/>
    <w:rsid w:val="00E31A01"/>
    <w:rsid w:val="00E31A2D"/>
    <w:rsid w:val="00E31C75"/>
    <w:rsid w:val="00E31E84"/>
    <w:rsid w:val="00E31EEE"/>
    <w:rsid w:val="00E3230E"/>
    <w:rsid w:val="00E324E1"/>
    <w:rsid w:val="00E32645"/>
    <w:rsid w:val="00E327B4"/>
    <w:rsid w:val="00E32901"/>
    <w:rsid w:val="00E33163"/>
    <w:rsid w:val="00E33171"/>
    <w:rsid w:val="00E3352D"/>
    <w:rsid w:val="00E338F7"/>
    <w:rsid w:val="00E3400A"/>
    <w:rsid w:val="00E34416"/>
    <w:rsid w:val="00E3455C"/>
    <w:rsid w:val="00E34586"/>
    <w:rsid w:val="00E3486B"/>
    <w:rsid w:val="00E34892"/>
    <w:rsid w:val="00E3492B"/>
    <w:rsid w:val="00E34B81"/>
    <w:rsid w:val="00E34BEE"/>
    <w:rsid w:val="00E34F58"/>
    <w:rsid w:val="00E3555D"/>
    <w:rsid w:val="00E3584F"/>
    <w:rsid w:val="00E360AB"/>
    <w:rsid w:val="00E36483"/>
    <w:rsid w:val="00E36613"/>
    <w:rsid w:val="00E36686"/>
    <w:rsid w:val="00E367C5"/>
    <w:rsid w:val="00E36E1F"/>
    <w:rsid w:val="00E37400"/>
    <w:rsid w:val="00E3749D"/>
    <w:rsid w:val="00E37981"/>
    <w:rsid w:val="00E37FD2"/>
    <w:rsid w:val="00E40096"/>
    <w:rsid w:val="00E4010D"/>
    <w:rsid w:val="00E404C2"/>
    <w:rsid w:val="00E40641"/>
    <w:rsid w:val="00E40AE5"/>
    <w:rsid w:val="00E40B1B"/>
    <w:rsid w:val="00E41D47"/>
    <w:rsid w:val="00E41E83"/>
    <w:rsid w:val="00E42013"/>
    <w:rsid w:val="00E42655"/>
    <w:rsid w:val="00E42B32"/>
    <w:rsid w:val="00E430B1"/>
    <w:rsid w:val="00E433A9"/>
    <w:rsid w:val="00E4439C"/>
    <w:rsid w:val="00E44472"/>
    <w:rsid w:val="00E44B0F"/>
    <w:rsid w:val="00E44DC8"/>
    <w:rsid w:val="00E44F81"/>
    <w:rsid w:val="00E452A7"/>
    <w:rsid w:val="00E45421"/>
    <w:rsid w:val="00E45544"/>
    <w:rsid w:val="00E458F3"/>
    <w:rsid w:val="00E4604B"/>
    <w:rsid w:val="00E46342"/>
    <w:rsid w:val="00E46B26"/>
    <w:rsid w:val="00E46D2C"/>
    <w:rsid w:val="00E472B5"/>
    <w:rsid w:val="00E47486"/>
    <w:rsid w:val="00E477E2"/>
    <w:rsid w:val="00E47C44"/>
    <w:rsid w:val="00E50851"/>
    <w:rsid w:val="00E5090E"/>
    <w:rsid w:val="00E50A20"/>
    <w:rsid w:val="00E50C12"/>
    <w:rsid w:val="00E5105C"/>
    <w:rsid w:val="00E5183D"/>
    <w:rsid w:val="00E5183E"/>
    <w:rsid w:val="00E521FB"/>
    <w:rsid w:val="00E535DB"/>
    <w:rsid w:val="00E5361E"/>
    <w:rsid w:val="00E53936"/>
    <w:rsid w:val="00E53B85"/>
    <w:rsid w:val="00E53BB9"/>
    <w:rsid w:val="00E53F42"/>
    <w:rsid w:val="00E5436B"/>
    <w:rsid w:val="00E545BA"/>
    <w:rsid w:val="00E545DA"/>
    <w:rsid w:val="00E54746"/>
    <w:rsid w:val="00E54D21"/>
    <w:rsid w:val="00E54DDE"/>
    <w:rsid w:val="00E54E58"/>
    <w:rsid w:val="00E54E70"/>
    <w:rsid w:val="00E55201"/>
    <w:rsid w:val="00E55833"/>
    <w:rsid w:val="00E55AFC"/>
    <w:rsid w:val="00E55C89"/>
    <w:rsid w:val="00E55D15"/>
    <w:rsid w:val="00E55EBF"/>
    <w:rsid w:val="00E56361"/>
    <w:rsid w:val="00E56B17"/>
    <w:rsid w:val="00E56FFA"/>
    <w:rsid w:val="00E578E6"/>
    <w:rsid w:val="00E60038"/>
    <w:rsid w:val="00E60817"/>
    <w:rsid w:val="00E608D0"/>
    <w:rsid w:val="00E60F16"/>
    <w:rsid w:val="00E614E9"/>
    <w:rsid w:val="00E61556"/>
    <w:rsid w:val="00E616EC"/>
    <w:rsid w:val="00E61944"/>
    <w:rsid w:val="00E61EC1"/>
    <w:rsid w:val="00E623D9"/>
    <w:rsid w:val="00E625BC"/>
    <w:rsid w:val="00E62FF7"/>
    <w:rsid w:val="00E630F1"/>
    <w:rsid w:val="00E63481"/>
    <w:rsid w:val="00E63654"/>
    <w:rsid w:val="00E63719"/>
    <w:rsid w:val="00E63C5D"/>
    <w:rsid w:val="00E63D0E"/>
    <w:rsid w:val="00E63E37"/>
    <w:rsid w:val="00E63FBE"/>
    <w:rsid w:val="00E6447A"/>
    <w:rsid w:val="00E64616"/>
    <w:rsid w:val="00E648CB"/>
    <w:rsid w:val="00E64F64"/>
    <w:rsid w:val="00E650C4"/>
    <w:rsid w:val="00E663AE"/>
    <w:rsid w:val="00E66FEB"/>
    <w:rsid w:val="00E6718C"/>
    <w:rsid w:val="00E67213"/>
    <w:rsid w:val="00E67431"/>
    <w:rsid w:val="00E67677"/>
    <w:rsid w:val="00E67F71"/>
    <w:rsid w:val="00E713D4"/>
    <w:rsid w:val="00E71442"/>
    <w:rsid w:val="00E72083"/>
    <w:rsid w:val="00E7223C"/>
    <w:rsid w:val="00E72489"/>
    <w:rsid w:val="00E72BCF"/>
    <w:rsid w:val="00E73631"/>
    <w:rsid w:val="00E73C22"/>
    <w:rsid w:val="00E73CFD"/>
    <w:rsid w:val="00E74142"/>
    <w:rsid w:val="00E74CD1"/>
    <w:rsid w:val="00E74EF1"/>
    <w:rsid w:val="00E74F06"/>
    <w:rsid w:val="00E7555B"/>
    <w:rsid w:val="00E7557E"/>
    <w:rsid w:val="00E7572A"/>
    <w:rsid w:val="00E7645A"/>
    <w:rsid w:val="00E76850"/>
    <w:rsid w:val="00E7703E"/>
    <w:rsid w:val="00E77879"/>
    <w:rsid w:val="00E77884"/>
    <w:rsid w:val="00E77915"/>
    <w:rsid w:val="00E77CFF"/>
    <w:rsid w:val="00E803CC"/>
    <w:rsid w:val="00E80502"/>
    <w:rsid w:val="00E8081B"/>
    <w:rsid w:val="00E80A9F"/>
    <w:rsid w:val="00E80B8E"/>
    <w:rsid w:val="00E8167F"/>
    <w:rsid w:val="00E819C7"/>
    <w:rsid w:val="00E81A75"/>
    <w:rsid w:val="00E822A7"/>
    <w:rsid w:val="00E82302"/>
    <w:rsid w:val="00E82D6F"/>
    <w:rsid w:val="00E82F5B"/>
    <w:rsid w:val="00E83702"/>
    <w:rsid w:val="00E83902"/>
    <w:rsid w:val="00E839B4"/>
    <w:rsid w:val="00E83BA8"/>
    <w:rsid w:val="00E83F7E"/>
    <w:rsid w:val="00E843B6"/>
    <w:rsid w:val="00E84988"/>
    <w:rsid w:val="00E84CFD"/>
    <w:rsid w:val="00E84D6A"/>
    <w:rsid w:val="00E84FFB"/>
    <w:rsid w:val="00E85B46"/>
    <w:rsid w:val="00E86481"/>
    <w:rsid w:val="00E8660B"/>
    <w:rsid w:val="00E86B2A"/>
    <w:rsid w:val="00E86C31"/>
    <w:rsid w:val="00E86E8F"/>
    <w:rsid w:val="00E87304"/>
    <w:rsid w:val="00E8745C"/>
    <w:rsid w:val="00E878F9"/>
    <w:rsid w:val="00E87980"/>
    <w:rsid w:val="00E87B83"/>
    <w:rsid w:val="00E87F62"/>
    <w:rsid w:val="00E9096E"/>
    <w:rsid w:val="00E90F6D"/>
    <w:rsid w:val="00E914BB"/>
    <w:rsid w:val="00E91628"/>
    <w:rsid w:val="00E91F60"/>
    <w:rsid w:val="00E91F65"/>
    <w:rsid w:val="00E9203D"/>
    <w:rsid w:val="00E922DE"/>
    <w:rsid w:val="00E92598"/>
    <w:rsid w:val="00E92A5F"/>
    <w:rsid w:val="00E93233"/>
    <w:rsid w:val="00E935F0"/>
    <w:rsid w:val="00E937DE"/>
    <w:rsid w:val="00E93A49"/>
    <w:rsid w:val="00E93DBA"/>
    <w:rsid w:val="00E94353"/>
    <w:rsid w:val="00E95171"/>
    <w:rsid w:val="00E957FC"/>
    <w:rsid w:val="00E95BD1"/>
    <w:rsid w:val="00E95F4C"/>
    <w:rsid w:val="00E96E1D"/>
    <w:rsid w:val="00E97200"/>
    <w:rsid w:val="00E9733E"/>
    <w:rsid w:val="00E975A5"/>
    <w:rsid w:val="00E97606"/>
    <w:rsid w:val="00E9760C"/>
    <w:rsid w:val="00E9783F"/>
    <w:rsid w:val="00E97F57"/>
    <w:rsid w:val="00EA0401"/>
    <w:rsid w:val="00EA0710"/>
    <w:rsid w:val="00EA0979"/>
    <w:rsid w:val="00EA0D9E"/>
    <w:rsid w:val="00EA0F19"/>
    <w:rsid w:val="00EA1352"/>
    <w:rsid w:val="00EA1F71"/>
    <w:rsid w:val="00EA2641"/>
    <w:rsid w:val="00EA2AE7"/>
    <w:rsid w:val="00EA2CCA"/>
    <w:rsid w:val="00EA2F4F"/>
    <w:rsid w:val="00EA2FFB"/>
    <w:rsid w:val="00EA33EE"/>
    <w:rsid w:val="00EA3424"/>
    <w:rsid w:val="00EA3468"/>
    <w:rsid w:val="00EA34F3"/>
    <w:rsid w:val="00EA36CF"/>
    <w:rsid w:val="00EA3DBF"/>
    <w:rsid w:val="00EA3EBD"/>
    <w:rsid w:val="00EA3F99"/>
    <w:rsid w:val="00EA421B"/>
    <w:rsid w:val="00EA45FE"/>
    <w:rsid w:val="00EA46CB"/>
    <w:rsid w:val="00EA4DC1"/>
    <w:rsid w:val="00EA4E5B"/>
    <w:rsid w:val="00EA50EF"/>
    <w:rsid w:val="00EA54A7"/>
    <w:rsid w:val="00EA55F6"/>
    <w:rsid w:val="00EA5C84"/>
    <w:rsid w:val="00EA5DB6"/>
    <w:rsid w:val="00EA66BB"/>
    <w:rsid w:val="00EA66DF"/>
    <w:rsid w:val="00EA69A9"/>
    <w:rsid w:val="00EA7610"/>
    <w:rsid w:val="00EA76B5"/>
    <w:rsid w:val="00EA7AF7"/>
    <w:rsid w:val="00EA7BD2"/>
    <w:rsid w:val="00EA7E60"/>
    <w:rsid w:val="00EB0230"/>
    <w:rsid w:val="00EB05BD"/>
    <w:rsid w:val="00EB08F2"/>
    <w:rsid w:val="00EB0BAC"/>
    <w:rsid w:val="00EB0E05"/>
    <w:rsid w:val="00EB18FC"/>
    <w:rsid w:val="00EB195C"/>
    <w:rsid w:val="00EB1992"/>
    <w:rsid w:val="00EB19CB"/>
    <w:rsid w:val="00EB1A55"/>
    <w:rsid w:val="00EB1D8F"/>
    <w:rsid w:val="00EB1DC8"/>
    <w:rsid w:val="00EB24A4"/>
    <w:rsid w:val="00EB29BD"/>
    <w:rsid w:val="00EB2C7A"/>
    <w:rsid w:val="00EB300E"/>
    <w:rsid w:val="00EB36D2"/>
    <w:rsid w:val="00EB458B"/>
    <w:rsid w:val="00EB462A"/>
    <w:rsid w:val="00EB5265"/>
    <w:rsid w:val="00EB52C5"/>
    <w:rsid w:val="00EB53F0"/>
    <w:rsid w:val="00EB5B76"/>
    <w:rsid w:val="00EB5C9E"/>
    <w:rsid w:val="00EB69C9"/>
    <w:rsid w:val="00EB6A98"/>
    <w:rsid w:val="00EB6B41"/>
    <w:rsid w:val="00EB6E76"/>
    <w:rsid w:val="00EB6F5F"/>
    <w:rsid w:val="00EB70D5"/>
    <w:rsid w:val="00EB7259"/>
    <w:rsid w:val="00EB7805"/>
    <w:rsid w:val="00EB7C87"/>
    <w:rsid w:val="00EB7F17"/>
    <w:rsid w:val="00EC0405"/>
    <w:rsid w:val="00EC0A52"/>
    <w:rsid w:val="00EC0DA9"/>
    <w:rsid w:val="00EC15C8"/>
    <w:rsid w:val="00EC1D44"/>
    <w:rsid w:val="00EC1FC0"/>
    <w:rsid w:val="00EC2327"/>
    <w:rsid w:val="00EC2910"/>
    <w:rsid w:val="00EC2A7D"/>
    <w:rsid w:val="00EC2B1D"/>
    <w:rsid w:val="00EC2B59"/>
    <w:rsid w:val="00EC2EB2"/>
    <w:rsid w:val="00EC3043"/>
    <w:rsid w:val="00EC304A"/>
    <w:rsid w:val="00EC31A8"/>
    <w:rsid w:val="00EC31FA"/>
    <w:rsid w:val="00EC3506"/>
    <w:rsid w:val="00EC3CFF"/>
    <w:rsid w:val="00EC437E"/>
    <w:rsid w:val="00EC4511"/>
    <w:rsid w:val="00EC460D"/>
    <w:rsid w:val="00EC4665"/>
    <w:rsid w:val="00EC46AA"/>
    <w:rsid w:val="00EC4781"/>
    <w:rsid w:val="00EC482D"/>
    <w:rsid w:val="00EC48EF"/>
    <w:rsid w:val="00EC4FBE"/>
    <w:rsid w:val="00EC50C4"/>
    <w:rsid w:val="00EC562D"/>
    <w:rsid w:val="00EC5CB0"/>
    <w:rsid w:val="00EC6A50"/>
    <w:rsid w:val="00EC6A6A"/>
    <w:rsid w:val="00EC6BBA"/>
    <w:rsid w:val="00EC6BF5"/>
    <w:rsid w:val="00EC7B49"/>
    <w:rsid w:val="00EC7CFA"/>
    <w:rsid w:val="00EC7D6E"/>
    <w:rsid w:val="00ED06A1"/>
    <w:rsid w:val="00ED1393"/>
    <w:rsid w:val="00ED17A2"/>
    <w:rsid w:val="00ED1C43"/>
    <w:rsid w:val="00ED1E0C"/>
    <w:rsid w:val="00ED2556"/>
    <w:rsid w:val="00ED26DC"/>
    <w:rsid w:val="00ED2B2D"/>
    <w:rsid w:val="00ED30F9"/>
    <w:rsid w:val="00ED3819"/>
    <w:rsid w:val="00ED3F5A"/>
    <w:rsid w:val="00ED443D"/>
    <w:rsid w:val="00ED45C9"/>
    <w:rsid w:val="00ED4F92"/>
    <w:rsid w:val="00ED520A"/>
    <w:rsid w:val="00ED52BB"/>
    <w:rsid w:val="00ED5598"/>
    <w:rsid w:val="00ED68AC"/>
    <w:rsid w:val="00ED6D13"/>
    <w:rsid w:val="00ED70DC"/>
    <w:rsid w:val="00ED7249"/>
    <w:rsid w:val="00ED7491"/>
    <w:rsid w:val="00ED7AC1"/>
    <w:rsid w:val="00ED7B14"/>
    <w:rsid w:val="00ED7C60"/>
    <w:rsid w:val="00ED7CB8"/>
    <w:rsid w:val="00ED7D4F"/>
    <w:rsid w:val="00EE0393"/>
    <w:rsid w:val="00EE0545"/>
    <w:rsid w:val="00EE1BB8"/>
    <w:rsid w:val="00EE25A8"/>
    <w:rsid w:val="00EE2B46"/>
    <w:rsid w:val="00EE2DD0"/>
    <w:rsid w:val="00EE2DDE"/>
    <w:rsid w:val="00EE360A"/>
    <w:rsid w:val="00EE3C8F"/>
    <w:rsid w:val="00EE3CFC"/>
    <w:rsid w:val="00EE3F93"/>
    <w:rsid w:val="00EE404A"/>
    <w:rsid w:val="00EE4561"/>
    <w:rsid w:val="00EE466F"/>
    <w:rsid w:val="00EE47CE"/>
    <w:rsid w:val="00EE4D64"/>
    <w:rsid w:val="00EE54AB"/>
    <w:rsid w:val="00EE577F"/>
    <w:rsid w:val="00EE58AE"/>
    <w:rsid w:val="00EE5A13"/>
    <w:rsid w:val="00EE5DB3"/>
    <w:rsid w:val="00EE62F5"/>
    <w:rsid w:val="00EE6A6B"/>
    <w:rsid w:val="00EE6C4F"/>
    <w:rsid w:val="00EE76CC"/>
    <w:rsid w:val="00EE7D76"/>
    <w:rsid w:val="00EE7FD7"/>
    <w:rsid w:val="00EF0689"/>
    <w:rsid w:val="00EF07AE"/>
    <w:rsid w:val="00EF0D25"/>
    <w:rsid w:val="00EF100D"/>
    <w:rsid w:val="00EF112E"/>
    <w:rsid w:val="00EF131B"/>
    <w:rsid w:val="00EF2600"/>
    <w:rsid w:val="00EF27D4"/>
    <w:rsid w:val="00EF2C04"/>
    <w:rsid w:val="00EF3258"/>
    <w:rsid w:val="00EF329B"/>
    <w:rsid w:val="00EF3746"/>
    <w:rsid w:val="00EF3E1C"/>
    <w:rsid w:val="00EF4531"/>
    <w:rsid w:val="00EF4B79"/>
    <w:rsid w:val="00EF4C7B"/>
    <w:rsid w:val="00EF5490"/>
    <w:rsid w:val="00EF5A27"/>
    <w:rsid w:val="00EF5B9A"/>
    <w:rsid w:val="00EF607C"/>
    <w:rsid w:val="00EF637E"/>
    <w:rsid w:val="00EF6998"/>
    <w:rsid w:val="00EF70AE"/>
    <w:rsid w:val="00EF74F2"/>
    <w:rsid w:val="00EF75C6"/>
    <w:rsid w:val="00EF760A"/>
    <w:rsid w:val="00EF76C0"/>
    <w:rsid w:val="00EF77DE"/>
    <w:rsid w:val="00EF78F2"/>
    <w:rsid w:val="00EF7BF2"/>
    <w:rsid w:val="00EF7E74"/>
    <w:rsid w:val="00F0005D"/>
    <w:rsid w:val="00F00F64"/>
    <w:rsid w:val="00F01BB0"/>
    <w:rsid w:val="00F01F93"/>
    <w:rsid w:val="00F01FC6"/>
    <w:rsid w:val="00F02622"/>
    <w:rsid w:val="00F02632"/>
    <w:rsid w:val="00F02CEF"/>
    <w:rsid w:val="00F02D19"/>
    <w:rsid w:val="00F030BA"/>
    <w:rsid w:val="00F03A11"/>
    <w:rsid w:val="00F0415D"/>
    <w:rsid w:val="00F04402"/>
    <w:rsid w:val="00F0447A"/>
    <w:rsid w:val="00F04628"/>
    <w:rsid w:val="00F049AB"/>
    <w:rsid w:val="00F04A56"/>
    <w:rsid w:val="00F050DA"/>
    <w:rsid w:val="00F05344"/>
    <w:rsid w:val="00F05660"/>
    <w:rsid w:val="00F05A2F"/>
    <w:rsid w:val="00F05C9B"/>
    <w:rsid w:val="00F05CB7"/>
    <w:rsid w:val="00F0605B"/>
    <w:rsid w:val="00F06CB0"/>
    <w:rsid w:val="00F06CC9"/>
    <w:rsid w:val="00F06EE5"/>
    <w:rsid w:val="00F070ED"/>
    <w:rsid w:val="00F076BF"/>
    <w:rsid w:val="00F0774E"/>
    <w:rsid w:val="00F07B93"/>
    <w:rsid w:val="00F07D57"/>
    <w:rsid w:val="00F10107"/>
    <w:rsid w:val="00F10618"/>
    <w:rsid w:val="00F10995"/>
    <w:rsid w:val="00F10B7A"/>
    <w:rsid w:val="00F10D51"/>
    <w:rsid w:val="00F10E6A"/>
    <w:rsid w:val="00F114B5"/>
    <w:rsid w:val="00F1198C"/>
    <w:rsid w:val="00F11B65"/>
    <w:rsid w:val="00F12185"/>
    <w:rsid w:val="00F126F8"/>
    <w:rsid w:val="00F12A5A"/>
    <w:rsid w:val="00F12B17"/>
    <w:rsid w:val="00F1322E"/>
    <w:rsid w:val="00F13486"/>
    <w:rsid w:val="00F13DE4"/>
    <w:rsid w:val="00F145A4"/>
    <w:rsid w:val="00F145F1"/>
    <w:rsid w:val="00F146C5"/>
    <w:rsid w:val="00F14C33"/>
    <w:rsid w:val="00F15008"/>
    <w:rsid w:val="00F152BC"/>
    <w:rsid w:val="00F152D9"/>
    <w:rsid w:val="00F15938"/>
    <w:rsid w:val="00F15D69"/>
    <w:rsid w:val="00F16076"/>
    <w:rsid w:val="00F162B3"/>
    <w:rsid w:val="00F1664A"/>
    <w:rsid w:val="00F1676E"/>
    <w:rsid w:val="00F16B3B"/>
    <w:rsid w:val="00F16D28"/>
    <w:rsid w:val="00F173BF"/>
    <w:rsid w:val="00F176A3"/>
    <w:rsid w:val="00F178E4"/>
    <w:rsid w:val="00F2012B"/>
    <w:rsid w:val="00F203A3"/>
    <w:rsid w:val="00F20453"/>
    <w:rsid w:val="00F20CFB"/>
    <w:rsid w:val="00F20FBF"/>
    <w:rsid w:val="00F21375"/>
    <w:rsid w:val="00F214CC"/>
    <w:rsid w:val="00F2174F"/>
    <w:rsid w:val="00F21907"/>
    <w:rsid w:val="00F21C55"/>
    <w:rsid w:val="00F21F89"/>
    <w:rsid w:val="00F2218B"/>
    <w:rsid w:val="00F22196"/>
    <w:rsid w:val="00F223FB"/>
    <w:rsid w:val="00F225D9"/>
    <w:rsid w:val="00F22FAE"/>
    <w:rsid w:val="00F2307E"/>
    <w:rsid w:val="00F2362A"/>
    <w:rsid w:val="00F24330"/>
    <w:rsid w:val="00F24765"/>
    <w:rsid w:val="00F24854"/>
    <w:rsid w:val="00F24B1E"/>
    <w:rsid w:val="00F2500A"/>
    <w:rsid w:val="00F2524C"/>
    <w:rsid w:val="00F256B3"/>
    <w:rsid w:val="00F25A17"/>
    <w:rsid w:val="00F25E28"/>
    <w:rsid w:val="00F2613C"/>
    <w:rsid w:val="00F265B9"/>
    <w:rsid w:val="00F26E51"/>
    <w:rsid w:val="00F26FD4"/>
    <w:rsid w:val="00F2726B"/>
    <w:rsid w:val="00F273CD"/>
    <w:rsid w:val="00F27895"/>
    <w:rsid w:val="00F2793D"/>
    <w:rsid w:val="00F27CAA"/>
    <w:rsid w:val="00F27FC4"/>
    <w:rsid w:val="00F30337"/>
    <w:rsid w:val="00F30C4C"/>
    <w:rsid w:val="00F30EE3"/>
    <w:rsid w:val="00F312A7"/>
    <w:rsid w:val="00F313DE"/>
    <w:rsid w:val="00F332E8"/>
    <w:rsid w:val="00F337D0"/>
    <w:rsid w:val="00F33D3A"/>
    <w:rsid w:val="00F33DEA"/>
    <w:rsid w:val="00F33DEC"/>
    <w:rsid w:val="00F33EB1"/>
    <w:rsid w:val="00F34407"/>
    <w:rsid w:val="00F3478B"/>
    <w:rsid w:val="00F34A9D"/>
    <w:rsid w:val="00F34D58"/>
    <w:rsid w:val="00F34DE3"/>
    <w:rsid w:val="00F35772"/>
    <w:rsid w:val="00F35AFF"/>
    <w:rsid w:val="00F35DF6"/>
    <w:rsid w:val="00F3613F"/>
    <w:rsid w:val="00F36172"/>
    <w:rsid w:val="00F36269"/>
    <w:rsid w:val="00F36333"/>
    <w:rsid w:val="00F3663C"/>
    <w:rsid w:val="00F366BE"/>
    <w:rsid w:val="00F36C00"/>
    <w:rsid w:val="00F3731F"/>
    <w:rsid w:val="00F37A14"/>
    <w:rsid w:val="00F37A1C"/>
    <w:rsid w:val="00F37BB0"/>
    <w:rsid w:val="00F37D4D"/>
    <w:rsid w:val="00F37EBA"/>
    <w:rsid w:val="00F400A8"/>
    <w:rsid w:val="00F40B3F"/>
    <w:rsid w:val="00F40C71"/>
    <w:rsid w:val="00F40E5B"/>
    <w:rsid w:val="00F40EFB"/>
    <w:rsid w:val="00F4145A"/>
    <w:rsid w:val="00F41B20"/>
    <w:rsid w:val="00F41BDC"/>
    <w:rsid w:val="00F41C7E"/>
    <w:rsid w:val="00F423A2"/>
    <w:rsid w:val="00F43BD5"/>
    <w:rsid w:val="00F43C60"/>
    <w:rsid w:val="00F43C66"/>
    <w:rsid w:val="00F44C37"/>
    <w:rsid w:val="00F44DEB"/>
    <w:rsid w:val="00F44FC2"/>
    <w:rsid w:val="00F450E3"/>
    <w:rsid w:val="00F450E9"/>
    <w:rsid w:val="00F4530A"/>
    <w:rsid w:val="00F45B16"/>
    <w:rsid w:val="00F4792B"/>
    <w:rsid w:val="00F50203"/>
    <w:rsid w:val="00F50CB0"/>
    <w:rsid w:val="00F50DA0"/>
    <w:rsid w:val="00F51596"/>
    <w:rsid w:val="00F51B96"/>
    <w:rsid w:val="00F51C2F"/>
    <w:rsid w:val="00F51CE6"/>
    <w:rsid w:val="00F52254"/>
    <w:rsid w:val="00F52AE0"/>
    <w:rsid w:val="00F52EB5"/>
    <w:rsid w:val="00F5320F"/>
    <w:rsid w:val="00F53A3F"/>
    <w:rsid w:val="00F53AC5"/>
    <w:rsid w:val="00F53BFB"/>
    <w:rsid w:val="00F53C3C"/>
    <w:rsid w:val="00F53F87"/>
    <w:rsid w:val="00F53FA6"/>
    <w:rsid w:val="00F54045"/>
    <w:rsid w:val="00F54891"/>
    <w:rsid w:val="00F548C4"/>
    <w:rsid w:val="00F548DB"/>
    <w:rsid w:val="00F54FEB"/>
    <w:rsid w:val="00F551E1"/>
    <w:rsid w:val="00F55980"/>
    <w:rsid w:val="00F559DE"/>
    <w:rsid w:val="00F559F2"/>
    <w:rsid w:val="00F55AB8"/>
    <w:rsid w:val="00F56591"/>
    <w:rsid w:val="00F568FC"/>
    <w:rsid w:val="00F56A1F"/>
    <w:rsid w:val="00F56E98"/>
    <w:rsid w:val="00F56F0E"/>
    <w:rsid w:val="00F56FA2"/>
    <w:rsid w:val="00F57376"/>
    <w:rsid w:val="00F573F1"/>
    <w:rsid w:val="00F57B13"/>
    <w:rsid w:val="00F57CCF"/>
    <w:rsid w:val="00F57FE0"/>
    <w:rsid w:val="00F6015A"/>
    <w:rsid w:val="00F6074C"/>
    <w:rsid w:val="00F609E6"/>
    <w:rsid w:val="00F60C13"/>
    <w:rsid w:val="00F60C78"/>
    <w:rsid w:val="00F611D6"/>
    <w:rsid w:val="00F6150B"/>
    <w:rsid w:val="00F62244"/>
    <w:rsid w:val="00F624BA"/>
    <w:rsid w:val="00F6296B"/>
    <w:rsid w:val="00F6297B"/>
    <w:rsid w:val="00F62BAB"/>
    <w:rsid w:val="00F62CC3"/>
    <w:rsid w:val="00F640CC"/>
    <w:rsid w:val="00F641E0"/>
    <w:rsid w:val="00F644FB"/>
    <w:rsid w:val="00F64504"/>
    <w:rsid w:val="00F6453C"/>
    <w:rsid w:val="00F646CD"/>
    <w:rsid w:val="00F64CF2"/>
    <w:rsid w:val="00F64E31"/>
    <w:rsid w:val="00F65361"/>
    <w:rsid w:val="00F65365"/>
    <w:rsid w:val="00F65658"/>
    <w:rsid w:val="00F657B6"/>
    <w:rsid w:val="00F65A5D"/>
    <w:rsid w:val="00F65BB4"/>
    <w:rsid w:val="00F65DFF"/>
    <w:rsid w:val="00F66659"/>
    <w:rsid w:val="00F66AB6"/>
    <w:rsid w:val="00F66B1B"/>
    <w:rsid w:val="00F670EA"/>
    <w:rsid w:val="00F703BB"/>
    <w:rsid w:val="00F70844"/>
    <w:rsid w:val="00F71029"/>
    <w:rsid w:val="00F71938"/>
    <w:rsid w:val="00F7199A"/>
    <w:rsid w:val="00F71FD6"/>
    <w:rsid w:val="00F727FE"/>
    <w:rsid w:val="00F72DDA"/>
    <w:rsid w:val="00F72EAB"/>
    <w:rsid w:val="00F72F67"/>
    <w:rsid w:val="00F7322E"/>
    <w:rsid w:val="00F73422"/>
    <w:rsid w:val="00F7363B"/>
    <w:rsid w:val="00F736B1"/>
    <w:rsid w:val="00F7385F"/>
    <w:rsid w:val="00F73865"/>
    <w:rsid w:val="00F739E7"/>
    <w:rsid w:val="00F73D03"/>
    <w:rsid w:val="00F74093"/>
    <w:rsid w:val="00F74404"/>
    <w:rsid w:val="00F74424"/>
    <w:rsid w:val="00F74A54"/>
    <w:rsid w:val="00F74AEA"/>
    <w:rsid w:val="00F74C87"/>
    <w:rsid w:val="00F74E26"/>
    <w:rsid w:val="00F7500F"/>
    <w:rsid w:val="00F753E1"/>
    <w:rsid w:val="00F75601"/>
    <w:rsid w:val="00F7570E"/>
    <w:rsid w:val="00F75B03"/>
    <w:rsid w:val="00F75D87"/>
    <w:rsid w:val="00F768AA"/>
    <w:rsid w:val="00F76A54"/>
    <w:rsid w:val="00F76B30"/>
    <w:rsid w:val="00F770E0"/>
    <w:rsid w:val="00F77117"/>
    <w:rsid w:val="00F7721A"/>
    <w:rsid w:val="00F774D6"/>
    <w:rsid w:val="00F77512"/>
    <w:rsid w:val="00F77B48"/>
    <w:rsid w:val="00F8028C"/>
    <w:rsid w:val="00F80A2C"/>
    <w:rsid w:val="00F80AFC"/>
    <w:rsid w:val="00F80CDF"/>
    <w:rsid w:val="00F81589"/>
    <w:rsid w:val="00F81D70"/>
    <w:rsid w:val="00F81FBB"/>
    <w:rsid w:val="00F828DD"/>
    <w:rsid w:val="00F82BB2"/>
    <w:rsid w:val="00F82CBE"/>
    <w:rsid w:val="00F83471"/>
    <w:rsid w:val="00F83592"/>
    <w:rsid w:val="00F839BE"/>
    <w:rsid w:val="00F839D6"/>
    <w:rsid w:val="00F841DE"/>
    <w:rsid w:val="00F84203"/>
    <w:rsid w:val="00F84278"/>
    <w:rsid w:val="00F843EA"/>
    <w:rsid w:val="00F843F9"/>
    <w:rsid w:val="00F845BD"/>
    <w:rsid w:val="00F84A32"/>
    <w:rsid w:val="00F84FA7"/>
    <w:rsid w:val="00F85C54"/>
    <w:rsid w:val="00F86008"/>
    <w:rsid w:val="00F860E4"/>
    <w:rsid w:val="00F8639A"/>
    <w:rsid w:val="00F8667F"/>
    <w:rsid w:val="00F86915"/>
    <w:rsid w:val="00F86C9C"/>
    <w:rsid w:val="00F871B8"/>
    <w:rsid w:val="00F87CB3"/>
    <w:rsid w:val="00F9053A"/>
    <w:rsid w:val="00F9063A"/>
    <w:rsid w:val="00F911E5"/>
    <w:rsid w:val="00F91579"/>
    <w:rsid w:val="00F91A49"/>
    <w:rsid w:val="00F91C4D"/>
    <w:rsid w:val="00F91CCA"/>
    <w:rsid w:val="00F91E1D"/>
    <w:rsid w:val="00F92682"/>
    <w:rsid w:val="00F9278D"/>
    <w:rsid w:val="00F92BDA"/>
    <w:rsid w:val="00F92CEC"/>
    <w:rsid w:val="00F9318A"/>
    <w:rsid w:val="00F93732"/>
    <w:rsid w:val="00F93AE1"/>
    <w:rsid w:val="00F93D16"/>
    <w:rsid w:val="00F9419F"/>
    <w:rsid w:val="00F9471D"/>
    <w:rsid w:val="00F94BD7"/>
    <w:rsid w:val="00F95063"/>
    <w:rsid w:val="00F950AE"/>
    <w:rsid w:val="00F95360"/>
    <w:rsid w:val="00F9571D"/>
    <w:rsid w:val="00F959A5"/>
    <w:rsid w:val="00F95A32"/>
    <w:rsid w:val="00F95EC7"/>
    <w:rsid w:val="00F96098"/>
    <w:rsid w:val="00F96D77"/>
    <w:rsid w:val="00F96FAF"/>
    <w:rsid w:val="00F97272"/>
    <w:rsid w:val="00F9742B"/>
    <w:rsid w:val="00F9785D"/>
    <w:rsid w:val="00F97D2B"/>
    <w:rsid w:val="00FA0054"/>
    <w:rsid w:val="00FA13E9"/>
    <w:rsid w:val="00FA1712"/>
    <w:rsid w:val="00FA1C85"/>
    <w:rsid w:val="00FA2BDF"/>
    <w:rsid w:val="00FA2EE6"/>
    <w:rsid w:val="00FA3108"/>
    <w:rsid w:val="00FA3298"/>
    <w:rsid w:val="00FA36A9"/>
    <w:rsid w:val="00FA3990"/>
    <w:rsid w:val="00FA39D6"/>
    <w:rsid w:val="00FA3DED"/>
    <w:rsid w:val="00FA3E30"/>
    <w:rsid w:val="00FA4896"/>
    <w:rsid w:val="00FA4C40"/>
    <w:rsid w:val="00FA5689"/>
    <w:rsid w:val="00FA5A9C"/>
    <w:rsid w:val="00FA5D0F"/>
    <w:rsid w:val="00FA5D94"/>
    <w:rsid w:val="00FA5F72"/>
    <w:rsid w:val="00FA751C"/>
    <w:rsid w:val="00FA7671"/>
    <w:rsid w:val="00FA76AD"/>
    <w:rsid w:val="00FA7DA1"/>
    <w:rsid w:val="00FB00BB"/>
    <w:rsid w:val="00FB0380"/>
    <w:rsid w:val="00FB0734"/>
    <w:rsid w:val="00FB0979"/>
    <w:rsid w:val="00FB09DC"/>
    <w:rsid w:val="00FB0A78"/>
    <w:rsid w:val="00FB0B8E"/>
    <w:rsid w:val="00FB0DFC"/>
    <w:rsid w:val="00FB0E41"/>
    <w:rsid w:val="00FB0E6B"/>
    <w:rsid w:val="00FB15B7"/>
    <w:rsid w:val="00FB183C"/>
    <w:rsid w:val="00FB19A4"/>
    <w:rsid w:val="00FB1ECE"/>
    <w:rsid w:val="00FB2462"/>
    <w:rsid w:val="00FB2A2C"/>
    <w:rsid w:val="00FB2E08"/>
    <w:rsid w:val="00FB2EEF"/>
    <w:rsid w:val="00FB31C6"/>
    <w:rsid w:val="00FB328A"/>
    <w:rsid w:val="00FB3388"/>
    <w:rsid w:val="00FB34FD"/>
    <w:rsid w:val="00FB3631"/>
    <w:rsid w:val="00FB39F3"/>
    <w:rsid w:val="00FB3C6F"/>
    <w:rsid w:val="00FB3F54"/>
    <w:rsid w:val="00FB46C3"/>
    <w:rsid w:val="00FB4DB3"/>
    <w:rsid w:val="00FB538D"/>
    <w:rsid w:val="00FB5696"/>
    <w:rsid w:val="00FB56ED"/>
    <w:rsid w:val="00FB59DB"/>
    <w:rsid w:val="00FB5A78"/>
    <w:rsid w:val="00FB6420"/>
    <w:rsid w:val="00FB64D6"/>
    <w:rsid w:val="00FB6ACA"/>
    <w:rsid w:val="00FB7048"/>
    <w:rsid w:val="00FB71BC"/>
    <w:rsid w:val="00FB72D4"/>
    <w:rsid w:val="00FB79E7"/>
    <w:rsid w:val="00FB7BB9"/>
    <w:rsid w:val="00FB7BE5"/>
    <w:rsid w:val="00FC039A"/>
    <w:rsid w:val="00FC09EE"/>
    <w:rsid w:val="00FC0FAC"/>
    <w:rsid w:val="00FC11F5"/>
    <w:rsid w:val="00FC22D4"/>
    <w:rsid w:val="00FC241C"/>
    <w:rsid w:val="00FC247F"/>
    <w:rsid w:val="00FC256E"/>
    <w:rsid w:val="00FC2DA8"/>
    <w:rsid w:val="00FC2E3B"/>
    <w:rsid w:val="00FC3616"/>
    <w:rsid w:val="00FC3B86"/>
    <w:rsid w:val="00FC3C85"/>
    <w:rsid w:val="00FC3DD9"/>
    <w:rsid w:val="00FC4903"/>
    <w:rsid w:val="00FC4991"/>
    <w:rsid w:val="00FC4AEA"/>
    <w:rsid w:val="00FC50B9"/>
    <w:rsid w:val="00FC5360"/>
    <w:rsid w:val="00FC5A70"/>
    <w:rsid w:val="00FC5AA4"/>
    <w:rsid w:val="00FC5E74"/>
    <w:rsid w:val="00FC64D5"/>
    <w:rsid w:val="00FC67C8"/>
    <w:rsid w:val="00FC67F3"/>
    <w:rsid w:val="00FC69F7"/>
    <w:rsid w:val="00FC6C04"/>
    <w:rsid w:val="00FC7637"/>
    <w:rsid w:val="00FC7D0E"/>
    <w:rsid w:val="00FD0B45"/>
    <w:rsid w:val="00FD0F30"/>
    <w:rsid w:val="00FD172E"/>
    <w:rsid w:val="00FD1734"/>
    <w:rsid w:val="00FD193F"/>
    <w:rsid w:val="00FD1EC0"/>
    <w:rsid w:val="00FD20E8"/>
    <w:rsid w:val="00FD229E"/>
    <w:rsid w:val="00FD23BF"/>
    <w:rsid w:val="00FD318D"/>
    <w:rsid w:val="00FD3349"/>
    <w:rsid w:val="00FD361F"/>
    <w:rsid w:val="00FD380E"/>
    <w:rsid w:val="00FD391D"/>
    <w:rsid w:val="00FD397F"/>
    <w:rsid w:val="00FD3E4C"/>
    <w:rsid w:val="00FD4106"/>
    <w:rsid w:val="00FD4136"/>
    <w:rsid w:val="00FD530A"/>
    <w:rsid w:val="00FD5739"/>
    <w:rsid w:val="00FD5E64"/>
    <w:rsid w:val="00FD66B2"/>
    <w:rsid w:val="00FD6761"/>
    <w:rsid w:val="00FD6833"/>
    <w:rsid w:val="00FD6A2C"/>
    <w:rsid w:val="00FD6ADF"/>
    <w:rsid w:val="00FD7841"/>
    <w:rsid w:val="00FD7A6E"/>
    <w:rsid w:val="00FD7EA3"/>
    <w:rsid w:val="00FE04E7"/>
    <w:rsid w:val="00FE0748"/>
    <w:rsid w:val="00FE08C6"/>
    <w:rsid w:val="00FE0A1D"/>
    <w:rsid w:val="00FE12B9"/>
    <w:rsid w:val="00FE14CB"/>
    <w:rsid w:val="00FE1575"/>
    <w:rsid w:val="00FE16D4"/>
    <w:rsid w:val="00FE17F6"/>
    <w:rsid w:val="00FE1AA2"/>
    <w:rsid w:val="00FE26FB"/>
    <w:rsid w:val="00FE2715"/>
    <w:rsid w:val="00FE2DEA"/>
    <w:rsid w:val="00FE32D5"/>
    <w:rsid w:val="00FE36FF"/>
    <w:rsid w:val="00FE37AC"/>
    <w:rsid w:val="00FE3D83"/>
    <w:rsid w:val="00FE3E6E"/>
    <w:rsid w:val="00FE4210"/>
    <w:rsid w:val="00FE429F"/>
    <w:rsid w:val="00FE4455"/>
    <w:rsid w:val="00FE4597"/>
    <w:rsid w:val="00FE4910"/>
    <w:rsid w:val="00FE507D"/>
    <w:rsid w:val="00FE5857"/>
    <w:rsid w:val="00FE58ED"/>
    <w:rsid w:val="00FE5900"/>
    <w:rsid w:val="00FE59B4"/>
    <w:rsid w:val="00FE5EC6"/>
    <w:rsid w:val="00FE5F32"/>
    <w:rsid w:val="00FE60E4"/>
    <w:rsid w:val="00FE6AA0"/>
    <w:rsid w:val="00FE7512"/>
    <w:rsid w:val="00FE7D31"/>
    <w:rsid w:val="00FE7DFF"/>
    <w:rsid w:val="00FF0042"/>
    <w:rsid w:val="00FF04F0"/>
    <w:rsid w:val="00FF0F11"/>
    <w:rsid w:val="00FF22FE"/>
    <w:rsid w:val="00FF2986"/>
    <w:rsid w:val="00FF2E18"/>
    <w:rsid w:val="00FF33DF"/>
    <w:rsid w:val="00FF413F"/>
    <w:rsid w:val="00FF4FF8"/>
    <w:rsid w:val="00FF5131"/>
    <w:rsid w:val="00FF54C3"/>
    <w:rsid w:val="00FF564E"/>
    <w:rsid w:val="00FF5CFB"/>
    <w:rsid w:val="00FF60B6"/>
    <w:rsid w:val="00FF66C0"/>
    <w:rsid w:val="00FF6BA2"/>
    <w:rsid w:val="00FF6EFB"/>
    <w:rsid w:val="00FF6F64"/>
    <w:rsid w:val="00FF79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date"/>
  <w:shapeDefaults>
    <o:shapedefaults v:ext="edit" spidmax="107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46C7"/>
    <w:rPr>
      <w:sz w:val="24"/>
      <w:szCs w:val="24"/>
    </w:rPr>
  </w:style>
  <w:style w:type="paragraph" w:styleId="Nadpis1">
    <w:name w:val="heading 1"/>
    <w:basedOn w:val="Normln"/>
    <w:next w:val="Normln"/>
    <w:link w:val="Nadpis1Char"/>
    <w:uiPriority w:val="9"/>
    <w:qFormat/>
    <w:pPr>
      <w:keepNext/>
      <w:tabs>
        <w:tab w:val="num" w:pos="624"/>
      </w:tabs>
      <w:ind w:left="624" w:hanging="624"/>
      <w:outlineLvl w:val="0"/>
    </w:pPr>
    <w:rPr>
      <w:b/>
      <w:bCs/>
      <w:sz w:val="32"/>
    </w:rPr>
  </w:style>
  <w:style w:type="paragraph" w:styleId="Nadpis2">
    <w:name w:val="heading 2"/>
    <w:basedOn w:val="Normln"/>
    <w:next w:val="Normln"/>
    <w:link w:val="Nadpis2Char"/>
    <w:uiPriority w:val="9"/>
    <w:qFormat/>
    <w:pPr>
      <w:keepNext/>
      <w:tabs>
        <w:tab w:val="num" w:pos="624"/>
      </w:tabs>
      <w:ind w:left="624" w:hanging="624"/>
      <w:outlineLvl w:val="1"/>
    </w:pPr>
    <w:rPr>
      <w:b/>
      <w:sz w:val="28"/>
      <w:u w:val="single"/>
    </w:rPr>
  </w:style>
  <w:style w:type="paragraph" w:styleId="Nadpis3">
    <w:name w:val="heading 3"/>
    <w:basedOn w:val="Normln"/>
    <w:next w:val="Normln"/>
    <w:link w:val="Nadpis3Char"/>
    <w:uiPriority w:val="9"/>
    <w:qFormat/>
    <w:pPr>
      <w:keepNext/>
      <w:tabs>
        <w:tab w:val="num" w:pos="720"/>
      </w:tabs>
      <w:ind w:left="1080" w:hanging="1080"/>
      <w:outlineLvl w:val="2"/>
    </w:pPr>
    <w:rPr>
      <w:sz w:val="28"/>
    </w:rPr>
  </w:style>
  <w:style w:type="paragraph" w:styleId="Nadpis4">
    <w:name w:val="heading 4"/>
    <w:basedOn w:val="Normln"/>
    <w:next w:val="Normln"/>
    <w:link w:val="Nadpis4Char"/>
    <w:uiPriority w:val="9"/>
    <w:qFormat/>
    <w:pPr>
      <w:keepNext/>
      <w:numPr>
        <w:numId w:val="3"/>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pPr>
      <w:keepNext/>
      <w:tabs>
        <w:tab w:val="num" w:pos="720"/>
      </w:tabs>
      <w:jc w:val="both"/>
      <w:outlineLvl w:val="4"/>
    </w:pPr>
    <w:rPr>
      <w:color w:val="FF0000"/>
      <w:sz w:val="28"/>
    </w:rPr>
  </w:style>
  <w:style w:type="paragraph" w:styleId="Nadpis6">
    <w:name w:val="heading 6"/>
    <w:basedOn w:val="Normln"/>
    <w:next w:val="Normln"/>
    <w:link w:val="Nadpis6Char"/>
    <w:uiPriority w:val="9"/>
    <w:qFormat/>
    <w:pPr>
      <w:keepNext/>
      <w:jc w:val="both"/>
      <w:outlineLvl w:val="5"/>
    </w:pPr>
    <w:rPr>
      <w:b/>
      <w:bCs/>
      <w:sz w:val="28"/>
    </w:rPr>
  </w:style>
  <w:style w:type="paragraph" w:styleId="Nadpis7">
    <w:name w:val="heading 7"/>
    <w:basedOn w:val="Normln"/>
    <w:next w:val="Normln"/>
    <w:link w:val="Nadpis7Char"/>
    <w:uiPriority w:val="9"/>
    <w:qFormat/>
    <w:pPr>
      <w:keepNext/>
      <w:jc w:val="center"/>
      <w:outlineLvl w:val="6"/>
    </w:pPr>
    <w:rPr>
      <w:sz w:val="28"/>
    </w:rPr>
  </w:style>
  <w:style w:type="paragraph" w:styleId="Nadpis8">
    <w:name w:val="heading 8"/>
    <w:basedOn w:val="Normln"/>
    <w:next w:val="Normln"/>
    <w:link w:val="Nadpis8Char"/>
    <w:uiPriority w:val="9"/>
    <w:qFormat/>
    <w:pPr>
      <w:keepNext/>
      <w:tabs>
        <w:tab w:val="num" w:pos="0"/>
      </w:tabs>
      <w:jc w:val="both"/>
      <w:outlineLvl w:val="7"/>
    </w:pPr>
    <w:rPr>
      <w:sz w:val="28"/>
    </w:rPr>
  </w:style>
  <w:style w:type="paragraph" w:styleId="Nadpis9">
    <w:name w:val="heading 9"/>
    <w:basedOn w:val="Normln"/>
    <w:next w:val="Normln"/>
    <w:link w:val="Nadpis9Char"/>
    <w:uiPriority w:val="9"/>
    <w:qFormat/>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96998"/>
    <w:rPr>
      <w:b/>
      <w:bCs/>
      <w:sz w:val="32"/>
      <w:szCs w:val="24"/>
    </w:rPr>
  </w:style>
  <w:style w:type="character" w:customStyle="1" w:styleId="Nadpis2Char">
    <w:name w:val="Nadpis 2 Char"/>
    <w:basedOn w:val="Standardnpsmoodstavce"/>
    <w:link w:val="Nadpis2"/>
    <w:uiPriority w:val="9"/>
    <w:rsid w:val="00E96998"/>
    <w:rPr>
      <w:b/>
      <w:sz w:val="28"/>
      <w:szCs w:val="24"/>
      <w:u w:val="single"/>
    </w:rPr>
  </w:style>
  <w:style w:type="character" w:customStyle="1" w:styleId="Nadpis3Char">
    <w:name w:val="Nadpis 3 Char"/>
    <w:basedOn w:val="Standardnpsmoodstavce"/>
    <w:link w:val="Nadpis3"/>
    <w:uiPriority w:val="9"/>
    <w:semiHidden/>
    <w:rsid w:val="00E96998"/>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rsid w:val="00E96998"/>
    <w:rPr>
      <w:b/>
      <w:bCs/>
      <w:sz w:val="28"/>
      <w:szCs w:val="24"/>
    </w:rPr>
  </w:style>
  <w:style w:type="character" w:customStyle="1" w:styleId="Nadpis5Char">
    <w:name w:val="Nadpis 5 Char"/>
    <w:basedOn w:val="Standardnpsmoodstavce"/>
    <w:link w:val="Nadpis5"/>
    <w:uiPriority w:val="9"/>
    <w:semiHidden/>
    <w:rsid w:val="00E96998"/>
    <w:rPr>
      <w:rFonts w:asciiTheme="minorHAnsi" w:eastAsiaTheme="minorEastAsia" w:hAnsiTheme="minorHAnsi" w:cstheme="minorBidi"/>
      <w:b/>
      <w:bCs/>
      <w:i/>
      <w:iCs/>
      <w:sz w:val="26"/>
      <w:szCs w:val="26"/>
    </w:rPr>
  </w:style>
  <w:style w:type="character" w:customStyle="1" w:styleId="Nadpis6Char">
    <w:name w:val="Nadpis 6 Char"/>
    <w:basedOn w:val="Standardnpsmoodstavce"/>
    <w:link w:val="Nadpis6"/>
    <w:uiPriority w:val="9"/>
    <w:semiHidden/>
    <w:rsid w:val="00E96998"/>
    <w:rPr>
      <w:rFonts w:asciiTheme="minorHAnsi" w:eastAsiaTheme="minorEastAsia" w:hAnsiTheme="minorHAnsi" w:cstheme="minorBidi"/>
      <w:b/>
      <w:bCs/>
      <w:sz w:val="22"/>
      <w:szCs w:val="22"/>
    </w:rPr>
  </w:style>
  <w:style w:type="character" w:customStyle="1" w:styleId="Nadpis7Char">
    <w:name w:val="Nadpis 7 Char"/>
    <w:basedOn w:val="Standardnpsmoodstavce"/>
    <w:link w:val="Nadpis7"/>
    <w:uiPriority w:val="9"/>
    <w:semiHidden/>
    <w:rsid w:val="00E96998"/>
    <w:rPr>
      <w:rFonts w:asciiTheme="minorHAnsi" w:eastAsiaTheme="minorEastAsia" w:hAnsiTheme="minorHAnsi" w:cstheme="minorBidi"/>
      <w:sz w:val="24"/>
      <w:szCs w:val="24"/>
    </w:rPr>
  </w:style>
  <w:style w:type="character" w:customStyle="1" w:styleId="Nadpis8Char">
    <w:name w:val="Nadpis 8 Char"/>
    <w:basedOn w:val="Standardnpsmoodstavce"/>
    <w:link w:val="Nadpis8"/>
    <w:uiPriority w:val="9"/>
    <w:semiHidden/>
    <w:rsid w:val="00E96998"/>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rsid w:val="00E96998"/>
    <w:rPr>
      <w:rFonts w:asciiTheme="majorHAnsi" w:eastAsiaTheme="majorEastAsia" w:hAnsiTheme="majorHAnsi" w:cstheme="majorBidi"/>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jc w:val="both"/>
    </w:pPr>
    <w:rPr>
      <w:sz w:val="28"/>
    </w:rPr>
  </w:style>
  <w:style w:type="character" w:customStyle="1" w:styleId="BodyTextChar">
    <w:name w:val="Body Text Char"/>
    <w:aliases w:val="Char Char,subtitle2 Char,Základní tZákladní text Char,Mgr. Rudolf Krejčík Char,Mgr. Rudolf Krejeík Char,Standard paragraph Char"/>
    <w:basedOn w:val="Standardnpsmoodstavce"/>
    <w:uiPriority w:val="99"/>
    <w:semiHidden/>
    <w:rsid w:val="00E96998"/>
    <w:rPr>
      <w:sz w:val="24"/>
      <w:szCs w:val="24"/>
    </w:rPr>
  </w:style>
  <w:style w:type="paragraph" w:styleId="Zkladntext2">
    <w:name w:val="Body Text 2"/>
    <w:basedOn w:val="Normln"/>
    <w:link w:val="Zkladntext2Char"/>
    <w:uiPriority w:val="99"/>
    <w:pPr>
      <w:jc w:val="both"/>
    </w:pPr>
    <w:rPr>
      <w:sz w:val="28"/>
    </w:rPr>
  </w:style>
  <w:style w:type="character" w:customStyle="1" w:styleId="Zkladntext2Char">
    <w:name w:val="Základní text 2 Char"/>
    <w:basedOn w:val="Standardnpsmoodstavce"/>
    <w:link w:val="Zkladntext2"/>
    <w:uiPriority w:val="99"/>
    <w:semiHidden/>
    <w:rsid w:val="00E96998"/>
    <w:rPr>
      <w:sz w:val="24"/>
      <w:szCs w:val="24"/>
    </w:rPr>
  </w:style>
  <w:style w:type="paragraph" w:styleId="Zkladntextodsazen2">
    <w:name w:val="Body Text Indent 2"/>
    <w:basedOn w:val="Normln"/>
    <w:link w:val="Zkladntextodsazen2Char"/>
    <w:uiPriority w:val="99"/>
    <w:pPr>
      <w:ind w:left="360"/>
      <w:jc w:val="both"/>
    </w:pPr>
    <w:rPr>
      <w:sz w:val="28"/>
    </w:rPr>
  </w:style>
  <w:style w:type="character" w:customStyle="1" w:styleId="Zkladntextodsazen2Char">
    <w:name w:val="Základní text odsazený 2 Char"/>
    <w:basedOn w:val="Standardnpsmoodstavce"/>
    <w:link w:val="Zkladntextodsazen2"/>
    <w:uiPriority w:val="99"/>
    <w:semiHidden/>
    <w:rsid w:val="00E96998"/>
    <w:rPr>
      <w:sz w:val="24"/>
      <w:szCs w:val="24"/>
    </w:rPr>
  </w:style>
  <w:style w:type="paragraph" w:styleId="Zkladntext3">
    <w:name w:val="Body Text 3"/>
    <w:basedOn w:val="Normln"/>
    <w:link w:val="Zkladntext3Char"/>
    <w:pPr>
      <w:jc w:val="both"/>
    </w:pPr>
    <w:rPr>
      <w:color w:val="FF0000"/>
      <w:sz w:val="28"/>
    </w:rPr>
  </w:style>
  <w:style w:type="character" w:customStyle="1" w:styleId="Zkladntext3Char">
    <w:name w:val="Základní text 3 Char"/>
    <w:basedOn w:val="Standardnpsmoodstavce"/>
    <w:link w:val="Zkladntext3"/>
    <w:uiPriority w:val="99"/>
    <w:semiHidden/>
    <w:rsid w:val="00E96998"/>
    <w:rPr>
      <w:sz w:val="16"/>
      <w:szCs w:val="16"/>
    </w:rPr>
  </w:style>
  <w:style w:type="paragraph" w:styleId="Podtitul">
    <w:name w:val="Subtitle"/>
    <w:basedOn w:val="Normln"/>
    <w:link w:val="PodtitulChar"/>
    <w:uiPriority w:val="11"/>
    <w:qFormat/>
    <w:rPr>
      <w:b/>
      <w:bCs/>
    </w:rPr>
  </w:style>
  <w:style w:type="character" w:customStyle="1" w:styleId="PodtitulChar">
    <w:name w:val="Podtitul Char"/>
    <w:basedOn w:val="Standardnpsmoodstavce"/>
    <w:link w:val="Podtitul"/>
    <w:uiPriority w:val="11"/>
    <w:rsid w:val="00E96998"/>
    <w:rPr>
      <w:rFonts w:asciiTheme="majorHAnsi" w:eastAsiaTheme="majorEastAsia" w:hAnsiTheme="majorHAnsi" w:cstheme="majorBidi"/>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rsid w:val="00E96998"/>
    <w:rPr>
      <w:sz w:val="24"/>
      <w:szCs w:val="24"/>
    </w:rPr>
  </w:style>
  <w:style w:type="character" w:styleId="slostrnky">
    <w:name w:val="page number"/>
    <w:basedOn w:val="Standardnpsmoodstavce"/>
    <w:uiPriority w:val="99"/>
    <w:rPr>
      <w:rFonts w:cs="Times New Roman"/>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rsid w:val="00E96998"/>
    <w:rPr>
      <w:sz w:val="24"/>
      <w:szCs w:val="24"/>
    </w:rPr>
  </w:style>
  <w:style w:type="paragraph" w:styleId="Zkladntextodsazen">
    <w:name w:val="Body Text Indent"/>
    <w:basedOn w:val="Normln"/>
    <w:link w:val="ZkladntextodsazenChar"/>
    <w:uiPriority w:val="99"/>
    <w:pPr>
      <w:ind w:firstLine="540"/>
      <w:jc w:val="both"/>
    </w:pPr>
    <w:rPr>
      <w:sz w:val="28"/>
    </w:rPr>
  </w:style>
  <w:style w:type="character" w:customStyle="1" w:styleId="ZkladntextodsazenChar">
    <w:name w:val="Základní text odsazený Char"/>
    <w:basedOn w:val="Standardnpsmoodstavce"/>
    <w:link w:val="Zkladntextodsazen"/>
    <w:uiPriority w:val="99"/>
    <w:semiHidden/>
    <w:rsid w:val="00E96998"/>
    <w:rPr>
      <w:sz w:val="24"/>
      <w:szCs w:val="24"/>
    </w:rPr>
  </w:style>
  <w:style w:type="paragraph" w:styleId="Zkladntextodsazen3">
    <w:name w:val="Body Text Indent 3"/>
    <w:basedOn w:val="Normln"/>
    <w:link w:val="Zkladntextodsazen3Char"/>
    <w:uiPriority w:val="99"/>
    <w:pPr>
      <w:tabs>
        <w:tab w:val="num" w:pos="0"/>
      </w:tabs>
      <w:ind w:right="-110" w:firstLine="540"/>
      <w:jc w:val="both"/>
    </w:pPr>
    <w:rPr>
      <w:sz w:val="28"/>
    </w:rPr>
  </w:style>
  <w:style w:type="character" w:customStyle="1" w:styleId="Zkladntextodsazen3Char">
    <w:name w:val="Základní text odsazený 3 Char"/>
    <w:basedOn w:val="Standardnpsmoodstavce"/>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ascii="Tahoma" w:hAnsi="Tahoma" w:cs="Tahoma"/>
      <w:sz w:val="16"/>
      <w:szCs w:val="16"/>
    </w:rPr>
  </w:style>
  <w:style w:type="character" w:customStyle="1" w:styleId="TextbublinyChar">
    <w:name w:val="Text bubliny Char"/>
    <w:basedOn w:val="Standardnpsmoodstavce"/>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basedOn w:val="Standardnpsmoodstavce"/>
    <w:uiPriority w:val="99"/>
    <w:semiHidden/>
    <w:rsid w:val="006570AA"/>
    <w:rPr>
      <w:sz w:val="16"/>
    </w:rPr>
  </w:style>
  <w:style w:type="paragraph" w:styleId="Textkomente">
    <w:name w:val="annotation text"/>
    <w:basedOn w:val="Normln"/>
    <w:link w:val="TextkomenteChar"/>
    <w:uiPriority w:val="99"/>
    <w:semiHidden/>
    <w:rsid w:val="006570AA"/>
    <w:rPr>
      <w:sz w:val="20"/>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basedOn w:val="TextkomenteChar"/>
    <w:link w:val="Pedmtkomente"/>
    <w:uiPriority w:val="99"/>
    <w:semiHidden/>
    <w:rsid w:val="00E96998"/>
    <w:rPr>
      <w:b/>
      <w:bCs/>
    </w:rPr>
  </w:style>
  <w:style w:type="character" w:styleId="Hypertextovodkaz">
    <w:name w:val="Hyperlink"/>
    <w:basedOn w:val="Standardnpsmoodstavce"/>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basedOn w:val="Standardnpsmoodstavce"/>
    <w:uiPriority w:val="99"/>
    <w:rsid w:val="0010171E"/>
    <w:rPr>
      <w:color w:val="800080"/>
      <w:u w:val="single"/>
    </w:rPr>
  </w:style>
  <w:style w:type="paragraph" w:customStyle="1" w:styleId="KUMS-adresa">
    <w:name w:val="KUMS-adresa"/>
    <w:basedOn w:val="Normln"/>
    <w:rsid w:val="00264ACB"/>
    <w:pPr>
      <w:spacing w:line="280" w:lineRule="exact"/>
      <w:jc w:val="both"/>
    </w:pPr>
    <w:rPr>
      <w:rFonts w:ascii="Tahoma" w:hAnsi="Tahoma" w:cs="Tahoma"/>
      <w:noProof/>
      <w:sz w:val="20"/>
      <w:szCs w:val="20"/>
    </w:rPr>
  </w:style>
  <w:style w:type="paragraph" w:styleId="Seznamsodrkami">
    <w:name w:val="List Bullet"/>
    <w:basedOn w:val="Normln"/>
    <w:autoRedefine/>
    <w:uiPriority w:val="99"/>
    <w:rsid w:val="006B3498"/>
    <w:pPr>
      <w:numPr>
        <w:numId w:val="23"/>
      </w:numPr>
    </w:pPr>
  </w:style>
  <w:style w:type="paragraph" w:styleId="Seznamsodrkami2">
    <w:name w:val="List Bullet 2"/>
    <w:basedOn w:val="Normln"/>
    <w:autoRedefine/>
    <w:uiPriority w:val="99"/>
    <w:rsid w:val="006B3498"/>
    <w:pPr>
      <w:numPr>
        <w:numId w:val="24"/>
      </w:numPr>
    </w:pPr>
  </w:style>
  <w:style w:type="paragraph" w:customStyle="1" w:styleId="xl33">
    <w:name w:val="xl33"/>
    <w:basedOn w:val="Normln"/>
    <w:rsid w:val="008842FC"/>
    <w:pPr>
      <w:spacing w:before="100" w:beforeAutospacing="1" w:after="100" w:afterAutospacing="1"/>
      <w:jc w:val="both"/>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locked/>
    <w:rsid w:val="00364838"/>
    <w:rPr>
      <w:rFonts w:ascii="Courier New" w:hAnsi="Courier New"/>
    </w:rPr>
  </w:style>
  <w:style w:type="table" w:styleId="Mkatabulky">
    <w:name w:val="Table Grid"/>
    <w:basedOn w:val="Normlntabulka"/>
    <w:uiPriority w:val="59"/>
    <w:rsid w:val="008F5F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jtext">
    <w:name w:val="Můj text"/>
    <w:basedOn w:val="Normln"/>
    <w:link w:val="MjtextChar"/>
    <w:rsid w:val="006D679A"/>
    <w:pPr>
      <w:spacing w:before="120" w:after="240"/>
      <w:jc w:val="both"/>
    </w:pPr>
    <w:rPr>
      <w:rFonts w:ascii="Tahoma" w:hAnsi="Tahoma"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rsid w:val="00F56FA2"/>
    <w:pPr>
      <w:keepNext/>
      <w:tabs>
        <w:tab w:val="right" w:pos="9072"/>
      </w:tabs>
      <w:jc w:val="both"/>
      <w:outlineLvl w:val="1"/>
    </w:pPr>
    <w:rPr>
      <w:rFonts w:ascii="Tahoma" w:hAnsi="Tahoma" w:cs="Tahoma"/>
      <w:bCs/>
      <w:sz w:val="16"/>
      <w:szCs w:val="16"/>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basedOn w:val="Standardnpsmoodstavce"/>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 w:val="20"/>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F56FA2"/>
    <w:rPr>
      <w:rFonts w:ascii="Tahoma" w:hAnsi="Tahoma" w:cs="Tahoma"/>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546C7"/>
    <w:rPr>
      <w:sz w:val="24"/>
      <w:szCs w:val="24"/>
    </w:rPr>
  </w:style>
  <w:style w:type="paragraph" w:styleId="Nadpis1">
    <w:name w:val="heading 1"/>
    <w:basedOn w:val="Normln"/>
    <w:next w:val="Normln"/>
    <w:link w:val="Nadpis1Char"/>
    <w:uiPriority w:val="9"/>
    <w:qFormat/>
    <w:pPr>
      <w:keepNext/>
      <w:tabs>
        <w:tab w:val="num" w:pos="624"/>
      </w:tabs>
      <w:ind w:left="624" w:hanging="624"/>
      <w:outlineLvl w:val="0"/>
    </w:pPr>
    <w:rPr>
      <w:b/>
      <w:bCs/>
      <w:sz w:val="32"/>
    </w:rPr>
  </w:style>
  <w:style w:type="paragraph" w:styleId="Nadpis2">
    <w:name w:val="heading 2"/>
    <w:basedOn w:val="Normln"/>
    <w:next w:val="Normln"/>
    <w:link w:val="Nadpis2Char"/>
    <w:uiPriority w:val="9"/>
    <w:qFormat/>
    <w:pPr>
      <w:keepNext/>
      <w:tabs>
        <w:tab w:val="num" w:pos="624"/>
      </w:tabs>
      <w:ind w:left="624" w:hanging="624"/>
      <w:outlineLvl w:val="1"/>
    </w:pPr>
    <w:rPr>
      <w:b/>
      <w:sz w:val="28"/>
      <w:u w:val="single"/>
    </w:rPr>
  </w:style>
  <w:style w:type="paragraph" w:styleId="Nadpis3">
    <w:name w:val="heading 3"/>
    <w:basedOn w:val="Normln"/>
    <w:next w:val="Normln"/>
    <w:link w:val="Nadpis3Char"/>
    <w:uiPriority w:val="9"/>
    <w:qFormat/>
    <w:pPr>
      <w:keepNext/>
      <w:tabs>
        <w:tab w:val="num" w:pos="720"/>
      </w:tabs>
      <w:ind w:left="1080" w:hanging="1080"/>
      <w:outlineLvl w:val="2"/>
    </w:pPr>
    <w:rPr>
      <w:sz w:val="28"/>
    </w:rPr>
  </w:style>
  <w:style w:type="paragraph" w:styleId="Nadpis4">
    <w:name w:val="heading 4"/>
    <w:basedOn w:val="Normln"/>
    <w:next w:val="Normln"/>
    <w:link w:val="Nadpis4Char"/>
    <w:uiPriority w:val="9"/>
    <w:qFormat/>
    <w:pPr>
      <w:keepNext/>
      <w:numPr>
        <w:numId w:val="3"/>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pPr>
      <w:keepNext/>
      <w:tabs>
        <w:tab w:val="num" w:pos="720"/>
      </w:tabs>
      <w:jc w:val="both"/>
      <w:outlineLvl w:val="4"/>
    </w:pPr>
    <w:rPr>
      <w:color w:val="FF0000"/>
      <w:sz w:val="28"/>
    </w:rPr>
  </w:style>
  <w:style w:type="paragraph" w:styleId="Nadpis6">
    <w:name w:val="heading 6"/>
    <w:basedOn w:val="Normln"/>
    <w:next w:val="Normln"/>
    <w:link w:val="Nadpis6Char"/>
    <w:uiPriority w:val="9"/>
    <w:qFormat/>
    <w:pPr>
      <w:keepNext/>
      <w:jc w:val="both"/>
      <w:outlineLvl w:val="5"/>
    </w:pPr>
    <w:rPr>
      <w:b/>
      <w:bCs/>
      <w:sz w:val="28"/>
    </w:rPr>
  </w:style>
  <w:style w:type="paragraph" w:styleId="Nadpis7">
    <w:name w:val="heading 7"/>
    <w:basedOn w:val="Normln"/>
    <w:next w:val="Normln"/>
    <w:link w:val="Nadpis7Char"/>
    <w:uiPriority w:val="9"/>
    <w:qFormat/>
    <w:pPr>
      <w:keepNext/>
      <w:jc w:val="center"/>
      <w:outlineLvl w:val="6"/>
    </w:pPr>
    <w:rPr>
      <w:sz w:val="28"/>
    </w:rPr>
  </w:style>
  <w:style w:type="paragraph" w:styleId="Nadpis8">
    <w:name w:val="heading 8"/>
    <w:basedOn w:val="Normln"/>
    <w:next w:val="Normln"/>
    <w:link w:val="Nadpis8Char"/>
    <w:uiPriority w:val="9"/>
    <w:qFormat/>
    <w:pPr>
      <w:keepNext/>
      <w:tabs>
        <w:tab w:val="num" w:pos="0"/>
      </w:tabs>
      <w:jc w:val="both"/>
      <w:outlineLvl w:val="7"/>
    </w:pPr>
    <w:rPr>
      <w:sz w:val="28"/>
    </w:rPr>
  </w:style>
  <w:style w:type="paragraph" w:styleId="Nadpis9">
    <w:name w:val="heading 9"/>
    <w:basedOn w:val="Normln"/>
    <w:next w:val="Normln"/>
    <w:link w:val="Nadpis9Char"/>
    <w:uiPriority w:val="9"/>
    <w:qFormat/>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E96998"/>
    <w:rPr>
      <w:b/>
      <w:bCs/>
      <w:sz w:val="32"/>
      <w:szCs w:val="24"/>
    </w:rPr>
  </w:style>
  <w:style w:type="character" w:customStyle="1" w:styleId="Nadpis2Char">
    <w:name w:val="Nadpis 2 Char"/>
    <w:basedOn w:val="Standardnpsmoodstavce"/>
    <w:link w:val="Nadpis2"/>
    <w:uiPriority w:val="9"/>
    <w:rsid w:val="00E96998"/>
    <w:rPr>
      <w:b/>
      <w:sz w:val="28"/>
      <w:szCs w:val="24"/>
      <w:u w:val="single"/>
    </w:rPr>
  </w:style>
  <w:style w:type="character" w:customStyle="1" w:styleId="Nadpis3Char">
    <w:name w:val="Nadpis 3 Char"/>
    <w:basedOn w:val="Standardnpsmoodstavce"/>
    <w:link w:val="Nadpis3"/>
    <w:uiPriority w:val="9"/>
    <w:semiHidden/>
    <w:rsid w:val="00E96998"/>
    <w:rPr>
      <w:rFonts w:asciiTheme="majorHAnsi" w:eastAsiaTheme="majorEastAsia" w:hAnsiTheme="majorHAnsi" w:cstheme="majorBidi"/>
      <w:b/>
      <w:bCs/>
      <w:sz w:val="26"/>
      <w:szCs w:val="26"/>
    </w:rPr>
  </w:style>
  <w:style w:type="character" w:customStyle="1" w:styleId="Nadpis4Char">
    <w:name w:val="Nadpis 4 Char"/>
    <w:basedOn w:val="Standardnpsmoodstavce"/>
    <w:link w:val="Nadpis4"/>
    <w:uiPriority w:val="9"/>
    <w:rsid w:val="00E96998"/>
    <w:rPr>
      <w:b/>
      <w:bCs/>
      <w:sz w:val="28"/>
      <w:szCs w:val="24"/>
    </w:rPr>
  </w:style>
  <w:style w:type="character" w:customStyle="1" w:styleId="Nadpis5Char">
    <w:name w:val="Nadpis 5 Char"/>
    <w:basedOn w:val="Standardnpsmoodstavce"/>
    <w:link w:val="Nadpis5"/>
    <w:uiPriority w:val="9"/>
    <w:semiHidden/>
    <w:rsid w:val="00E96998"/>
    <w:rPr>
      <w:rFonts w:asciiTheme="minorHAnsi" w:eastAsiaTheme="minorEastAsia" w:hAnsiTheme="minorHAnsi" w:cstheme="minorBidi"/>
      <w:b/>
      <w:bCs/>
      <w:i/>
      <w:iCs/>
      <w:sz w:val="26"/>
      <w:szCs w:val="26"/>
    </w:rPr>
  </w:style>
  <w:style w:type="character" w:customStyle="1" w:styleId="Nadpis6Char">
    <w:name w:val="Nadpis 6 Char"/>
    <w:basedOn w:val="Standardnpsmoodstavce"/>
    <w:link w:val="Nadpis6"/>
    <w:uiPriority w:val="9"/>
    <w:semiHidden/>
    <w:rsid w:val="00E96998"/>
    <w:rPr>
      <w:rFonts w:asciiTheme="minorHAnsi" w:eastAsiaTheme="minorEastAsia" w:hAnsiTheme="minorHAnsi" w:cstheme="minorBidi"/>
      <w:b/>
      <w:bCs/>
      <w:sz w:val="22"/>
      <w:szCs w:val="22"/>
    </w:rPr>
  </w:style>
  <w:style w:type="character" w:customStyle="1" w:styleId="Nadpis7Char">
    <w:name w:val="Nadpis 7 Char"/>
    <w:basedOn w:val="Standardnpsmoodstavce"/>
    <w:link w:val="Nadpis7"/>
    <w:uiPriority w:val="9"/>
    <w:semiHidden/>
    <w:rsid w:val="00E96998"/>
    <w:rPr>
      <w:rFonts w:asciiTheme="minorHAnsi" w:eastAsiaTheme="minorEastAsia" w:hAnsiTheme="minorHAnsi" w:cstheme="minorBidi"/>
      <w:sz w:val="24"/>
      <w:szCs w:val="24"/>
    </w:rPr>
  </w:style>
  <w:style w:type="character" w:customStyle="1" w:styleId="Nadpis8Char">
    <w:name w:val="Nadpis 8 Char"/>
    <w:basedOn w:val="Standardnpsmoodstavce"/>
    <w:link w:val="Nadpis8"/>
    <w:uiPriority w:val="9"/>
    <w:semiHidden/>
    <w:rsid w:val="00E96998"/>
    <w:rPr>
      <w:rFonts w:asciiTheme="minorHAnsi" w:eastAsiaTheme="minorEastAsia" w:hAnsiTheme="minorHAnsi" w:cstheme="minorBidi"/>
      <w:i/>
      <w:iCs/>
      <w:sz w:val="24"/>
      <w:szCs w:val="24"/>
    </w:rPr>
  </w:style>
  <w:style w:type="character" w:customStyle="1" w:styleId="Nadpis9Char">
    <w:name w:val="Nadpis 9 Char"/>
    <w:basedOn w:val="Standardnpsmoodstavce"/>
    <w:link w:val="Nadpis9"/>
    <w:uiPriority w:val="9"/>
    <w:semiHidden/>
    <w:rsid w:val="00E96998"/>
    <w:rPr>
      <w:rFonts w:asciiTheme="majorHAnsi" w:eastAsiaTheme="majorEastAsia" w:hAnsiTheme="majorHAnsi" w:cstheme="majorBidi"/>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jc w:val="both"/>
    </w:pPr>
    <w:rPr>
      <w:sz w:val="28"/>
    </w:rPr>
  </w:style>
  <w:style w:type="character" w:customStyle="1" w:styleId="BodyTextChar">
    <w:name w:val="Body Text Char"/>
    <w:aliases w:val="Char Char,subtitle2 Char,Základní tZákladní text Char,Mgr. Rudolf Krejčík Char,Mgr. Rudolf Krejeík Char,Standard paragraph Char"/>
    <w:basedOn w:val="Standardnpsmoodstavce"/>
    <w:uiPriority w:val="99"/>
    <w:semiHidden/>
    <w:rsid w:val="00E96998"/>
    <w:rPr>
      <w:sz w:val="24"/>
      <w:szCs w:val="24"/>
    </w:rPr>
  </w:style>
  <w:style w:type="paragraph" w:styleId="Zkladntext2">
    <w:name w:val="Body Text 2"/>
    <w:basedOn w:val="Normln"/>
    <w:link w:val="Zkladntext2Char"/>
    <w:uiPriority w:val="99"/>
    <w:pPr>
      <w:jc w:val="both"/>
    </w:pPr>
    <w:rPr>
      <w:sz w:val="28"/>
    </w:rPr>
  </w:style>
  <w:style w:type="character" w:customStyle="1" w:styleId="Zkladntext2Char">
    <w:name w:val="Základní text 2 Char"/>
    <w:basedOn w:val="Standardnpsmoodstavce"/>
    <w:link w:val="Zkladntext2"/>
    <w:uiPriority w:val="99"/>
    <w:semiHidden/>
    <w:rsid w:val="00E96998"/>
    <w:rPr>
      <w:sz w:val="24"/>
      <w:szCs w:val="24"/>
    </w:rPr>
  </w:style>
  <w:style w:type="paragraph" w:styleId="Zkladntextodsazen2">
    <w:name w:val="Body Text Indent 2"/>
    <w:basedOn w:val="Normln"/>
    <w:link w:val="Zkladntextodsazen2Char"/>
    <w:uiPriority w:val="99"/>
    <w:pPr>
      <w:ind w:left="360"/>
      <w:jc w:val="both"/>
    </w:pPr>
    <w:rPr>
      <w:sz w:val="28"/>
    </w:rPr>
  </w:style>
  <w:style w:type="character" w:customStyle="1" w:styleId="Zkladntextodsazen2Char">
    <w:name w:val="Základní text odsazený 2 Char"/>
    <w:basedOn w:val="Standardnpsmoodstavce"/>
    <w:link w:val="Zkladntextodsazen2"/>
    <w:uiPriority w:val="99"/>
    <w:semiHidden/>
    <w:rsid w:val="00E96998"/>
    <w:rPr>
      <w:sz w:val="24"/>
      <w:szCs w:val="24"/>
    </w:rPr>
  </w:style>
  <w:style w:type="paragraph" w:styleId="Zkladntext3">
    <w:name w:val="Body Text 3"/>
    <w:basedOn w:val="Normln"/>
    <w:link w:val="Zkladntext3Char"/>
    <w:pPr>
      <w:jc w:val="both"/>
    </w:pPr>
    <w:rPr>
      <w:color w:val="FF0000"/>
      <w:sz w:val="28"/>
    </w:rPr>
  </w:style>
  <w:style w:type="character" w:customStyle="1" w:styleId="Zkladntext3Char">
    <w:name w:val="Základní text 3 Char"/>
    <w:basedOn w:val="Standardnpsmoodstavce"/>
    <w:link w:val="Zkladntext3"/>
    <w:uiPriority w:val="99"/>
    <w:semiHidden/>
    <w:rsid w:val="00E96998"/>
    <w:rPr>
      <w:sz w:val="16"/>
      <w:szCs w:val="16"/>
    </w:rPr>
  </w:style>
  <w:style w:type="paragraph" w:styleId="Podtitul">
    <w:name w:val="Subtitle"/>
    <w:basedOn w:val="Normln"/>
    <w:link w:val="PodtitulChar"/>
    <w:uiPriority w:val="11"/>
    <w:qFormat/>
    <w:rPr>
      <w:b/>
      <w:bCs/>
    </w:rPr>
  </w:style>
  <w:style w:type="character" w:customStyle="1" w:styleId="PodtitulChar">
    <w:name w:val="Podtitul Char"/>
    <w:basedOn w:val="Standardnpsmoodstavce"/>
    <w:link w:val="Podtitul"/>
    <w:uiPriority w:val="11"/>
    <w:rsid w:val="00E96998"/>
    <w:rPr>
      <w:rFonts w:asciiTheme="majorHAnsi" w:eastAsiaTheme="majorEastAsia" w:hAnsiTheme="majorHAnsi" w:cstheme="majorBidi"/>
      <w:sz w:val="24"/>
      <w:szCs w:val="24"/>
    </w:rPr>
  </w:style>
  <w:style w:type="paragraph" w:styleId="Zpat">
    <w:name w:val="footer"/>
    <w:basedOn w:val="Normln"/>
    <w:link w:val="ZpatChar"/>
    <w:uiPriority w:val="99"/>
    <w:pPr>
      <w:tabs>
        <w:tab w:val="center" w:pos="4536"/>
        <w:tab w:val="right" w:pos="9072"/>
      </w:tabs>
    </w:pPr>
  </w:style>
  <w:style w:type="character" w:customStyle="1" w:styleId="ZpatChar">
    <w:name w:val="Zápatí Char"/>
    <w:basedOn w:val="Standardnpsmoodstavce"/>
    <w:link w:val="Zpat"/>
    <w:uiPriority w:val="99"/>
    <w:rsid w:val="00E96998"/>
    <w:rPr>
      <w:sz w:val="24"/>
      <w:szCs w:val="24"/>
    </w:rPr>
  </w:style>
  <w:style w:type="character" w:styleId="slostrnky">
    <w:name w:val="page number"/>
    <w:basedOn w:val="Standardnpsmoodstavce"/>
    <w:uiPriority w:val="99"/>
    <w:rPr>
      <w:rFonts w:cs="Times New Roman"/>
    </w:rPr>
  </w:style>
  <w:style w:type="paragraph" w:styleId="Zhlav">
    <w:name w:val="header"/>
    <w:basedOn w:val="Normln"/>
    <w:link w:val="ZhlavChar"/>
    <w:uiPriority w:val="99"/>
    <w:pPr>
      <w:tabs>
        <w:tab w:val="center" w:pos="4536"/>
        <w:tab w:val="right" w:pos="9072"/>
      </w:tabs>
    </w:pPr>
  </w:style>
  <w:style w:type="character" w:customStyle="1" w:styleId="ZhlavChar">
    <w:name w:val="Záhlaví Char"/>
    <w:basedOn w:val="Standardnpsmoodstavce"/>
    <w:link w:val="Zhlav"/>
    <w:uiPriority w:val="99"/>
    <w:semiHidden/>
    <w:rsid w:val="00E96998"/>
    <w:rPr>
      <w:sz w:val="24"/>
      <w:szCs w:val="24"/>
    </w:rPr>
  </w:style>
  <w:style w:type="paragraph" w:styleId="Zkladntextodsazen">
    <w:name w:val="Body Text Indent"/>
    <w:basedOn w:val="Normln"/>
    <w:link w:val="ZkladntextodsazenChar"/>
    <w:uiPriority w:val="99"/>
    <w:pPr>
      <w:ind w:firstLine="540"/>
      <w:jc w:val="both"/>
    </w:pPr>
    <w:rPr>
      <w:sz w:val="28"/>
    </w:rPr>
  </w:style>
  <w:style w:type="character" w:customStyle="1" w:styleId="ZkladntextodsazenChar">
    <w:name w:val="Základní text odsazený Char"/>
    <w:basedOn w:val="Standardnpsmoodstavce"/>
    <w:link w:val="Zkladntextodsazen"/>
    <w:uiPriority w:val="99"/>
    <w:semiHidden/>
    <w:rsid w:val="00E96998"/>
    <w:rPr>
      <w:sz w:val="24"/>
      <w:szCs w:val="24"/>
    </w:rPr>
  </w:style>
  <w:style w:type="paragraph" w:styleId="Zkladntextodsazen3">
    <w:name w:val="Body Text Indent 3"/>
    <w:basedOn w:val="Normln"/>
    <w:link w:val="Zkladntextodsazen3Char"/>
    <w:uiPriority w:val="99"/>
    <w:pPr>
      <w:tabs>
        <w:tab w:val="num" w:pos="0"/>
      </w:tabs>
      <w:ind w:right="-110" w:firstLine="540"/>
      <w:jc w:val="both"/>
    </w:pPr>
    <w:rPr>
      <w:sz w:val="28"/>
    </w:rPr>
  </w:style>
  <w:style w:type="character" w:customStyle="1" w:styleId="Zkladntextodsazen3Char">
    <w:name w:val="Základní text odsazený 3 Char"/>
    <w:basedOn w:val="Standardnpsmoodstavce"/>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ascii="Tahoma" w:hAnsi="Tahoma" w:cs="Tahoma"/>
      <w:sz w:val="16"/>
      <w:szCs w:val="16"/>
    </w:rPr>
  </w:style>
  <w:style w:type="character" w:customStyle="1" w:styleId="TextbublinyChar">
    <w:name w:val="Text bubliny Char"/>
    <w:basedOn w:val="Standardnpsmoodstavce"/>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basedOn w:val="Standardnpsmoodstavce"/>
    <w:uiPriority w:val="99"/>
    <w:semiHidden/>
    <w:rsid w:val="006570AA"/>
    <w:rPr>
      <w:sz w:val="16"/>
    </w:rPr>
  </w:style>
  <w:style w:type="paragraph" w:styleId="Textkomente">
    <w:name w:val="annotation text"/>
    <w:basedOn w:val="Normln"/>
    <w:link w:val="TextkomenteChar"/>
    <w:uiPriority w:val="99"/>
    <w:semiHidden/>
    <w:rsid w:val="006570AA"/>
    <w:rPr>
      <w:sz w:val="20"/>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basedOn w:val="TextkomenteChar"/>
    <w:link w:val="Pedmtkomente"/>
    <w:uiPriority w:val="99"/>
    <w:semiHidden/>
    <w:rsid w:val="00E96998"/>
    <w:rPr>
      <w:b/>
      <w:bCs/>
    </w:rPr>
  </w:style>
  <w:style w:type="character" w:styleId="Hypertextovodkaz">
    <w:name w:val="Hyperlink"/>
    <w:basedOn w:val="Standardnpsmoodstavce"/>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basedOn w:val="Standardnpsmoodstavce"/>
    <w:uiPriority w:val="99"/>
    <w:rsid w:val="0010171E"/>
    <w:rPr>
      <w:color w:val="800080"/>
      <w:u w:val="single"/>
    </w:rPr>
  </w:style>
  <w:style w:type="paragraph" w:customStyle="1" w:styleId="KUMS-adresa">
    <w:name w:val="KUMS-adresa"/>
    <w:basedOn w:val="Normln"/>
    <w:rsid w:val="00264ACB"/>
    <w:pPr>
      <w:spacing w:line="280" w:lineRule="exact"/>
      <w:jc w:val="both"/>
    </w:pPr>
    <w:rPr>
      <w:rFonts w:ascii="Tahoma" w:hAnsi="Tahoma" w:cs="Tahoma"/>
      <w:noProof/>
      <w:sz w:val="20"/>
      <w:szCs w:val="20"/>
    </w:rPr>
  </w:style>
  <w:style w:type="paragraph" w:styleId="Seznamsodrkami">
    <w:name w:val="List Bullet"/>
    <w:basedOn w:val="Normln"/>
    <w:autoRedefine/>
    <w:uiPriority w:val="99"/>
    <w:rsid w:val="006B3498"/>
    <w:pPr>
      <w:numPr>
        <w:numId w:val="23"/>
      </w:numPr>
    </w:pPr>
  </w:style>
  <w:style w:type="paragraph" w:styleId="Seznamsodrkami2">
    <w:name w:val="List Bullet 2"/>
    <w:basedOn w:val="Normln"/>
    <w:autoRedefine/>
    <w:uiPriority w:val="99"/>
    <w:rsid w:val="006B3498"/>
    <w:pPr>
      <w:numPr>
        <w:numId w:val="24"/>
      </w:numPr>
    </w:pPr>
  </w:style>
  <w:style w:type="paragraph" w:customStyle="1" w:styleId="xl33">
    <w:name w:val="xl33"/>
    <w:basedOn w:val="Normln"/>
    <w:rsid w:val="008842FC"/>
    <w:pPr>
      <w:spacing w:before="100" w:beforeAutospacing="1" w:after="100" w:afterAutospacing="1"/>
      <w:jc w:val="both"/>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locked/>
    <w:rsid w:val="00364838"/>
    <w:rPr>
      <w:rFonts w:ascii="Courier New" w:hAnsi="Courier New"/>
    </w:rPr>
  </w:style>
  <w:style w:type="table" w:styleId="Mkatabulky">
    <w:name w:val="Table Grid"/>
    <w:basedOn w:val="Normlntabulka"/>
    <w:uiPriority w:val="59"/>
    <w:rsid w:val="008F5F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jtext">
    <w:name w:val="Můj text"/>
    <w:basedOn w:val="Normln"/>
    <w:link w:val="MjtextChar"/>
    <w:rsid w:val="006D679A"/>
    <w:pPr>
      <w:spacing w:before="120" w:after="240"/>
      <w:jc w:val="both"/>
    </w:pPr>
    <w:rPr>
      <w:rFonts w:ascii="Tahoma" w:hAnsi="Tahoma"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rsid w:val="00F56FA2"/>
    <w:pPr>
      <w:keepNext/>
      <w:tabs>
        <w:tab w:val="right" w:pos="9072"/>
      </w:tabs>
      <w:jc w:val="both"/>
      <w:outlineLvl w:val="1"/>
    </w:pPr>
    <w:rPr>
      <w:rFonts w:ascii="Tahoma" w:hAnsi="Tahoma" w:cs="Tahoma"/>
      <w:bCs/>
      <w:sz w:val="16"/>
      <w:szCs w:val="16"/>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basedOn w:val="Standardnpsmoodstavce"/>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 w:val="20"/>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F56FA2"/>
    <w:rPr>
      <w:rFonts w:ascii="Tahoma" w:hAnsi="Tahoma" w:cs="Tahoma"/>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2.xlsx"/><Relationship Id="rId117" Type="http://schemas.openxmlformats.org/officeDocument/2006/relationships/image" Target="media/image53.emf"/><Relationship Id="rId21" Type="http://schemas.openxmlformats.org/officeDocument/2006/relationships/oleObject" Target="embeddings/Microsoft_Excel_97-2003_Worksheet6.xls"/><Relationship Id="rId42" Type="http://schemas.openxmlformats.org/officeDocument/2006/relationships/oleObject" Target="embeddings/Microsoft_Excel_97-2003_Worksheet10.xls"/><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Microsoft_Excel_97-2003_Worksheet23.xls"/><Relationship Id="rId84" Type="http://schemas.openxmlformats.org/officeDocument/2006/relationships/oleObject" Target="embeddings/Microsoft_Excel_97-2003_Worksheet31.xls"/><Relationship Id="rId89" Type="http://schemas.openxmlformats.org/officeDocument/2006/relationships/image" Target="media/image39.emf"/><Relationship Id="rId112" Type="http://schemas.openxmlformats.org/officeDocument/2006/relationships/oleObject" Target="embeddings/Microsoft_Excel_97-2003_Worksheet45.xls"/><Relationship Id="rId16" Type="http://schemas.openxmlformats.org/officeDocument/2006/relationships/image" Target="media/image4.emf"/><Relationship Id="rId107" Type="http://schemas.openxmlformats.org/officeDocument/2006/relationships/image" Target="media/image48.emf"/><Relationship Id="rId11" Type="http://schemas.openxmlformats.org/officeDocument/2006/relationships/image" Target="media/image2.emf"/><Relationship Id="rId32" Type="http://schemas.openxmlformats.org/officeDocument/2006/relationships/package" Target="embeddings/Microsoft_Excel_Worksheet3.xlsx"/><Relationship Id="rId37" Type="http://schemas.openxmlformats.org/officeDocument/2006/relationships/chart" Target="charts/chart3.xml"/><Relationship Id="rId53" Type="http://schemas.openxmlformats.org/officeDocument/2006/relationships/image" Target="media/image21.emf"/><Relationship Id="rId58" Type="http://schemas.openxmlformats.org/officeDocument/2006/relationships/oleObject" Target="embeddings/Microsoft_Excel_97-2003_Worksheet18.xls"/><Relationship Id="rId74" Type="http://schemas.openxmlformats.org/officeDocument/2006/relationships/oleObject" Target="embeddings/Microsoft_Excel_97-2003_Worksheet26.xls"/><Relationship Id="rId79" Type="http://schemas.openxmlformats.org/officeDocument/2006/relationships/image" Target="media/image34.emf"/><Relationship Id="rId102" Type="http://schemas.openxmlformats.org/officeDocument/2006/relationships/oleObject" Target="embeddings/Microsoft_Excel_97-2003_Worksheet40.xls"/><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oleObject" Target="embeddings/Microsoft_Excel_97-2003_Worksheet30.xls"/><Relationship Id="rId90" Type="http://schemas.openxmlformats.org/officeDocument/2006/relationships/oleObject" Target="embeddings/Microsoft_Excel_97-2003_Worksheet34.xls"/><Relationship Id="rId95" Type="http://schemas.openxmlformats.org/officeDocument/2006/relationships/image" Target="media/image42.emf"/><Relationship Id="rId19" Type="http://schemas.openxmlformats.org/officeDocument/2006/relationships/oleObject" Target="embeddings/Microsoft_Excel_97-2003_Worksheet5.xls"/><Relationship Id="rId14" Type="http://schemas.openxmlformats.org/officeDocument/2006/relationships/oleObject" Target="embeddings/Microsoft_Excel_97-2003_Worksheet3.xls"/><Relationship Id="rId22" Type="http://schemas.openxmlformats.org/officeDocument/2006/relationships/chart" Target="charts/chart2.xml"/><Relationship Id="rId27" Type="http://schemas.openxmlformats.org/officeDocument/2006/relationships/image" Target="media/image9.emf"/><Relationship Id="rId30" Type="http://schemas.openxmlformats.org/officeDocument/2006/relationships/oleObject" Target="embeddings/Microsoft_Excel_97-2003_Worksheet8.xls"/><Relationship Id="rId35" Type="http://schemas.openxmlformats.org/officeDocument/2006/relationships/image" Target="media/image13.emf"/><Relationship Id="rId43" Type="http://schemas.openxmlformats.org/officeDocument/2006/relationships/image" Target="media/image16.emf"/><Relationship Id="rId48" Type="http://schemas.openxmlformats.org/officeDocument/2006/relationships/oleObject" Target="embeddings/Microsoft_Excel_97-2003_Worksheet13.xls"/><Relationship Id="rId56" Type="http://schemas.openxmlformats.org/officeDocument/2006/relationships/oleObject" Target="embeddings/Microsoft_Excel_97-2003_Worksheet17.xls"/><Relationship Id="rId64" Type="http://schemas.openxmlformats.org/officeDocument/2006/relationships/oleObject" Target="embeddings/Microsoft_Excel_97-2003_Worksheet21.xls"/><Relationship Id="rId69" Type="http://schemas.openxmlformats.org/officeDocument/2006/relationships/image" Target="media/image29.emf"/><Relationship Id="rId77" Type="http://schemas.openxmlformats.org/officeDocument/2006/relationships/image" Target="media/image33.emf"/><Relationship Id="rId100" Type="http://schemas.openxmlformats.org/officeDocument/2006/relationships/oleObject" Target="embeddings/Microsoft_Excel_97-2003_Worksheet39.xls"/><Relationship Id="rId105" Type="http://schemas.openxmlformats.org/officeDocument/2006/relationships/image" Target="media/image47.emf"/><Relationship Id="rId113" Type="http://schemas.openxmlformats.org/officeDocument/2006/relationships/image" Target="media/image51.emf"/><Relationship Id="rId118" Type="http://schemas.openxmlformats.org/officeDocument/2006/relationships/oleObject" Target="embeddings/Microsoft_Excel_97-2003_Worksheet48.xls"/><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Microsoft_Excel_97-2003_Worksheet25.xls"/><Relationship Id="rId80" Type="http://schemas.openxmlformats.org/officeDocument/2006/relationships/oleObject" Target="embeddings/Microsoft_Excel_97-2003_Worksheet29.xls"/><Relationship Id="rId85" Type="http://schemas.openxmlformats.org/officeDocument/2006/relationships/image" Target="media/image37.emf"/><Relationship Id="rId93" Type="http://schemas.openxmlformats.org/officeDocument/2006/relationships/image" Target="media/image41.emf"/><Relationship Id="rId98" Type="http://schemas.openxmlformats.org/officeDocument/2006/relationships/oleObject" Target="embeddings/Microsoft_Excel_97-2003_Worksheet38.xls"/><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oleObject" Target="embeddings/Microsoft_Excel_97-2003_Worksheet2.xls"/><Relationship Id="rId17" Type="http://schemas.openxmlformats.org/officeDocument/2006/relationships/oleObject" Target="embeddings/Microsoft_Excel_97-2003_Worksheet4.xls"/><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chart" Target="charts/chart4.xml"/><Relationship Id="rId46" Type="http://schemas.openxmlformats.org/officeDocument/2006/relationships/oleObject" Target="embeddings/Microsoft_Excel_97-2003_Worksheet12.xls"/><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image" Target="media/image46.emf"/><Relationship Id="rId108" Type="http://schemas.openxmlformats.org/officeDocument/2006/relationships/oleObject" Target="embeddings/Microsoft_Excel_97-2003_Worksheet43.xls"/><Relationship Id="rId116" Type="http://schemas.openxmlformats.org/officeDocument/2006/relationships/oleObject" Target="embeddings/Microsoft_Excel_97-2003_Worksheet47.xls"/><Relationship Id="rId20" Type="http://schemas.openxmlformats.org/officeDocument/2006/relationships/image" Target="media/image6.emf"/><Relationship Id="rId41" Type="http://schemas.openxmlformats.org/officeDocument/2006/relationships/image" Target="media/image15.emf"/><Relationship Id="rId54" Type="http://schemas.openxmlformats.org/officeDocument/2006/relationships/oleObject" Target="embeddings/Microsoft_Excel_97-2003_Worksheet16.xls"/><Relationship Id="rId62" Type="http://schemas.openxmlformats.org/officeDocument/2006/relationships/oleObject" Target="embeddings/Microsoft_Excel_97-2003_Worksheet20.xls"/><Relationship Id="rId70" Type="http://schemas.openxmlformats.org/officeDocument/2006/relationships/oleObject" Target="embeddings/Microsoft_Excel_97-2003_Worksheet24.xls"/><Relationship Id="rId75" Type="http://schemas.openxmlformats.org/officeDocument/2006/relationships/image" Target="media/image32.emf"/><Relationship Id="rId83" Type="http://schemas.openxmlformats.org/officeDocument/2006/relationships/image" Target="media/image36.emf"/><Relationship Id="rId88" Type="http://schemas.openxmlformats.org/officeDocument/2006/relationships/oleObject" Target="embeddings/Microsoft_Excel_97-2003_Worksheet33.xls"/><Relationship Id="rId91" Type="http://schemas.openxmlformats.org/officeDocument/2006/relationships/image" Target="media/image40.emf"/><Relationship Id="rId96" Type="http://schemas.openxmlformats.org/officeDocument/2006/relationships/oleObject" Target="embeddings/Microsoft_Excel_97-2003_Worksheet37.xls"/><Relationship Id="rId111"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emf"/><Relationship Id="rId28" Type="http://schemas.openxmlformats.org/officeDocument/2006/relationships/oleObject" Target="embeddings/Microsoft_Excel_97-2003_Worksheet7.xls"/><Relationship Id="rId36" Type="http://schemas.openxmlformats.org/officeDocument/2006/relationships/package" Target="embeddings/Microsoft_Excel_Worksheet5.xlsx"/><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Microsoft_Excel_97-2003_Worksheet42.xls"/><Relationship Id="rId114" Type="http://schemas.openxmlformats.org/officeDocument/2006/relationships/oleObject" Target="embeddings/Microsoft_Excel_97-2003_Worksheet46.xls"/><Relationship Id="rId119" Type="http://schemas.openxmlformats.org/officeDocument/2006/relationships/footer" Target="footer1.xml"/><Relationship Id="rId10" Type="http://schemas.openxmlformats.org/officeDocument/2006/relationships/oleObject" Target="embeddings/Microsoft_Excel_97-2003_Worksheet1.xls"/><Relationship Id="rId31" Type="http://schemas.openxmlformats.org/officeDocument/2006/relationships/image" Target="media/image11.emf"/><Relationship Id="rId44" Type="http://schemas.openxmlformats.org/officeDocument/2006/relationships/oleObject" Target="embeddings/Microsoft_Excel_97-2003_Worksheet11.xls"/><Relationship Id="rId52" Type="http://schemas.openxmlformats.org/officeDocument/2006/relationships/oleObject" Target="embeddings/Microsoft_Excel_97-2003_Worksheet15.xls"/><Relationship Id="rId60" Type="http://schemas.openxmlformats.org/officeDocument/2006/relationships/oleObject" Target="embeddings/Microsoft_Excel_97-2003_Worksheet19.xls"/><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Microsoft_Excel_97-2003_Worksheet28.xls"/><Relationship Id="rId81" Type="http://schemas.openxmlformats.org/officeDocument/2006/relationships/image" Target="media/image35.emf"/><Relationship Id="rId86" Type="http://schemas.openxmlformats.org/officeDocument/2006/relationships/oleObject" Target="embeddings/Microsoft_Excel_97-2003_Worksheet32.xls"/><Relationship Id="rId94" Type="http://schemas.openxmlformats.org/officeDocument/2006/relationships/oleObject" Target="embeddings/Microsoft_Excel_97-2003_Worksheet36.xls"/><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image" Target="media/image5.emf"/><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package" Target="embeddings/Microsoft_Excel_Worksheet4.xlsx"/><Relationship Id="rId50" Type="http://schemas.openxmlformats.org/officeDocument/2006/relationships/oleObject" Target="embeddings/Microsoft_Excel_97-2003_Worksheet14.xls"/><Relationship Id="rId55" Type="http://schemas.openxmlformats.org/officeDocument/2006/relationships/image" Target="media/image22.emf"/><Relationship Id="rId76" Type="http://schemas.openxmlformats.org/officeDocument/2006/relationships/oleObject" Target="embeddings/Microsoft_Excel_97-2003_Worksheet27.xls"/><Relationship Id="rId97" Type="http://schemas.openxmlformats.org/officeDocument/2006/relationships/image" Target="media/image43.emf"/><Relationship Id="rId104" Type="http://schemas.openxmlformats.org/officeDocument/2006/relationships/oleObject" Target="embeddings/Microsoft_Excel_97-2003_Worksheet41.xls"/><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Microsoft_Excel_97-2003_Worksheet35.xls"/><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Excel_Worksheet1.xlsx"/><Relationship Id="rId40" Type="http://schemas.openxmlformats.org/officeDocument/2006/relationships/oleObject" Target="embeddings/Microsoft_Excel_97-2003_Worksheet9.xls"/><Relationship Id="rId45" Type="http://schemas.openxmlformats.org/officeDocument/2006/relationships/image" Target="media/image17.emf"/><Relationship Id="rId66" Type="http://schemas.openxmlformats.org/officeDocument/2006/relationships/oleObject" Target="embeddings/Microsoft_Excel_97-2003_Worksheet22.xls"/><Relationship Id="rId87" Type="http://schemas.openxmlformats.org/officeDocument/2006/relationships/image" Target="media/image38.emf"/><Relationship Id="rId110" Type="http://schemas.openxmlformats.org/officeDocument/2006/relationships/oleObject" Target="embeddings/Microsoft_Excel_97-2003_Worksheet44.xls"/><Relationship Id="rId115" Type="http://schemas.openxmlformats.org/officeDocument/2006/relationships/image" Target="media/image52.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slivova2345\Plocha\Petra\&#268;ERP&#193;N&#205;%20ROZPO&#268;TU\2014\ZK%20duben\RK\Podklady\pro%20prezentaci_P&#344;EHLED%20DA&#327;OV&#221;CH%20P&#344;&#205;JM&#366;_201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slivova2345\Plocha\Petra\&#268;ERP&#193;N&#205;%20ROZPO&#268;TU\2014\ZK%20&#269;erven\RK\Podklady\graf%20&#269;.2%20-%20dotace.xls"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084589916456522"/>
          <c:y val="8.8183549961586685E-2"/>
          <c:w val="0.82915985501812273"/>
          <c:h val="0.75925503992851961"/>
        </c:manualLayout>
      </c:layout>
      <c:lineChart>
        <c:grouping val="standard"/>
        <c:varyColors val="0"/>
        <c:ser>
          <c:idx val="2"/>
          <c:order val="0"/>
          <c:tx>
            <c:strRef>
              <c:f>'Graf-data_2014'!$A$30</c:f>
              <c:strCache>
                <c:ptCount val="1"/>
                <c:pt idx="0">
                  <c:v>rok 2012</c:v>
                </c:pt>
              </c:strCache>
            </c:strRef>
          </c:tx>
          <c:spPr>
            <a:ln w="25400">
              <a:solidFill>
                <a:srgbClr val="FF0000"/>
              </a:solidFill>
              <a:prstDash val="solid"/>
            </a:ln>
          </c:spPr>
          <c:marker>
            <c:symbol val="triangle"/>
            <c:size val="7"/>
            <c:spPr>
              <a:solidFill>
                <a:srgbClr val="FF0000"/>
              </a:solidFill>
              <a:ln>
                <a:solidFill>
                  <a:srgbClr val="FF0000"/>
                </a:solidFill>
                <a:prstDash val="solid"/>
              </a:ln>
            </c:spPr>
          </c:marker>
          <c:dLbls>
            <c:dLbl>
              <c:idx val="0"/>
              <c:layout>
                <c:manualLayout>
                  <c:x val="-3.5527790186260573E-2"/>
                  <c:y val="5.1068607576671046E-2"/>
                </c:manualLayout>
              </c:layout>
              <c:dLblPos val="r"/>
              <c:showLegendKey val="0"/>
              <c:showVal val="1"/>
              <c:showCatName val="0"/>
              <c:showSerName val="0"/>
              <c:showPercent val="0"/>
              <c:showBubbleSize val="0"/>
            </c:dLbl>
            <c:dLbl>
              <c:idx val="1"/>
              <c:layout>
                <c:manualLayout>
                  <c:x val="4.9040694637979736E-3"/>
                  <c:y val="-5.2234396626347657E-2"/>
                </c:manualLayout>
              </c:layout>
              <c:dLblPos val="r"/>
              <c:showLegendKey val="0"/>
              <c:showVal val="1"/>
              <c:showCatName val="0"/>
              <c:showSerName val="0"/>
              <c:showPercent val="0"/>
              <c:showBubbleSize val="0"/>
            </c:dLbl>
            <c:dLbl>
              <c:idx val="2"/>
              <c:layout>
                <c:manualLayout>
                  <c:x val="-0.10352498390531373"/>
                  <c:y val="-1.4726057793500451E-3"/>
                </c:manualLayout>
              </c:layout>
              <c:dLblPos val="r"/>
              <c:showLegendKey val="0"/>
              <c:showVal val="1"/>
              <c:showCatName val="0"/>
              <c:showSerName val="0"/>
              <c:showPercent val="0"/>
              <c:showBubbleSize val="0"/>
            </c:dLbl>
            <c:dLbl>
              <c:idx val="3"/>
              <c:layout>
                <c:manualLayout>
                  <c:x val="3.3516682556932712E-3"/>
                  <c:y val="7.2814972202548756E-3"/>
                </c:manualLayout>
              </c:layout>
              <c:dLblPos val="r"/>
              <c:showLegendKey val="0"/>
              <c:showVal val="1"/>
              <c:showCatName val="0"/>
              <c:showSerName val="0"/>
              <c:showPercent val="0"/>
              <c:showBubbleSize val="0"/>
            </c:dLbl>
            <c:dLbl>
              <c:idx val="4"/>
              <c:layout>
                <c:manualLayout>
                  <c:x val="-2.8189376412622428E-2"/>
                  <c:y val="-3.4415698037745281E-2"/>
                </c:manualLayout>
              </c:layout>
              <c:dLblPos val="r"/>
              <c:showLegendKey val="0"/>
              <c:showVal val="1"/>
              <c:showCatName val="0"/>
              <c:showSerName val="0"/>
              <c:showPercent val="0"/>
              <c:showBubbleSize val="0"/>
            </c:dLbl>
            <c:dLbl>
              <c:idx val="5"/>
              <c:layout>
                <c:manualLayout>
                  <c:x val="9.8411031954339038E-3"/>
                  <c:y val="1.453118892053387E-2"/>
                </c:manualLayout>
              </c:layout>
              <c:dLblPos val="r"/>
              <c:showLegendKey val="0"/>
              <c:showVal val="1"/>
              <c:showCatName val="0"/>
              <c:showSerName val="0"/>
              <c:showPercent val="0"/>
              <c:showBubbleSize val="0"/>
            </c:dLbl>
            <c:dLbl>
              <c:idx val="6"/>
              <c:layout>
                <c:manualLayout>
                  <c:x val="1.3053575754343155E-3"/>
                  <c:y val="-4.1905502552921622E-2"/>
                </c:manualLayout>
              </c:layout>
              <c:dLblPos val="r"/>
              <c:showLegendKey val="0"/>
              <c:showVal val="1"/>
              <c:showCatName val="0"/>
              <c:showSerName val="0"/>
              <c:showPercent val="0"/>
              <c:showBubbleSize val="0"/>
            </c:dLbl>
            <c:dLbl>
              <c:idx val="7"/>
              <c:layout>
                <c:manualLayout>
                  <c:x val="-8.8203199832874988E-4"/>
                  <c:y val="-1.9899886236893406E-2"/>
                </c:manualLayout>
              </c:layout>
              <c:spPr>
                <a:solidFill>
                  <a:srgbClr val="C0C0C0"/>
                </a:solidFill>
                <a:ln w="25400">
                  <a:noFill/>
                </a:ln>
              </c:spPr>
              <c:txPr>
                <a:bodyPr/>
                <a:lstStyle/>
                <a:p>
                  <a:pPr>
                    <a:defRPr/>
                  </a:pPr>
                  <a:endParaRPr lang="cs-CZ"/>
                </a:p>
              </c:txPr>
              <c:dLblPos val="r"/>
              <c:showLegendKey val="0"/>
              <c:showVal val="1"/>
              <c:showCatName val="0"/>
              <c:showSerName val="0"/>
              <c:showPercent val="0"/>
              <c:showBubbleSize val="0"/>
            </c:dLbl>
            <c:dLbl>
              <c:idx val="8"/>
              <c:layout>
                <c:manualLayout>
                  <c:x val="-5.9518726825813439E-2"/>
                  <c:y val="6.3967722119841405E-2"/>
                </c:manualLayout>
              </c:layout>
              <c:dLblPos val="r"/>
              <c:showLegendKey val="0"/>
              <c:showVal val="1"/>
              <c:showCatName val="0"/>
              <c:showSerName val="0"/>
              <c:showPercent val="0"/>
              <c:showBubbleSize val="0"/>
            </c:dLbl>
            <c:dLbl>
              <c:idx val="9"/>
              <c:layout>
                <c:manualLayout>
                  <c:x val="-3.771517976002365E-2"/>
                  <c:y val="-5.6169645460984047E-2"/>
                </c:manualLayout>
              </c:layout>
              <c:dLblPos val="r"/>
              <c:showLegendKey val="0"/>
              <c:showVal val="1"/>
              <c:showCatName val="0"/>
              <c:showSerName val="0"/>
              <c:showPercent val="0"/>
              <c:showBubbleSize val="0"/>
            </c:dLbl>
            <c:dLbl>
              <c:idx val="10"/>
              <c:layout>
                <c:manualLayout>
                  <c:x val="-4.0323792859225931E-2"/>
                  <c:y val="-7.4205059473948731E-2"/>
                </c:manualLayout>
              </c:layout>
              <c:dLblPos val="r"/>
              <c:showLegendKey val="0"/>
              <c:showVal val="1"/>
              <c:showCatName val="0"/>
              <c:showSerName val="0"/>
              <c:showPercent val="0"/>
              <c:showBubbleSize val="0"/>
            </c:dLbl>
            <c:dLbl>
              <c:idx val="11"/>
              <c:layout>
                <c:manualLayout>
                  <c:x val="-4.7734981476172382E-2"/>
                  <c:y val="2.8071491063617046E-2"/>
                </c:manualLayout>
              </c:layout>
              <c:dLblPos val="r"/>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'Graf-data_2014'!$B$23:$M$23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'Graf-data_2014'!$B$30:$M$30</c:f>
              <c:numCache>
                <c:formatCode>#,##0</c:formatCode>
                <c:ptCount val="12"/>
                <c:pt idx="0">
                  <c:v>522455.125</c:v>
                </c:pt>
                <c:pt idx="1">
                  <c:v>480188.64899999998</c:v>
                </c:pt>
                <c:pt idx="2">
                  <c:v>275018.56700000004</c:v>
                </c:pt>
                <c:pt idx="3">
                  <c:v>222693.97700000001</c:v>
                </c:pt>
                <c:pt idx="4">
                  <c:v>413050.28399999999</c:v>
                </c:pt>
                <c:pt idx="5">
                  <c:v>333445.96799999999</c:v>
                </c:pt>
                <c:pt idx="6">
                  <c:v>495197.75299999997</c:v>
                </c:pt>
                <c:pt idx="7">
                  <c:v>447470.24300000002</c:v>
                </c:pt>
                <c:pt idx="8">
                  <c:v>229580.88799999998</c:v>
                </c:pt>
                <c:pt idx="9">
                  <c:v>386320.58600000001</c:v>
                </c:pt>
                <c:pt idx="10">
                  <c:v>454848.02899999998</c:v>
                </c:pt>
                <c:pt idx="11">
                  <c:v>236225.56488999998</c:v>
                </c:pt>
              </c:numCache>
            </c:numRef>
          </c:val>
          <c:smooth val="0"/>
        </c:ser>
        <c:ser>
          <c:idx val="3"/>
          <c:order val="1"/>
          <c:tx>
            <c:strRef>
              <c:f>'Graf-data_2014'!$A$31</c:f>
              <c:strCache>
                <c:ptCount val="1"/>
                <c:pt idx="0">
                  <c:v>rok 2013</c:v>
                </c:pt>
              </c:strCache>
            </c:strRef>
          </c:tx>
          <c:spPr>
            <a:ln w="25400">
              <a:solidFill>
                <a:srgbClr val="008000"/>
              </a:solidFill>
              <a:prstDash val="solid"/>
            </a:ln>
          </c:spPr>
          <c:marker>
            <c:symbol val="circle"/>
            <c:size val="7"/>
            <c:spPr>
              <a:solidFill>
                <a:srgbClr val="008000"/>
              </a:solidFill>
              <a:ln>
                <a:solidFill>
                  <a:srgbClr val="008000"/>
                </a:solidFill>
                <a:prstDash val="solid"/>
              </a:ln>
            </c:spPr>
          </c:marker>
          <c:dLbls>
            <c:dLbl>
              <c:idx val="0"/>
              <c:layout>
                <c:manualLayout>
                  <c:x val="-3.8914750389478198E-2"/>
                  <c:y val="-3.6961490924745516E-2"/>
                </c:manualLayout>
              </c:layout>
              <c:dLblPos val="r"/>
              <c:showLegendKey val="0"/>
              <c:showVal val="1"/>
              <c:showCatName val="0"/>
              <c:showSerName val="0"/>
              <c:showPercent val="0"/>
              <c:showBubbleSize val="0"/>
            </c:dLbl>
            <c:dLbl>
              <c:idx val="1"/>
              <c:layout>
                <c:manualLayout>
                  <c:x val="5.7508095146023763E-3"/>
                  <c:y val="6.6100996634679927E-3"/>
                </c:manualLayout>
              </c:layout>
              <c:dLblPos val="r"/>
              <c:showLegendKey val="0"/>
              <c:showVal val="1"/>
              <c:showCatName val="0"/>
              <c:showSerName val="0"/>
              <c:showPercent val="0"/>
              <c:showBubbleSize val="0"/>
            </c:dLbl>
            <c:dLbl>
              <c:idx val="2"/>
              <c:layout>
                <c:manualLayout>
                  <c:x val="-0.11291041450007429"/>
                  <c:y val="9.1609925570897838E-3"/>
                </c:manualLayout>
              </c:layout>
              <c:dLblPos val="r"/>
              <c:showLegendKey val="0"/>
              <c:showVal val="1"/>
              <c:showCatName val="0"/>
              <c:showSerName val="0"/>
              <c:showPercent val="0"/>
              <c:showBubbleSize val="0"/>
            </c:dLbl>
            <c:dLbl>
              <c:idx val="3"/>
              <c:layout>
                <c:manualLayout>
                  <c:x val="5.8918884081064805E-3"/>
                  <c:y val="7.9117888041772555E-3"/>
                </c:manualLayout>
              </c:layout>
              <c:dLblPos val="r"/>
              <c:showLegendKey val="0"/>
              <c:showVal val="1"/>
              <c:showCatName val="0"/>
              <c:showSerName val="0"/>
              <c:showPercent val="0"/>
              <c:showBubbleSize val="0"/>
            </c:dLbl>
            <c:dLbl>
              <c:idx val="4"/>
              <c:layout>
                <c:manualLayout>
                  <c:x val="-2.1133209322585736E-2"/>
                  <c:y val="-4.4646641392048214E-2"/>
                </c:manualLayout>
              </c:layout>
              <c:dLblPos val="r"/>
              <c:showLegendKey val="0"/>
              <c:showVal val="1"/>
              <c:showCatName val="0"/>
              <c:showSerName val="0"/>
              <c:showPercent val="0"/>
              <c:showBubbleSize val="0"/>
            </c:dLbl>
            <c:dLbl>
              <c:idx val="5"/>
              <c:layout>
                <c:manualLayout>
                  <c:x val="7.7247010790317877E-3"/>
                  <c:y val="-1.123303735969174E-3"/>
                </c:manualLayout>
              </c:layout>
              <c:dLblPos val="r"/>
              <c:showLegendKey val="0"/>
              <c:showVal val="1"/>
              <c:showCatName val="0"/>
              <c:showSerName val="0"/>
              <c:showPercent val="0"/>
              <c:showBubbleSize val="0"/>
            </c:dLbl>
            <c:dLbl>
              <c:idx val="6"/>
              <c:layout>
                <c:manualLayout>
                  <c:x val="-6.315302881805312E-3"/>
                  <c:y val="-2.8194808982210558E-2"/>
                </c:manualLayout>
              </c:layout>
              <c:dLblPos val="r"/>
              <c:showLegendKey val="0"/>
              <c:showVal val="1"/>
              <c:showCatName val="0"/>
              <c:showSerName val="0"/>
              <c:showPercent val="0"/>
              <c:showBubbleSize val="0"/>
            </c:dLbl>
            <c:dLbl>
              <c:idx val="7"/>
              <c:layout>
                <c:manualLayout>
                  <c:x val="-7.1582718826813316E-2"/>
                  <c:y val="9.0077064834980736E-2"/>
                </c:manualLayout>
              </c:layout>
              <c:dLblPos val="r"/>
              <c:showLegendKey val="0"/>
              <c:showVal val="1"/>
              <c:showCatName val="0"/>
              <c:showSerName val="0"/>
              <c:showPercent val="0"/>
              <c:showBubbleSize val="0"/>
            </c:dLbl>
            <c:dLbl>
              <c:idx val="8"/>
              <c:layout>
                <c:manualLayout>
                  <c:x val="-4.512235970503687E-2"/>
                  <c:y val="-8.7857820963868877E-2"/>
                </c:manualLayout>
              </c:layout>
              <c:dLblPos val="r"/>
              <c:showLegendKey val="0"/>
              <c:showVal val="1"/>
              <c:showCatName val="0"/>
              <c:showSerName val="0"/>
              <c:showPercent val="0"/>
              <c:showBubbleSize val="0"/>
            </c:dLbl>
            <c:dLbl>
              <c:idx val="9"/>
              <c:layout>
                <c:manualLayout>
                  <c:x val="-3.9973153228835386E-2"/>
                  <c:y val="-8.3959875385947125E-2"/>
                </c:manualLayout>
              </c:layout>
              <c:dLblPos val="r"/>
              <c:showLegendKey val="0"/>
              <c:showVal val="1"/>
              <c:showCatName val="0"/>
              <c:showSerName val="0"/>
              <c:showPercent val="0"/>
              <c:showBubbleSize val="0"/>
            </c:dLbl>
            <c:dLbl>
              <c:idx val="10"/>
              <c:layout>
                <c:manualLayout>
                  <c:x val="-5.5845519310086238E-2"/>
                  <c:y val="4.9463059138884234E-2"/>
                </c:manualLayout>
              </c:layout>
              <c:dLblPos val="r"/>
              <c:showLegendKey val="0"/>
              <c:showVal val="1"/>
              <c:showCatName val="0"/>
              <c:showSerName val="0"/>
              <c:showPercent val="0"/>
              <c:showBubbleSize val="0"/>
            </c:dLbl>
            <c:dLbl>
              <c:idx val="11"/>
              <c:layout>
                <c:manualLayout>
                  <c:x val="-5.7890430362871309E-2"/>
                  <c:y val="-4.5005025967498745E-2"/>
                </c:manualLayout>
              </c:layout>
              <c:dLblPos val="r"/>
              <c:showLegendKey val="0"/>
              <c:showVal val="1"/>
              <c:showCatName val="0"/>
              <c:showSerName val="0"/>
              <c:showPercent val="0"/>
              <c:showBubbleSize val="0"/>
            </c:dLbl>
            <c:spPr>
              <a:solidFill>
                <a:srgbClr val="C0C0C0"/>
              </a:solidFill>
              <a:ln w="25400">
                <a:noFill/>
              </a:ln>
            </c:spPr>
            <c:showLegendKey val="0"/>
            <c:showVal val="1"/>
            <c:showCatName val="0"/>
            <c:showSerName val="0"/>
            <c:showPercent val="0"/>
            <c:showBubbleSize val="0"/>
            <c:showLeaderLines val="0"/>
          </c:dLbls>
          <c:cat>
            <c:strRef>
              <c:f>'Graf-data_2014'!$B$23:$M$23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'Graf-data_2014'!$B$31:$M$31</c:f>
              <c:numCache>
                <c:formatCode>#,##0</c:formatCode>
                <c:ptCount val="12"/>
                <c:pt idx="0">
                  <c:v>534557.07200000004</c:v>
                </c:pt>
                <c:pt idx="1">
                  <c:v>462720.59123999998</c:v>
                </c:pt>
                <c:pt idx="2">
                  <c:v>324728.33986999997</c:v>
                </c:pt>
                <c:pt idx="3">
                  <c:v>247611.87155000001</c:v>
                </c:pt>
                <c:pt idx="4">
                  <c:v>321620.53036999999</c:v>
                </c:pt>
                <c:pt idx="5">
                  <c:v>359928.53915999999</c:v>
                </c:pt>
                <c:pt idx="6">
                  <c:v>540968.09768999997</c:v>
                </c:pt>
                <c:pt idx="7">
                  <c:v>344026.85701000004</c:v>
                </c:pt>
                <c:pt idx="8">
                  <c:v>299921.17524999997</c:v>
                </c:pt>
                <c:pt idx="9">
                  <c:v>395873.12233000004</c:v>
                </c:pt>
                <c:pt idx="10">
                  <c:v>364902.11485000001</c:v>
                </c:pt>
                <c:pt idx="11">
                  <c:v>425991.76031000004</c:v>
                </c:pt>
              </c:numCache>
            </c:numRef>
          </c:val>
          <c:smooth val="0"/>
        </c:ser>
        <c:ser>
          <c:idx val="0"/>
          <c:order val="2"/>
          <c:tx>
            <c:strRef>
              <c:f>'Graf-data_2014'!$A$32</c:f>
              <c:strCache>
                <c:ptCount val="1"/>
                <c:pt idx="0">
                  <c:v>rok 2014</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dLbls>
            <c:dLbl>
              <c:idx val="0"/>
              <c:layout>
                <c:manualLayout>
                  <c:x val="-3.8350257022275264E-2"/>
                  <c:y val="1.9999722256940106E-2"/>
                </c:manualLayout>
              </c:layout>
              <c:dLblPos val="r"/>
              <c:showLegendKey val="0"/>
              <c:showVal val="1"/>
              <c:showCatName val="0"/>
              <c:showSerName val="0"/>
              <c:showPercent val="0"/>
              <c:showBubbleSize val="0"/>
            </c:dLbl>
            <c:dLbl>
              <c:idx val="1"/>
              <c:layout>
                <c:manualLayout>
                  <c:x val="3.7750827293921031E-3"/>
                  <c:y val="-2.5378679516912236E-2"/>
                </c:manualLayout>
              </c:layout>
              <c:dLblPos val="r"/>
              <c:showLegendKey val="0"/>
              <c:showVal val="1"/>
              <c:showCatName val="0"/>
              <c:showSerName val="0"/>
              <c:showPercent val="0"/>
              <c:showBubbleSize val="0"/>
            </c:dLbl>
            <c:dLbl>
              <c:idx val="2"/>
              <c:layout>
                <c:manualLayout>
                  <c:x val="-0.11223996129656506"/>
                  <c:y val="-1.3955900439981234E-2"/>
                </c:manualLayout>
              </c:layout>
              <c:dLblPos val="r"/>
              <c:showLegendKey val="0"/>
              <c:showVal val="1"/>
              <c:showCatName val="0"/>
              <c:showSerName val="0"/>
              <c:showPercent val="0"/>
              <c:showBubbleSize val="0"/>
            </c:dLbl>
            <c:dLbl>
              <c:idx val="3"/>
              <c:layout>
                <c:manualLayout>
                  <c:x val="-5.9990324141267537E-2"/>
                  <c:y val="-3.542673107890499E-2"/>
                </c:manualLayout>
              </c:layout>
              <c:showLegendKey val="0"/>
              <c:showVal val="1"/>
              <c:showCatName val="0"/>
              <c:showSerName val="0"/>
              <c:showPercent val="0"/>
              <c:showBubbleSize val="0"/>
            </c:dLbl>
            <c:spPr>
              <a:noFill/>
              <a:ln w="25400">
                <a:noFill/>
              </a:ln>
            </c:spPr>
            <c:showLegendKey val="0"/>
            <c:showVal val="1"/>
            <c:showCatName val="0"/>
            <c:showSerName val="0"/>
            <c:showPercent val="0"/>
            <c:showBubbleSize val="0"/>
            <c:showLeaderLines val="0"/>
          </c:dLbls>
          <c:cat>
            <c:strRef>
              <c:f>'Graf-data_2014'!$B$23:$M$23</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f>'Graf-data_2014'!$B$32:$M$32</c:f>
              <c:numCache>
                <c:formatCode>#,##0</c:formatCode>
                <c:ptCount val="12"/>
                <c:pt idx="0">
                  <c:v>434506.75969999994</c:v>
                </c:pt>
                <c:pt idx="1">
                  <c:v>466677.76847999997</c:v>
                </c:pt>
                <c:pt idx="2">
                  <c:v>337753.00487</c:v>
                </c:pt>
                <c:pt idx="3">
                  <c:v>355633</c:v>
                </c:pt>
              </c:numCache>
            </c:numRef>
          </c:val>
          <c:smooth val="0"/>
        </c:ser>
        <c:dLbls>
          <c:showLegendKey val="0"/>
          <c:showVal val="0"/>
          <c:showCatName val="0"/>
          <c:showSerName val="0"/>
          <c:showPercent val="0"/>
          <c:showBubbleSize val="0"/>
        </c:dLbls>
        <c:marker val="1"/>
        <c:smooth val="0"/>
        <c:axId val="192797312"/>
        <c:axId val="197579904"/>
      </c:lineChart>
      <c:catAx>
        <c:axId val="1927973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a:pPr>
            <a:endParaRPr lang="cs-CZ"/>
          </a:p>
        </c:txPr>
        <c:crossAx val="197579904"/>
        <c:crosses val="autoZero"/>
        <c:auto val="1"/>
        <c:lblAlgn val="ctr"/>
        <c:lblOffset val="100"/>
        <c:tickLblSkip val="1"/>
        <c:tickMarkSkip val="1"/>
        <c:noMultiLvlLbl val="0"/>
      </c:catAx>
      <c:valAx>
        <c:axId val="197579904"/>
        <c:scaling>
          <c:orientation val="minMax"/>
        </c:scaling>
        <c:delete val="0"/>
        <c:axPos val="l"/>
        <c:majorGridlines>
          <c:spPr>
            <a:ln w="3175">
              <a:solidFill>
                <a:srgbClr val="000000"/>
              </a:solidFill>
              <a:prstDash val="solid"/>
            </a:ln>
          </c:spPr>
        </c:majorGridlines>
        <c:title>
          <c:tx>
            <c:rich>
              <a:bodyPr/>
              <a:lstStyle/>
              <a:p>
                <a:pPr>
                  <a:defRPr/>
                </a:pPr>
                <a:r>
                  <a:rPr lang="cs-CZ"/>
                  <a:t>v tis. Kč</a:t>
                </a:r>
              </a:p>
            </c:rich>
          </c:tx>
          <c:layout>
            <c:manualLayout>
              <c:xMode val="edge"/>
              <c:yMode val="edge"/>
              <c:x val="9.3141187540236713E-3"/>
              <c:y val="0.40035350653632062"/>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a:pPr>
            <a:endParaRPr lang="cs-CZ"/>
          </a:p>
        </c:txPr>
        <c:crossAx val="192797312"/>
        <c:crosses val="autoZero"/>
        <c:crossBetween val="between"/>
      </c:valAx>
      <c:spPr>
        <a:solidFill>
          <a:srgbClr val="C0C0C0"/>
        </a:solidFill>
        <a:ln w="3175">
          <a:solidFill>
            <a:srgbClr val="808080"/>
          </a:solidFill>
          <a:prstDash val="solid"/>
        </a:ln>
      </c:spPr>
    </c:plotArea>
    <c:legend>
      <c:legendPos val="b"/>
      <c:layout>
        <c:manualLayout>
          <c:xMode val="edge"/>
          <c:yMode val="edge"/>
          <c:x val="0.31329379183189909"/>
          <c:y val="0.91005439537449129"/>
          <c:w val="0.42675702547341232"/>
          <c:h val="8.4656193338151553E-2"/>
        </c:manualLayout>
      </c:layout>
      <c:overlay val="0"/>
      <c:spPr>
        <a:solidFill>
          <a:srgbClr val="FFFFFF"/>
        </a:solidFill>
        <a:ln w="25400">
          <a:noFill/>
        </a:ln>
      </c:spPr>
    </c:legend>
    <c:plotVisOnly val="1"/>
    <c:dispBlanksAs val="gap"/>
    <c:showDLblsOverMax val="0"/>
  </c:chart>
  <c:spPr>
    <a:solidFill>
      <a:schemeClr val="lt1"/>
    </a:solidFill>
    <a:ln w="3175" cap="flat" cmpd="sng" algn="ctr">
      <a:solidFill>
        <a:schemeClr val="dk1"/>
      </a:solidFill>
      <a:prstDash val="solid"/>
    </a:ln>
    <a:effectLst/>
  </c:spPr>
  <c:txPr>
    <a:bodyPr/>
    <a:lstStyle/>
    <a:p>
      <a:pPr>
        <a:defRPr>
          <a:solidFill>
            <a:schemeClr val="dk1"/>
          </a:solidFill>
          <a:latin typeface="+mn-lt"/>
          <a:ea typeface="+mn-ea"/>
          <a:cs typeface="+mn-cs"/>
        </a:defRPr>
      </a:pPr>
      <a:endParaRPr lang="cs-CZ"/>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tahoma"/>
                <a:ea typeface="tahoma"/>
                <a:cs typeface="tahoma"/>
              </a:defRPr>
            </a:pPr>
            <a:r>
              <a:rPr lang="cs-CZ" sz="1000"/>
              <a:t>Graf č. 2: Procentuální přehled přijatých dotací Moravskoslezského kraje v členění dle účelu k 30. 4. 2014</a:t>
            </a:r>
          </a:p>
        </c:rich>
      </c:tx>
      <c:layout>
        <c:manualLayout>
          <c:xMode val="edge"/>
          <c:yMode val="edge"/>
          <c:x val="0.10305756301010319"/>
          <c:y val="4.6403009147666062E-2"/>
        </c:manualLayout>
      </c:layout>
      <c:overlay val="0"/>
      <c:spPr>
        <a:noFill/>
        <a:ln w="25400">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1740234064120498"/>
          <c:y val="0.44558566236370473"/>
          <c:w val="0.36642200714949918"/>
          <c:h val="0.24230003759869659"/>
        </c:manualLayout>
      </c:layout>
      <c:pie3DChart>
        <c:varyColors val="1"/>
        <c:ser>
          <c:idx val="0"/>
          <c:order val="0"/>
          <c:spPr>
            <a:solidFill>
              <a:srgbClr val="9999FF"/>
            </a:solidFill>
            <a:ln w="12700">
              <a:solidFill>
                <a:srgbClr val="000000"/>
              </a:solidFill>
              <a:prstDash val="solid"/>
            </a:ln>
          </c:spPr>
          <c:explosion val="46"/>
          <c:dPt>
            <c:idx val="0"/>
            <c:bubble3D val="0"/>
          </c:dPt>
          <c:dPt>
            <c:idx val="1"/>
            <c:bubble3D val="0"/>
            <c:spPr>
              <a:solidFill>
                <a:srgbClr val="993366"/>
              </a:solidFill>
              <a:ln w="12700">
                <a:solidFill>
                  <a:srgbClr val="000000"/>
                </a:solidFill>
                <a:prstDash val="solid"/>
              </a:ln>
            </c:spPr>
          </c:dPt>
          <c:dPt>
            <c:idx val="2"/>
            <c:bubble3D val="0"/>
            <c:spPr>
              <a:solidFill>
                <a:srgbClr val="FFFFCC"/>
              </a:solidFill>
              <a:ln w="12700">
                <a:solidFill>
                  <a:srgbClr val="000000"/>
                </a:solidFill>
                <a:prstDash val="solid"/>
              </a:ln>
            </c:spPr>
          </c:dPt>
          <c:dPt>
            <c:idx val="3"/>
            <c:bubble3D val="0"/>
            <c:spPr>
              <a:solidFill>
                <a:srgbClr val="CCFFFF"/>
              </a:solidFill>
              <a:ln w="12700">
                <a:solidFill>
                  <a:srgbClr val="000000"/>
                </a:solidFill>
                <a:prstDash val="solid"/>
              </a:ln>
            </c:spPr>
          </c:dPt>
          <c:dPt>
            <c:idx val="4"/>
            <c:bubble3D val="0"/>
            <c:spPr>
              <a:solidFill>
                <a:srgbClr val="660066"/>
              </a:solidFill>
              <a:ln w="12700">
                <a:solidFill>
                  <a:srgbClr val="000000"/>
                </a:solidFill>
                <a:prstDash val="solid"/>
              </a:ln>
            </c:spPr>
          </c:dPt>
          <c:dLbls>
            <c:dLbl>
              <c:idx val="0"/>
              <c:layout>
                <c:manualLayout>
                  <c:x val="6.7569332095289258E-2"/>
                  <c:y val="9.7136454157371779E-2"/>
                </c:manualLayout>
              </c:layout>
              <c:tx>
                <c:rich>
                  <a:bodyPr/>
                  <a:lstStyle/>
                  <a:p>
                    <a:r>
                      <a:rPr lang="cs-CZ" sz="1000" b="0" i="0" u="none" strike="noStrike" baseline="0">
                        <a:solidFill>
                          <a:srgbClr val="000000"/>
                        </a:solidFill>
                        <a:latin typeface="Tahoma"/>
                        <a:cs typeface="Tahoma"/>
                      </a:rPr>
                      <a:t>Přímé náklady na vzdělávání ve školách a školských zařízeních zřizovaných krajem a obcemi;</a:t>
                    </a:r>
                    <a:r>
                      <a:rPr lang="cs-CZ" sz="1000" b="1" i="0" u="none" strike="noStrike" baseline="0">
                        <a:solidFill>
                          <a:srgbClr val="000000"/>
                        </a:solidFill>
                        <a:latin typeface="Tahoma"/>
                        <a:cs typeface="Tahoma"/>
                      </a:rPr>
                      <a:t> 84,5</a:t>
                    </a:r>
                    <a:r>
                      <a:rPr lang="cs-CZ" sz="1000" b="0" i="0" u="none" strike="noStrike" baseline="0">
                        <a:solidFill>
                          <a:srgbClr val="000000"/>
                        </a:solidFill>
                        <a:latin typeface="Tahoma"/>
                        <a:cs typeface="Tahoma"/>
                      </a:rPr>
                      <a:t> </a:t>
                    </a:r>
                    <a:r>
                      <a:rPr lang="cs-CZ" sz="1000" b="1" i="0" u="none" strike="noStrike" baseline="0">
                        <a:solidFill>
                          <a:srgbClr val="000000"/>
                        </a:solidFill>
                        <a:latin typeface="Tahoma"/>
                        <a:cs typeface="Tahoma"/>
                      </a:rPr>
                      <a:t>%</a:t>
                    </a:r>
                  </a:p>
                </c:rich>
              </c:tx>
              <c:dLblPos val="bestFit"/>
              <c:showLegendKey val="1"/>
              <c:showVal val="0"/>
              <c:showCatName val="0"/>
              <c:showSerName val="0"/>
              <c:showPercent val="0"/>
              <c:showBubbleSize val="0"/>
            </c:dLbl>
            <c:dLbl>
              <c:idx val="1"/>
              <c:layout>
                <c:manualLayout>
                  <c:x val="-7.2681056878624042E-2"/>
                  <c:y val="0.13204701001028524"/>
                </c:manualLayout>
              </c:layout>
              <c:tx>
                <c:rich>
                  <a:bodyPr/>
                  <a:lstStyle/>
                  <a:p>
                    <a:r>
                      <a:rPr lang="cs-CZ" sz="1000" b="0" i="0" u="none" strike="noStrike" baseline="0">
                        <a:solidFill>
                          <a:srgbClr val="000000"/>
                        </a:solidFill>
                        <a:latin typeface="Tahoma"/>
                        <a:cs typeface="Tahoma"/>
                      </a:rPr>
                      <a:t>Dotace pro soukromé školy; </a:t>
                    </a:r>
                    <a:r>
                      <a:rPr lang="cs-CZ" sz="1000" b="1" i="0" u="none" strike="noStrike" baseline="0">
                        <a:solidFill>
                          <a:srgbClr val="000000"/>
                        </a:solidFill>
                        <a:latin typeface="Tahoma"/>
                        <a:cs typeface="Tahoma"/>
                      </a:rPr>
                      <a:t>8,4</a:t>
                    </a:r>
                    <a:r>
                      <a:rPr lang="cs-CZ" sz="1000" b="0" i="0" u="none" strike="noStrike" baseline="0">
                        <a:solidFill>
                          <a:srgbClr val="000000"/>
                        </a:solidFill>
                        <a:latin typeface="Tahoma"/>
                        <a:cs typeface="Tahoma"/>
                      </a:rPr>
                      <a:t> </a:t>
                    </a:r>
                    <a:r>
                      <a:rPr lang="cs-CZ" sz="1000" b="1" i="0" u="none" strike="noStrike" baseline="0">
                        <a:solidFill>
                          <a:srgbClr val="000000"/>
                        </a:solidFill>
                        <a:latin typeface="Tahoma"/>
                        <a:cs typeface="Tahoma"/>
                      </a:rPr>
                      <a:t>%</a:t>
                    </a:r>
                  </a:p>
                </c:rich>
              </c:tx>
              <c:dLblPos val="bestFit"/>
              <c:showLegendKey val="1"/>
              <c:showVal val="0"/>
              <c:showCatName val="0"/>
              <c:showSerName val="0"/>
              <c:showPercent val="0"/>
              <c:showBubbleSize val="0"/>
            </c:dLbl>
            <c:dLbl>
              <c:idx val="2"/>
              <c:layout>
                <c:manualLayout>
                  <c:x val="-0.11391825730825497"/>
                  <c:y val="-2.3933866874560068E-2"/>
                </c:manualLayout>
              </c:layout>
              <c:tx>
                <c:rich>
                  <a:bodyPr/>
                  <a:lstStyle/>
                  <a:p>
                    <a:r>
                      <a:rPr lang="cs-CZ" sz="1000" b="0" i="0" u="none" strike="noStrike" baseline="0">
                        <a:solidFill>
                          <a:srgbClr val="000000"/>
                        </a:solidFill>
                        <a:latin typeface="Tahoma"/>
                        <a:cs typeface="Tahoma"/>
                      </a:rPr>
                      <a:t>Souhrnný dotační vztah; </a:t>
                    </a:r>
                    <a:r>
                      <a:rPr lang="cs-CZ" sz="1000" b="1" i="0" u="none" strike="noStrike" baseline="0">
                        <a:solidFill>
                          <a:srgbClr val="000000"/>
                        </a:solidFill>
                        <a:latin typeface="Tahoma"/>
                        <a:cs typeface="Tahoma"/>
                      </a:rPr>
                      <a:t>1,1 %</a:t>
                    </a:r>
                  </a:p>
                </c:rich>
              </c:tx>
              <c:dLblPos val="bestFit"/>
              <c:showLegendKey val="1"/>
              <c:showVal val="0"/>
              <c:showCatName val="0"/>
              <c:showSerName val="0"/>
              <c:showPercent val="0"/>
              <c:showBubbleSize val="0"/>
            </c:dLbl>
            <c:dLbl>
              <c:idx val="3"/>
              <c:layout>
                <c:manualLayout>
                  <c:x val="0.21493279177547633"/>
                  <c:y val="-7.0566138030174239E-2"/>
                </c:manualLayout>
              </c:layout>
              <c:tx>
                <c:rich>
                  <a:bodyPr/>
                  <a:lstStyle/>
                  <a:p>
                    <a:r>
                      <a:rPr lang="cs-CZ" sz="1000" b="0" i="0" u="none" strike="noStrike" baseline="0">
                        <a:solidFill>
                          <a:srgbClr val="000000"/>
                        </a:solidFill>
                        <a:latin typeface="Tahoma"/>
                        <a:cs typeface="Tahoma"/>
                      </a:rPr>
                      <a:t>Dotace na akce spolufinancované z evropských finančních zdrojů; </a:t>
                    </a:r>
                    <a:r>
                      <a:rPr lang="cs-CZ" sz="1000" b="1" i="0" u="none" strike="noStrike" baseline="0">
                        <a:solidFill>
                          <a:srgbClr val="000000"/>
                        </a:solidFill>
                        <a:latin typeface="Tahoma"/>
                        <a:cs typeface="Tahoma"/>
                      </a:rPr>
                      <a:t>4,7 %</a:t>
                    </a:r>
                  </a:p>
                </c:rich>
              </c:tx>
              <c:dLblPos val="bestFit"/>
              <c:showLegendKey val="1"/>
              <c:showVal val="0"/>
              <c:showCatName val="0"/>
              <c:showSerName val="0"/>
              <c:showPercent val="0"/>
              <c:showBubbleSize val="0"/>
            </c:dLbl>
            <c:dLbl>
              <c:idx val="4"/>
              <c:layout>
                <c:manualLayout>
                  <c:x val="0.36854013082526327"/>
                  <c:y val="-5.3417542991133049E-2"/>
                </c:manualLayout>
              </c:layout>
              <c:tx>
                <c:rich>
                  <a:bodyPr/>
                  <a:lstStyle/>
                  <a:p>
                    <a:r>
                      <a:rPr lang="cs-CZ" sz="1000" b="0" i="0" u="none" strike="noStrike" baseline="0">
                        <a:solidFill>
                          <a:srgbClr val="000000"/>
                        </a:solidFill>
                        <a:latin typeface="Tahoma"/>
                        <a:cs typeface="Tahoma"/>
                      </a:rPr>
                      <a:t>Ostatní dotace; </a:t>
                    </a:r>
                    <a:r>
                      <a:rPr lang="cs-CZ" sz="1000" b="1" i="0" u="none" strike="noStrike" baseline="0">
                        <a:solidFill>
                          <a:srgbClr val="000000"/>
                        </a:solidFill>
                        <a:latin typeface="Tahoma"/>
                        <a:cs typeface="Tahoma"/>
                      </a:rPr>
                      <a:t>1,4 %</a:t>
                    </a:r>
                  </a:p>
                </c:rich>
              </c:tx>
              <c:dLblPos val="bestFit"/>
              <c:showLegendKey val="1"/>
              <c:showVal val="0"/>
              <c:showCatName val="0"/>
              <c:showSerName val="0"/>
              <c:showPercent val="0"/>
              <c:showBubbleSize val="0"/>
            </c:dLbl>
            <c:spPr>
              <a:noFill/>
              <a:ln w="25400">
                <a:noFill/>
              </a:ln>
            </c:spPr>
            <c:txPr>
              <a:bodyPr/>
              <a:lstStyle/>
              <a:p>
                <a:pPr>
                  <a:defRPr sz="1000" b="0" i="0" u="none" strike="noStrike" baseline="0">
                    <a:solidFill>
                      <a:srgbClr val="000000"/>
                    </a:solidFill>
                    <a:latin typeface="Tahoma"/>
                    <a:ea typeface="Tahoma"/>
                    <a:cs typeface="Tahoma"/>
                  </a:defRPr>
                </a:pPr>
                <a:endParaRPr lang="cs-CZ"/>
              </a:p>
            </c:txPr>
            <c:showLegendKey val="1"/>
            <c:showVal val="1"/>
            <c:showCatName val="1"/>
            <c:showSerName val="0"/>
            <c:showPercent val="0"/>
            <c:showBubbleSize val="0"/>
            <c:showLeaderLines val="1"/>
          </c:dLbls>
          <c:cat>
            <c:strRef>
              <c:f>'Graf č.2'!$A$5:$A$9</c:f>
              <c:strCache>
                <c:ptCount val="5"/>
                <c:pt idx="0">
                  <c:v>Přímé náklady na vzdělávání ve školách a školských zařízeních zřizovaných krajem a obcemi</c:v>
                </c:pt>
                <c:pt idx="1">
                  <c:v>Dotace pro soukromé školy</c:v>
                </c:pt>
                <c:pt idx="2">
                  <c:v>Souhrnný dotační vztah</c:v>
                </c:pt>
                <c:pt idx="3">
                  <c:v>Dotace na akce spolufinancované z evropských finančních zdrojů</c:v>
                </c:pt>
                <c:pt idx="4">
                  <c:v>Ostatní dotace</c:v>
                </c:pt>
              </c:strCache>
            </c:strRef>
          </c:cat>
          <c:val>
            <c:numRef>
              <c:f>'Graf č.2'!$F$5:$F$9</c:f>
              <c:numCache>
                <c:formatCode>0.0%</c:formatCode>
                <c:ptCount val="5"/>
                <c:pt idx="0">
                  <c:v>0.84464558312807048</c:v>
                </c:pt>
                <c:pt idx="1">
                  <c:v>8.4302564823027795E-2</c:v>
                </c:pt>
                <c:pt idx="2">
                  <c:v>1.0553130456300136E-2</c:v>
                </c:pt>
                <c:pt idx="3">
                  <c:v>4.6525328316689235E-2</c:v>
                </c:pt>
                <c:pt idx="4">
                  <c:v>1.3973393275912379E-2</c:v>
                </c:pt>
              </c:numCache>
            </c:numRef>
          </c:val>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Tahoma"/>
          <a:ea typeface="Tahoma"/>
          <a:cs typeface="Tahoma"/>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88" b="1" i="0" u="sng" strike="noStrike" baseline="0">
                <a:solidFill>
                  <a:srgbClr val="000000"/>
                </a:solidFill>
                <a:latin typeface="Tahoma"/>
                <a:ea typeface="Tahoma"/>
                <a:cs typeface="Tahoma"/>
              </a:defRPr>
            </a:pPr>
            <a:r>
              <a:rPr lang="cs-CZ"/>
              <a:t>Rozložení finančních prostředků k 30. 04. 2014 v % dle bankovních domů</a:t>
            </a:r>
          </a:p>
        </c:rich>
      </c:tx>
      <c:layout>
        <c:manualLayout>
          <c:xMode val="edge"/>
          <c:yMode val="edge"/>
          <c:x val="0.18655118110236221"/>
          <c:y val="3.0241991660917435E-2"/>
        </c:manualLayout>
      </c:layout>
      <c:overlay val="0"/>
      <c:spPr>
        <a:noFill/>
        <a:ln w="14336">
          <a:noFill/>
        </a:ln>
      </c:spPr>
    </c:title>
    <c:autoTitleDeleted val="0"/>
    <c:plotArea>
      <c:layout>
        <c:manualLayout>
          <c:layoutTarget val="inner"/>
          <c:xMode val="edge"/>
          <c:yMode val="edge"/>
          <c:x val="0.39334807239983871"/>
          <c:y val="0.26209703221182762"/>
          <c:w val="0.2133045613197655"/>
          <c:h val="0.59475865001914729"/>
        </c:manualLayout>
      </c:layout>
      <c:pieChart>
        <c:varyColors val="1"/>
        <c:ser>
          <c:idx val="0"/>
          <c:order val="0"/>
          <c:spPr>
            <a:solidFill>
              <a:srgbClr val="9999FF"/>
            </a:solidFill>
            <a:ln w="7168">
              <a:solidFill>
                <a:srgbClr val="000000"/>
              </a:solidFill>
              <a:prstDash val="solid"/>
            </a:ln>
          </c:spPr>
          <c:dPt>
            <c:idx val="0"/>
            <c:bubble3D val="0"/>
          </c:dPt>
          <c:dPt>
            <c:idx val="1"/>
            <c:bubble3D val="0"/>
            <c:spPr>
              <a:solidFill>
                <a:srgbClr val="993366"/>
              </a:solidFill>
              <a:ln w="7168">
                <a:solidFill>
                  <a:srgbClr val="000000"/>
                </a:solidFill>
                <a:prstDash val="solid"/>
              </a:ln>
            </c:spPr>
          </c:dPt>
          <c:dPt>
            <c:idx val="2"/>
            <c:bubble3D val="0"/>
            <c:spPr>
              <a:solidFill>
                <a:srgbClr val="FFFFCC"/>
              </a:solidFill>
              <a:ln w="7168">
                <a:solidFill>
                  <a:srgbClr val="000000"/>
                </a:solidFill>
                <a:prstDash val="solid"/>
              </a:ln>
            </c:spPr>
          </c:dPt>
          <c:dPt>
            <c:idx val="3"/>
            <c:bubble3D val="0"/>
            <c:spPr>
              <a:solidFill>
                <a:srgbClr val="CCFFFF"/>
              </a:solidFill>
              <a:ln w="7168">
                <a:solidFill>
                  <a:srgbClr val="000000"/>
                </a:solidFill>
                <a:prstDash val="solid"/>
              </a:ln>
            </c:spPr>
          </c:dPt>
          <c:dPt>
            <c:idx val="4"/>
            <c:bubble3D val="0"/>
            <c:spPr>
              <a:solidFill>
                <a:srgbClr val="660066"/>
              </a:solidFill>
              <a:ln w="7168">
                <a:solidFill>
                  <a:srgbClr val="000000"/>
                </a:solidFill>
                <a:prstDash val="solid"/>
              </a:ln>
            </c:spPr>
          </c:dPt>
          <c:dPt>
            <c:idx val="5"/>
            <c:bubble3D val="0"/>
            <c:spPr>
              <a:solidFill>
                <a:srgbClr val="FF8080"/>
              </a:solidFill>
              <a:ln w="7168">
                <a:solidFill>
                  <a:srgbClr val="000000"/>
                </a:solidFill>
                <a:prstDash val="solid"/>
              </a:ln>
            </c:spPr>
          </c:dPt>
          <c:dPt>
            <c:idx val="6"/>
            <c:bubble3D val="0"/>
            <c:spPr>
              <a:solidFill>
                <a:srgbClr val="0066CC"/>
              </a:solidFill>
              <a:ln w="7168">
                <a:solidFill>
                  <a:srgbClr val="000000"/>
                </a:solidFill>
                <a:prstDash val="solid"/>
              </a:ln>
            </c:spPr>
          </c:dPt>
          <c:dPt>
            <c:idx val="7"/>
            <c:bubble3D val="0"/>
            <c:spPr>
              <a:solidFill>
                <a:srgbClr val="CCCCFF"/>
              </a:solidFill>
              <a:ln w="7168">
                <a:solidFill>
                  <a:srgbClr val="000000"/>
                </a:solidFill>
                <a:prstDash val="solid"/>
              </a:ln>
            </c:spPr>
          </c:dPt>
          <c:dLbls>
            <c:dLbl>
              <c:idx val="0"/>
              <c:layout>
                <c:manualLayout>
                  <c:x val="4.3094249582438559E-3"/>
                  <c:y val="-7.8003357032436826E-2"/>
                </c:manualLayout>
              </c:layout>
              <c:dLblPos val="bestFit"/>
              <c:showLegendKey val="1"/>
              <c:showVal val="1"/>
              <c:showCatName val="1"/>
              <c:showSerName val="0"/>
              <c:showPercent val="0"/>
              <c:showBubbleSize val="0"/>
            </c:dLbl>
            <c:dLbl>
              <c:idx val="1"/>
              <c:layout>
                <c:manualLayout>
                  <c:x val="7.3020990840247267E-3"/>
                  <c:y val="-1.8987095767147563E-2"/>
                </c:manualLayout>
              </c:layout>
              <c:dLblPos val="bestFit"/>
              <c:showLegendKey val="1"/>
              <c:showVal val="1"/>
              <c:showCatName val="1"/>
              <c:showSerName val="0"/>
              <c:showPercent val="0"/>
              <c:showBubbleSize val="0"/>
            </c:dLbl>
            <c:dLbl>
              <c:idx val="2"/>
              <c:layout>
                <c:manualLayout>
                  <c:x val="3.8217131949415416E-2"/>
                  <c:y val="2.0727056098776109E-2"/>
                </c:manualLayout>
              </c:layout>
              <c:dLblPos val="bestFit"/>
              <c:showLegendKey val="1"/>
              <c:showVal val="1"/>
              <c:showCatName val="1"/>
              <c:showSerName val="0"/>
              <c:showPercent val="0"/>
              <c:showBubbleSize val="0"/>
            </c:dLbl>
            <c:dLbl>
              <c:idx val="3"/>
              <c:layout>
                <c:manualLayout>
                  <c:x val="2.6524266284896118E-2"/>
                  <c:y val="5.9113083621538057E-3"/>
                </c:manualLayout>
              </c:layout>
              <c:dLblPos val="bestFit"/>
              <c:showLegendKey val="1"/>
              <c:showVal val="1"/>
              <c:showCatName val="1"/>
              <c:showSerName val="0"/>
              <c:showPercent val="0"/>
              <c:showBubbleSize val="0"/>
            </c:dLbl>
            <c:dLbl>
              <c:idx val="4"/>
              <c:layout>
                <c:manualLayout>
                  <c:x val="1.1906424190237795E-2"/>
                  <c:y val="-3.5223967524611245E-2"/>
                </c:manualLayout>
              </c:layout>
              <c:dLblPos val="bestFit"/>
              <c:showLegendKey val="1"/>
              <c:showVal val="1"/>
              <c:showCatName val="1"/>
              <c:showSerName val="0"/>
              <c:showPercent val="0"/>
              <c:showBubbleSize val="0"/>
            </c:dLbl>
            <c:dLbl>
              <c:idx val="5"/>
              <c:layout>
                <c:manualLayout>
                  <c:x val="6.8786964637356063E-2"/>
                  <c:y val="-9.3833373813087914E-2"/>
                </c:manualLayout>
              </c:layout>
              <c:dLblPos val="bestFit"/>
              <c:showLegendKey val="1"/>
              <c:showVal val="1"/>
              <c:showCatName val="1"/>
              <c:showSerName val="0"/>
              <c:showPercent val="0"/>
              <c:showBubbleSize val="0"/>
            </c:dLbl>
            <c:dLbl>
              <c:idx val="6"/>
              <c:layout>
                <c:manualLayout>
                  <c:x val="-3.6557515118598179E-2"/>
                  <c:y val="-5.9351820756057619E-2"/>
                </c:manualLayout>
              </c:layout>
              <c:dLblPos val="bestFit"/>
              <c:showLegendKey val="1"/>
              <c:showVal val="1"/>
              <c:showCatName val="1"/>
              <c:showSerName val="0"/>
              <c:showPercent val="0"/>
              <c:showBubbleSize val="0"/>
            </c:dLbl>
            <c:dLbl>
              <c:idx val="7"/>
              <c:layout>
                <c:manualLayout>
                  <c:x val="-2.3267164499616893E-2"/>
                  <c:y val="9.5977121295099405E-3"/>
                </c:manualLayout>
              </c:layout>
              <c:dLblPos val="bestFit"/>
              <c:showLegendKey val="1"/>
              <c:showVal val="1"/>
              <c:showCatName val="1"/>
              <c:showSerName val="0"/>
              <c:showPercent val="0"/>
              <c:showBubbleSize val="0"/>
            </c:dLbl>
            <c:spPr>
              <a:noFill/>
              <a:ln w="14336">
                <a:noFill/>
              </a:ln>
            </c:spPr>
            <c:txPr>
              <a:bodyPr/>
              <a:lstStyle/>
              <a:p>
                <a:pPr>
                  <a:defRPr sz="677" b="0" i="0" u="none" strike="noStrike" baseline="0">
                    <a:solidFill>
                      <a:srgbClr val="000000"/>
                    </a:solidFill>
                    <a:latin typeface="Tahoma"/>
                    <a:ea typeface="Tahoma"/>
                    <a:cs typeface="Tahoma"/>
                  </a:defRPr>
                </a:pPr>
                <a:endParaRPr lang="cs-CZ"/>
              </a:p>
            </c:txPr>
            <c:showLegendKey val="1"/>
            <c:showVal val="1"/>
            <c:showCatName val="1"/>
            <c:showSerName val="0"/>
            <c:showPercent val="0"/>
            <c:showBubbleSize val="0"/>
            <c:showLeaderLines val="1"/>
          </c:dLbls>
          <c:cat>
            <c:strRef>
              <c:f>'rozložení účtů'!$O$54:$O$61</c:f>
              <c:strCache>
                <c:ptCount val="8"/>
                <c:pt idx="0">
                  <c:v>ČNB</c:v>
                </c:pt>
                <c:pt idx="1">
                  <c:v>ČS</c:v>
                </c:pt>
                <c:pt idx="2">
                  <c:v>ČSOB</c:v>
                </c:pt>
                <c:pt idx="3">
                  <c:v>JT</c:v>
                </c:pt>
                <c:pt idx="4">
                  <c:v>KB</c:v>
                </c:pt>
                <c:pt idx="5">
                  <c:v>PPF</c:v>
                </c:pt>
                <c:pt idx="6">
                  <c:v>RFB</c:v>
                </c:pt>
                <c:pt idx="7">
                  <c:v>UCB</c:v>
                </c:pt>
              </c:strCache>
            </c:strRef>
          </c:cat>
          <c:val>
            <c:numRef>
              <c:f>'rozložení účtů'!$Q$54:$Q$61</c:f>
              <c:numCache>
                <c:formatCode>0.0</c:formatCode>
                <c:ptCount val="8"/>
                <c:pt idx="0">
                  <c:v>3.1350543115641685</c:v>
                </c:pt>
                <c:pt idx="1">
                  <c:v>6.506486933672643</c:v>
                </c:pt>
                <c:pt idx="2">
                  <c:v>1.0558368423970475E-2</c:v>
                </c:pt>
                <c:pt idx="3">
                  <c:v>19.898689320491698</c:v>
                </c:pt>
                <c:pt idx="4">
                  <c:v>3.2354623558800304</c:v>
                </c:pt>
                <c:pt idx="5">
                  <c:v>25.219984077582865</c:v>
                </c:pt>
                <c:pt idx="6">
                  <c:v>7.4620519790296198</c:v>
                </c:pt>
                <c:pt idx="7">
                  <c:v>34.531712653355008</c:v>
                </c:pt>
              </c:numCache>
            </c:numRef>
          </c:val>
        </c:ser>
        <c:dLbls>
          <c:showLegendKey val="0"/>
          <c:showVal val="0"/>
          <c:showCatName val="0"/>
          <c:showSerName val="0"/>
          <c:showPercent val="0"/>
          <c:showBubbleSize val="0"/>
          <c:showLeaderLines val="1"/>
        </c:dLbls>
        <c:firstSliceAng val="0"/>
      </c:pieChart>
      <c:spPr>
        <a:noFill/>
        <a:ln w="14336">
          <a:noFill/>
        </a:ln>
      </c:spPr>
    </c:plotArea>
    <c:plotVisOnly val="1"/>
    <c:dispBlanksAs val="zero"/>
    <c:showDLblsOverMax val="0"/>
  </c:chart>
  <c:spPr>
    <a:solidFill>
      <a:srgbClr val="FFFFFF"/>
    </a:solidFill>
    <a:ln w="1792">
      <a:solidFill>
        <a:srgbClr val="000000"/>
      </a:solidFill>
      <a:prstDash val="solid"/>
    </a:ln>
  </c:spPr>
  <c:txPr>
    <a:bodyPr/>
    <a:lstStyle/>
    <a:p>
      <a:pPr>
        <a:defRPr sz="607" b="0" i="0" u="none" strike="noStrike" baseline="0">
          <a:solidFill>
            <a:srgbClr val="000000"/>
          </a:solidFill>
          <a:latin typeface="Arial"/>
          <a:ea typeface="Arial"/>
          <a:cs typeface="Arial"/>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6" b="1" i="0" u="sng" strike="noStrike" baseline="0">
                <a:solidFill>
                  <a:srgbClr val="000000"/>
                </a:solidFill>
                <a:latin typeface="Tahoma"/>
                <a:ea typeface="Tahoma"/>
                <a:cs typeface="Tahoma"/>
              </a:defRPr>
            </a:pPr>
            <a:r>
              <a:rPr lang="cs-CZ"/>
              <a:t>Rozložení finančních prostředků k 30. 04. 2014 v % dle typu účtu</a:t>
            </a:r>
          </a:p>
        </c:rich>
      </c:tx>
      <c:layout>
        <c:manualLayout>
          <c:xMode val="edge"/>
          <c:yMode val="edge"/>
          <c:x val="0.20576715580335833"/>
          <c:y val="2.9357961818201113E-2"/>
        </c:manualLayout>
      </c:layout>
      <c:overlay val="0"/>
      <c:spPr>
        <a:noFill/>
        <a:ln w="14608">
          <a:noFill/>
        </a:ln>
      </c:spPr>
    </c:title>
    <c:autoTitleDeleted val="0"/>
    <c:plotArea>
      <c:layout>
        <c:manualLayout>
          <c:layoutTarget val="inner"/>
          <c:xMode val="edge"/>
          <c:yMode val="edge"/>
          <c:x val="0.39404948650723937"/>
          <c:y val="0.28807339449541286"/>
          <c:w val="0.21190138132617659"/>
          <c:h val="0.5357798165137615"/>
        </c:manualLayout>
      </c:layout>
      <c:pieChart>
        <c:varyColors val="1"/>
        <c:ser>
          <c:idx val="0"/>
          <c:order val="0"/>
          <c:spPr>
            <a:solidFill>
              <a:srgbClr val="9999FF"/>
            </a:solidFill>
            <a:ln w="7304">
              <a:solidFill>
                <a:srgbClr val="000000"/>
              </a:solidFill>
              <a:prstDash val="solid"/>
            </a:ln>
          </c:spPr>
          <c:dPt>
            <c:idx val="0"/>
            <c:bubble3D val="0"/>
          </c:dPt>
          <c:dPt>
            <c:idx val="1"/>
            <c:bubble3D val="0"/>
            <c:spPr>
              <a:solidFill>
                <a:srgbClr val="993366"/>
              </a:solidFill>
              <a:ln w="7304">
                <a:solidFill>
                  <a:srgbClr val="000000"/>
                </a:solidFill>
                <a:prstDash val="solid"/>
              </a:ln>
            </c:spPr>
          </c:dPt>
          <c:dPt>
            <c:idx val="2"/>
            <c:bubble3D val="0"/>
            <c:spPr>
              <a:solidFill>
                <a:srgbClr val="FFFFCC"/>
              </a:solidFill>
              <a:ln w="7304">
                <a:solidFill>
                  <a:srgbClr val="000000"/>
                </a:solidFill>
                <a:prstDash val="solid"/>
              </a:ln>
            </c:spPr>
          </c:dPt>
          <c:dPt>
            <c:idx val="3"/>
            <c:bubble3D val="0"/>
            <c:spPr>
              <a:solidFill>
                <a:srgbClr val="CCFFFF"/>
              </a:solidFill>
              <a:ln w="7304">
                <a:solidFill>
                  <a:srgbClr val="000000"/>
                </a:solidFill>
                <a:prstDash val="solid"/>
              </a:ln>
            </c:spPr>
          </c:dPt>
          <c:dPt>
            <c:idx val="4"/>
            <c:bubble3D val="0"/>
            <c:spPr>
              <a:solidFill>
                <a:srgbClr val="660066"/>
              </a:solidFill>
              <a:ln w="7304">
                <a:solidFill>
                  <a:srgbClr val="000000"/>
                </a:solidFill>
                <a:prstDash val="solid"/>
              </a:ln>
            </c:spPr>
          </c:dPt>
          <c:dPt>
            <c:idx val="5"/>
            <c:bubble3D val="0"/>
            <c:spPr>
              <a:solidFill>
                <a:srgbClr val="FF8080"/>
              </a:solidFill>
              <a:ln w="7304">
                <a:solidFill>
                  <a:srgbClr val="000000"/>
                </a:solidFill>
                <a:prstDash val="solid"/>
              </a:ln>
            </c:spPr>
          </c:dPt>
          <c:dPt>
            <c:idx val="6"/>
            <c:bubble3D val="0"/>
            <c:spPr>
              <a:solidFill>
                <a:srgbClr val="0066CC"/>
              </a:solidFill>
              <a:ln w="7304">
                <a:solidFill>
                  <a:srgbClr val="000000"/>
                </a:solidFill>
                <a:prstDash val="solid"/>
              </a:ln>
            </c:spPr>
          </c:dPt>
          <c:dPt>
            <c:idx val="7"/>
            <c:bubble3D val="0"/>
            <c:spPr>
              <a:solidFill>
                <a:srgbClr val="CCCCFF"/>
              </a:solidFill>
              <a:ln w="7304">
                <a:solidFill>
                  <a:srgbClr val="000000"/>
                </a:solidFill>
                <a:prstDash val="solid"/>
              </a:ln>
            </c:spPr>
          </c:dPt>
          <c:dLbls>
            <c:dLbl>
              <c:idx val="0"/>
              <c:layout>
                <c:manualLayout>
                  <c:x val="2.2576545951748704E-2"/>
                  <c:y val="-8.2036631061111476E-2"/>
                </c:manualLayout>
              </c:layout>
              <c:dLblPos val="bestFit"/>
              <c:showLegendKey val="0"/>
              <c:showVal val="0"/>
              <c:showCatName val="1"/>
              <c:showSerName val="0"/>
              <c:showPercent val="1"/>
              <c:showBubbleSize val="0"/>
            </c:dLbl>
            <c:dLbl>
              <c:idx val="1"/>
              <c:layout>
                <c:manualLayout>
                  <c:x val="8.7240080285307539E-2"/>
                  <c:y val="-5.6739436295380898E-2"/>
                </c:manualLayout>
              </c:layout>
              <c:dLblPos val="bestFit"/>
              <c:showLegendKey val="0"/>
              <c:showVal val="0"/>
              <c:showCatName val="1"/>
              <c:showSerName val="0"/>
              <c:showPercent val="1"/>
              <c:showBubbleSize val="0"/>
            </c:dLbl>
            <c:dLbl>
              <c:idx val="2"/>
              <c:layout>
                <c:manualLayout>
                  <c:x val="6.1442191330911403E-2"/>
                  <c:y val="4.14998861049743E-2"/>
                </c:manualLayout>
              </c:layout>
              <c:dLblPos val="bestFit"/>
              <c:showLegendKey val="0"/>
              <c:showVal val="0"/>
              <c:showCatName val="1"/>
              <c:showSerName val="0"/>
              <c:showPercent val="1"/>
              <c:showBubbleSize val="0"/>
            </c:dLbl>
            <c:dLbl>
              <c:idx val="3"/>
              <c:layout>
                <c:manualLayout>
                  <c:x val="5.0908303016667059E-2"/>
                  <c:y val="-5.282819998773268E-2"/>
                </c:manualLayout>
              </c:layout>
              <c:dLblPos val="bestFit"/>
              <c:showLegendKey val="0"/>
              <c:showVal val="0"/>
              <c:showCatName val="1"/>
              <c:showSerName val="0"/>
              <c:showPercent val="1"/>
              <c:showBubbleSize val="0"/>
            </c:dLbl>
            <c:dLbl>
              <c:idx val="4"/>
              <c:layout>
                <c:manualLayout>
                  <c:x val="-8.8282789229271047E-3"/>
                  <c:y val="7.948094099698616E-2"/>
                </c:manualLayout>
              </c:layout>
              <c:dLblPos val="bestFit"/>
              <c:showLegendKey val="0"/>
              <c:showVal val="0"/>
              <c:showCatName val="1"/>
              <c:showSerName val="0"/>
              <c:showPercent val="1"/>
              <c:showBubbleSize val="0"/>
            </c:dLbl>
            <c:dLbl>
              <c:idx val="5"/>
              <c:layout>
                <c:manualLayout>
                  <c:x val="-6.1380643355348138E-2"/>
                  <c:y val="9.969662145487089E-2"/>
                </c:manualLayout>
              </c:layout>
              <c:dLblPos val="bestFit"/>
              <c:showLegendKey val="0"/>
              <c:showVal val="0"/>
              <c:showCatName val="1"/>
              <c:showSerName val="0"/>
              <c:showPercent val="1"/>
              <c:showBubbleSize val="0"/>
            </c:dLbl>
            <c:dLbl>
              <c:idx val="6"/>
              <c:layout>
                <c:manualLayout>
                  <c:x val="-4.732899222075769E-2"/>
                  <c:y val="-4.3386827296639431E-2"/>
                </c:manualLayout>
              </c:layout>
              <c:dLblPos val="bestFit"/>
              <c:showLegendKey val="0"/>
              <c:showVal val="0"/>
              <c:showCatName val="1"/>
              <c:showSerName val="0"/>
              <c:showPercent val="1"/>
              <c:showBubbleSize val="0"/>
            </c:dLbl>
            <c:dLbl>
              <c:idx val="7"/>
              <c:layout>
                <c:manualLayout>
                  <c:x val="-3.213526548738703E-2"/>
                  <c:y val="-7.5898311121549877E-2"/>
                </c:manualLayout>
              </c:layout>
              <c:dLblPos val="bestFit"/>
              <c:showLegendKey val="0"/>
              <c:showVal val="0"/>
              <c:showCatName val="1"/>
              <c:showSerName val="0"/>
              <c:showPercent val="1"/>
              <c:showBubbleSize val="0"/>
            </c:dLbl>
            <c:dLbl>
              <c:idx val="8"/>
              <c:layout>
                <c:manualLayout>
                  <c:xMode val="edge"/>
                  <c:yMode val="edge"/>
                  <c:x val="0.33236586523078382"/>
                  <c:y val="0.12293577981651377"/>
                </c:manualLayout>
              </c:layout>
              <c:dLblPos val="bestFit"/>
              <c:showLegendKey val="0"/>
              <c:showVal val="0"/>
              <c:showCatName val="1"/>
              <c:showSerName val="0"/>
              <c:showPercent val="1"/>
              <c:showBubbleSize val="0"/>
            </c:dLbl>
            <c:numFmt formatCode="0.0%" sourceLinked="0"/>
            <c:spPr>
              <a:noFill/>
              <a:ln w="14608">
                <a:noFill/>
              </a:ln>
            </c:spPr>
            <c:txPr>
              <a:bodyPr/>
              <a:lstStyle/>
              <a:p>
                <a:pPr>
                  <a:defRPr sz="690" b="0" i="0" u="none" strike="noStrike" baseline="0">
                    <a:solidFill>
                      <a:srgbClr val="000000"/>
                    </a:solidFill>
                    <a:latin typeface="Tahoma"/>
                    <a:ea typeface="Tahoma"/>
                    <a:cs typeface="Tahoma"/>
                  </a:defRPr>
                </a:pPr>
                <a:endParaRPr lang="cs-CZ"/>
              </a:p>
            </c:txPr>
            <c:showLegendKey val="0"/>
            <c:showVal val="0"/>
            <c:showCatName val="1"/>
            <c:showSerName val="0"/>
            <c:showPercent val="1"/>
            <c:showBubbleSize val="0"/>
            <c:showLeaderLines val="1"/>
          </c:dLbls>
          <c:cat>
            <c:strRef>
              <c:f>'rozložení účtů'!$O$82:$O$89</c:f>
              <c:strCache>
                <c:ptCount val="8"/>
                <c:pt idx="0">
                  <c:v>účty peněžních fondů</c:v>
                </c:pt>
                <c:pt idx="1">
                  <c:v>dlouhodobé termínované vklady </c:v>
                </c:pt>
                <c:pt idx="2">
                  <c:v>zhodnocovací  účty s výpovědní lhůtou</c:v>
                </c:pt>
                <c:pt idx="3">
                  <c:v>zhodnocovací  účty bez výpovědní lhůty</c:v>
                </c:pt>
                <c:pt idx="4">
                  <c:v>zhodnocovací cash-poolingové účty</c:v>
                </c:pt>
                <c:pt idx="5">
                  <c:v>účty školských prostředků</c:v>
                </c:pt>
                <c:pt idx="6">
                  <c:v>ostatní účty</c:v>
                </c:pt>
                <c:pt idx="7">
                  <c:v>devizové účty</c:v>
                </c:pt>
              </c:strCache>
            </c:strRef>
          </c:cat>
          <c:val>
            <c:numRef>
              <c:f>'rozložení účtů'!$Q$82:$Q$89</c:f>
              <c:numCache>
                <c:formatCode>0.0</c:formatCode>
                <c:ptCount val="8"/>
                <c:pt idx="0">
                  <c:v>8.2414931632094781</c:v>
                </c:pt>
                <c:pt idx="1">
                  <c:v>7.46202499642758</c:v>
                </c:pt>
                <c:pt idx="2">
                  <c:v>19.89873332380688</c:v>
                </c:pt>
                <c:pt idx="3">
                  <c:v>19.784931932154635</c:v>
                </c:pt>
                <c:pt idx="4">
                  <c:v>34.0745909436869</c:v>
                </c:pt>
                <c:pt idx="5">
                  <c:v>1.4712132656715933</c:v>
                </c:pt>
                <c:pt idx="6">
                  <c:v>8.9639593304601011</c:v>
                </c:pt>
                <c:pt idx="7">
                  <c:v>0.10305304458283705</c:v>
                </c:pt>
              </c:numCache>
            </c:numRef>
          </c:val>
        </c:ser>
        <c:dLbls>
          <c:showLegendKey val="0"/>
          <c:showVal val="0"/>
          <c:showCatName val="0"/>
          <c:showSerName val="0"/>
          <c:showPercent val="0"/>
          <c:showBubbleSize val="0"/>
          <c:showLeaderLines val="1"/>
        </c:dLbls>
        <c:firstSliceAng val="0"/>
      </c:pieChart>
      <c:spPr>
        <a:noFill/>
        <a:ln w="14608">
          <a:noFill/>
        </a:ln>
      </c:spPr>
    </c:plotArea>
    <c:plotVisOnly val="1"/>
    <c:dispBlanksAs val="zero"/>
    <c:showDLblsOverMax val="0"/>
  </c:chart>
  <c:spPr>
    <a:solidFill>
      <a:srgbClr val="FFFFFF"/>
    </a:solidFill>
    <a:ln w="1826">
      <a:solidFill>
        <a:srgbClr val="000000"/>
      </a:solidFill>
      <a:prstDash val="solid"/>
    </a:ln>
  </c:spPr>
  <c:txPr>
    <a:bodyPr/>
    <a:lstStyle/>
    <a:p>
      <a:pPr>
        <a:defRPr sz="676" b="0" i="0" u="none" strike="noStrike" baseline="0">
          <a:solidFill>
            <a:srgbClr val="000000"/>
          </a:solidFill>
          <a:latin typeface="Arial"/>
          <a:ea typeface="Arial"/>
          <a:cs typeface="Arial"/>
        </a:defRPr>
      </a:pPr>
      <a:endParaRPr lang="cs-CZ"/>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0.02612</cdr:x>
      <cdr:y>0.01449</cdr:y>
    </cdr:from>
    <cdr:to>
      <cdr:x>0.99274</cdr:x>
      <cdr:y>0.06522</cdr:y>
    </cdr:to>
    <cdr:sp macro="" textlink="">
      <cdr:nvSpPr>
        <cdr:cNvPr id="2" name="TextovéPole 1"/>
        <cdr:cNvSpPr txBox="1"/>
      </cdr:nvSpPr>
      <cdr:spPr>
        <a:xfrm xmlns:a="http://schemas.openxmlformats.org/drawingml/2006/main">
          <a:off x="171450" y="57150"/>
          <a:ext cx="63436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800" b="1">
              <a:latin typeface="Tahoma" pitchFamily="34" charset="0"/>
              <a:cs typeface="Tahoma" pitchFamily="34" charset="0"/>
            </a:rPr>
            <a:t>Graf č. 1 Vývoj plnění příjmů ze sdílených daní Moravskoslezského kraje v jednotlivých měsících v letech 2012 - 2014</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85022-248A-4280-B8F5-2E5895EB1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8609</Words>
  <Characters>50862</Characters>
  <Application>Microsoft Office Word</Application>
  <DocSecurity>0</DocSecurity>
  <Lines>423</Lines>
  <Paragraphs>118</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59353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creator>metelkova</dc:creator>
  <cp:lastModifiedBy>Novotná Hana</cp:lastModifiedBy>
  <cp:revision>3</cp:revision>
  <cp:lastPrinted>2014-05-20T11:20:00Z</cp:lastPrinted>
  <dcterms:created xsi:type="dcterms:W3CDTF">2014-05-28T10:51:00Z</dcterms:created>
  <dcterms:modified xsi:type="dcterms:W3CDTF">2014-05-28T13:30:00Z</dcterms:modified>
</cp:coreProperties>
</file>