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F" w:rsidRPr="000F19D7" w:rsidRDefault="0043369F" w:rsidP="0043369F">
      <w:pPr>
        <w:rPr>
          <w:rFonts w:ascii="Tahoma" w:hAnsi="Tahoma" w:cs="Tahoma"/>
          <w:sz w:val="20"/>
          <w:szCs w:val="20"/>
        </w:rPr>
      </w:pPr>
      <w:bookmarkStart w:id="0" w:name="_Toc257276445"/>
      <w:bookmarkStart w:id="1" w:name="_Toc257276560"/>
      <w:bookmarkStart w:id="2" w:name="_Toc257276777"/>
      <w:bookmarkStart w:id="3" w:name="_Toc257277113"/>
      <w:bookmarkStart w:id="4" w:name="_GoBack"/>
      <w:bookmarkEnd w:id="4"/>
      <w:r w:rsidRPr="000F19D7">
        <w:rPr>
          <w:rFonts w:ascii="Tahoma" w:hAnsi="Tahoma" w:cs="Tahoma"/>
          <w:sz w:val="20"/>
          <w:szCs w:val="20"/>
        </w:rPr>
        <w:t>Příloha č.</w:t>
      </w:r>
      <w:r w:rsidR="000F19D7" w:rsidRPr="000F19D7">
        <w:rPr>
          <w:rFonts w:ascii="Tahoma" w:hAnsi="Tahoma" w:cs="Tahoma"/>
          <w:sz w:val="20"/>
          <w:szCs w:val="20"/>
        </w:rPr>
        <w:t>:</w:t>
      </w:r>
      <w:r w:rsidRPr="000F19D7">
        <w:rPr>
          <w:rFonts w:ascii="Tahoma" w:hAnsi="Tahoma" w:cs="Tahoma"/>
          <w:sz w:val="20"/>
          <w:szCs w:val="20"/>
        </w:rPr>
        <w:t xml:space="preserve"> 3 k materiálu č.: </w:t>
      </w:r>
      <w:r w:rsidR="000F19D7" w:rsidRPr="000F19D7">
        <w:rPr>
          <w:rFonts w:ascii="Tahoma" w:hAnsi="Tahoma" w:cs="Tahoma"/>
          <w:sz w:val="20"/>
          <w:szCs w:val="20"/>
        </w:rPr>
        <w:t>4/</w:t>
      </w:r>
      <w:r w:rsidR="00B15EE1">
        <w:rPr>
          <w:rFonts w:ascii="Tahoma" w:hAnsi="Tahoma" w:cs="Tahoma"/>
          <w:sz w:val="20"/>
          <w:szCs w:val="20"/>
        </w:rPr>
        <w:t>1</w:t>
      </w:r>
    </w:p>
    <w:p w:rsidR="0043369F" w:rsidRPr="0043369F" w:rsidRDefault="0043369F" w:rsidP="0043369F">
      <w:pPr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Počet stran přílohy: 3</w:t>
      </w:r>
      <w:r w:rsidR="002F2F52" w:rsidRPr="000F19D7">
        <w:rPr>
          <w:rFonts w:ascii="Tahoma" w:hAnsi="Tahoma" w:cs="Tahoma"/>
          <w:sz w:val="20"/>
          <w:szCs w:val="20"/>
        </w:rPr>
        <w:t>3</w:t>
      </w:r>
    </w:p>
    <w:p w:rsidR="0043369F" w:rsidRPr="0043369F" w:rsidRDefault="0043369F" w:rsidP="0043369F">
      <w:pPr>
        <w:rPr>
          <w:rFonts w:ascii="Tahoma" w:hAnsi="Tahoma" w:cs="Tahoma"/>
          <w:sz w:val="20"/>
          <w:szCs w:val="20"/>
        </w:rPr>
      </w:pPr>
    </w:p>
    <w:p w:rsidR="000B5BCC" w:rsidRPr="0043369F" w:rsidRDefault="00511A35" w:rsidP="0043369F">
      <w:pPr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Komentář k ú</w:t>
      </w:r>
      <w:r w:rsidR="00DB4E66" w:rsidRPr="0043369F">
        <w:rPr>
          <w:rFonts w:ascii="Tahoma" w:hAnsi="Tahoma" w:cs="Tahoma"/>
          <w:b/>
          <w:sz w:val="32"/>
          <w:szCs w:val="32"/>
        </w:rPr>
        <w:t>četní závěr</w:t>
      </w:r>
      <w:r w:rsidRPr="0043369F">
        <w:rPr>
          <w:rFonts w:ascii="Tahoma" w:hAnsi="Tahoma" w:cs="Tahoma"/>
          <w:b/>
          <w:sz w:val="32"/>
          <w:szCs w:val="32"/>
        </w:rPr>
        <w:t>ce</w:t>
      </w:r>
      <w:r w:rsidR="0043369F" w:rsidRPr="0043369F">
        <w:rPr>
          <w:rFonts w:ascii="Tahoma" w:hAnsi="Tahoma" w:cs="Tahoma"/>
          <w:b/>
          <w:sz w:val="32"/>
          <w:szCs w:val="32"/>
        </w:rPr>
        <w:t xml:space="preserve"> </w:t>
      </w:r>
      <w:r w:rsidR="000B5BCC" w:rsidRPr="0043369F">
        <w:rPr>
          <w:rFonts w:ascii="Tahoma" w:hAnsi="Tahoma" w:cs="Tahoma"/>
          <w:b/>
          <w:sz w:val="32"/>
          <w:szCs w:val="32"/>
        </w:rPr>
        <w:t>Moravskoslezského kraje</w:t>
      </w:r>
    </w:p>
    <w:p w:rsidR="000B5BCC" w:rsidRPr="0043369F" w:rsidRDefault="00511A35" w:rsidP="0043369F">
      <w:pPr>
        <w:spacing w:after="720"/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 rozvahovému dni 31. 12. </w:t>
      </w:r>
      <w:r w:rsidR="00EB5ED7">
        <w:rPr>
          <w:rFonts w:ascii="Tahoma" w:hAnsi="Tahoma" w:cs="Tahoma"/>
          <w:b/>
          <w:sz w:val="32"/>
          <w:szCs w:val="32"/>
        </w:rPr>
        <w:t>2013</w:t>
      </w:r>
    </w:p>
    <w:p w:rsidR="000B5BCC" w:rsidRDefault="000B5BCC" w:rsidP="000B5BCC">
      <w:pPr>
        <w:pStyle w:val="Obsah1"/>
      </w:pPr>
      <w:r>
        <w:t>Obsah:</w:t>
      </w:r>
    </w:p>
    <w:p w:rsidR="00DB4E66" w:rsidRPr="00DB4E66" w:rsidRDefault="00DB4E66" w:rsidP="00DB4E66"/>
    <w:p w:rsidR="000114BF" w:rsidRDefault="000B5BCC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"1-1" \h \z \t "Nadpis 2;2;Nadpis 3;3" </w:instrText>
      </w:r>
      <w:r>
        <w:fldChar w:fldCharType="separate"/>
      </w:r>
      <w:hyperlink w:anchor="_Toc388005061" w:history="1">
        <w:r w:rsidR="000114BF" w:rsidRPr="00046EED">
          <w:rPr>
            <w:rStyle w:val="Hypertextovodkaz"/>
          </w:rPr>
          <w:t>1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Právní rámec účetní závěrky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_Toc388005061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 w:rsidR="000C09A8">
          <w:rPr>
            <w:webHidden/>
          </w:rPr>
          <w:t>2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62" w:history="1">
        <w:r w:rsidR="000114BF" w:rsidRPr="00046EED">
          <w:rPr>
            <w:rStyle w:val="Hypertextovodkaz"/>
            <w:noProof/>
          </w:rPr>
          <w:t>1.1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Inventarizace majetku a závazků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_Toc388005062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63" w:history="1">
        <w:r w:rsidR="000114BF" w:rsidRPr="00046EED">
          <w:rPr>
            <w:rStyle w:val="Hypertextovodkaz"/>
            <w:noProof/>
          </w:rPr>
          <w:t>1.2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Přezkoumání hospodaření kraje za rok 2013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_Toc388005063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64" w:history="1">
        <w:r w:rsidR="000114BF" w:rsidRPr="00046EED">
          <w:rPr>
            <w:rStyle w:val="Hypertextovodkaz"/>
            <w:noProof/>
          </w:rPr>
          <w:t>1.3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Výkazy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_Toc388005064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65" w:history="1">
        <w:r w:rsidR="000114BF" w:rsidRPr="00046EED">
          <w:rPr>
            <w:rStyle w:val="Hypertextovodkaz"/>
          </w:rPr>
          <w:t>2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Rozvaha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_Toc388005065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4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66" w:history="1">
        <w:r w:rsidR="000114BF" w:rsidRPr="00046EED">
          <w:rPr>
            <w:rStyle w:val="Hypertextovodkaz"/>
            <w:noProof/>
          </w:rPr>
          <w:t>2.1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Aktiva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_Toc388005066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67" w:history="1">
        <w:r w:rsidR="000114BF" w:rsidRPr="00046EED">
          <w:rPr>
            <w:rStyle w:val="Hypertextovodkaz"/>
            <w:noProof/>
          </w:rPr>
          <w:t>2.1.1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Stálá aktiva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_Toc388005067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68" w:history="1">
        <w:r w:rsidR="000114BF" w:rsidRPr="00046EED">
          <w:rPr>
            <w:rStyle w:val="Hypertextovodkaz"/>
            <w:noProof/>
          </w:rPr>
          <w:t>2.1.2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Oběžná aktiva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_Toc388005068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69" w:history="1">
        <w:r w:rsidR="000114BF" w:rsidRPr="00046EED">
          <w:rPr>
            <w:rStyle w:val="Hypertextovodkaz"/>
            <w:noProof/>
          </w:rPr>
          <w:t>2.2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Pasiva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_Toc388005069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0" w:history="1">
        <w:r w:rsidR="000114BF" w:rsidRPr="00046EED">
          <w:rPr>
            <w:rStyle w:val="Hypertextovodkaz"/>
            <w:noProof/>
          </w:rPr>
          <w:t>2.2.1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Vlastní kapitál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_Toc388005070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1" w:history="1">
        <w:r w:rsidR="000114BF" w:rsidRPr="00046EED">
          <w:rPr>
            <w:rStyle w:val="Hypertextovodkaz"/>
            <w:noProof/>
          </w:rPr>
          <w:t>2.2.2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Cizí zdroje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_Toc388005071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72" w:history="1">
        <w:r w:rsidR="000114BF" w:rsidRPr="00046EED">
          <w:rPr>
            <w:rStyle w:val="Hypertextovodkaz"/>
          </w:rPr>
          <w:t>3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Výkaz zisku a ztráty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_Toc388005072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17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73" w:history="1">
        <w:r w:rsidR="000114BF" w:rsidRPr="00046EED">
          <w:rPr>
            <w:rStyle w:val="Hypertextovodkaz"/>
            <w:noProof/>
          </w:rPr>
          <w:t>3.1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Náklady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_Toc388005073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4" w:history="1">
        <w:r w:rsidR="000114BF" w:rsidRPr="00046EED">
          <w:rPr>
            <w:rStyle w:val="Hypertextovodkaz"/>
            <w:noProof/>
          </w:rPr>
          <w:t>3.1.1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Náklady z činnosti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_Toc388005074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5" w:history="1">
        <w:r w:rsidR="000114BF" w:rsidRPr="00046EED">
          <w:rPr>
            <w:rStyle w:val="Hypertextovodkaz"/>
            <w:noProof/>
          </w:rPr>
          <w:t>3.1.2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Finanční náklady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_Toc388005075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6" w:history="1">
        <w:r w:rsidR="000114BF" w:rsidRPr="00046EED">
          <w:rPr>
            <w:rStyle w:val="Hypertextovodkaz"/>
            <w:noProof/>
          </w:rPr>
          <w:t>3.1.3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Náklady na transfery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_Toc388005076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7" w:history="1">
        <w:r w:rsidR="000114BF" w:rsidRPr="00046EED">
          <w:rPr>
            <w:rStyle w:val="Hypertextovodkaz"/>
            <w:noProof/>
          </w:rPr>
          <w:t>3.1.4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Daň z příjmů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_Toc388005077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78" w:history="1">
        <w:r w:rsidR="000114BF" w:rsidRPr="00046EED">
          <w:rPr>
            <w:rStyle w:val="Hypertextovodkaz"/>
            <w:noProof/>
          </w:rPr>
          <w:t>3.2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Výnosy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_Toc388005078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79" w:history="1">
        <w:r w:rsidR="000114BF" w:rsidRPr="00046EED">
          <w:rPr>
            <w:rStyle w:val="Hypertextovodkaz"/>
            <w:noProof/>
          </w:rPr>
          <w:t>3.2.1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Výnosy z činnosti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_Toc388005079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80" w:history="1">
        <w:r w:rsidR="000114BF" w:rsidRPr="00046EED">
          <w:rPr>
            <w:rStyle w:val="Hypertextovodkaz"/>
            <w:noProof/>
          </w:rPr>
          <w:t>3.2.2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Finanční výnosy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_Toc388005080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81" w:history="1">
        <w:r w:rsidR="000114BF" w:rsidRPr="00046EED">
          <w:rPr>
            <w:rStyle w:val="Hypertextovodkaz"/>
            <w:noProof/>
          </w:rPr>
          <w:t>3.2.3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Výnosy z transferů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_Toc388005081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005082" w:history="1">
        <w:r w:rsidR="000114BF" w:rsidRPr="00046EED">
          <w:rPr>
            <w:rStyle w:val="Hypertextovodkaz"/>
            <w:noProof/>
          </w:rPr>
          <w:t>3.2.4</w:t>
        </w:r>
        <w:r w:rsidR="000114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Výnosy ze sdílených daní a poplatků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_Toc388005082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83" w:history="1">
        <w:r w:rsidR="000114BF" w:rsidRPr="00046EED">
          <w:rPr>
            <w:rStyle w:val="Hypertextovodkaz"/>
            <w:noProof/>
          </w:rPr>
          <w:t>3.3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Výsledek hospodaření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_Toc388005083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84" w:history="1">
        <w:r w:rsidR="000114BF" w:rsidRPr="00046EED">
          <w:rPr>
            <w:rStyle w:val="Hypertextovodkaz"/>
          </w:rPr>
          <w:t>4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Příloha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_Toc388005084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28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85" w:history="1">
        <w:r w:rsidR="000114BF" w:rsidRPr="00046EED">
          <w:rPr>
            <w:rStyle w:val="Hypertextovodkaz"/>
          </w:rPr>
          <w:t>5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Přehled o peněžních tocích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_Toc388005085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29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86" w:history="1">
        <w:r w:rsidR="000114BF" w:rsidRPr="00046EED">
          <w:rPr>
            <w:rStyle w:val="Hypertextovodkaz"/>
          </w:rPr>
          <w:t>6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Přehled o změnách vlastního kapitálu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_Toc388005086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30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87" w:history="1">
        <w:r w:rsidR="000114BF" w:rsidRPr="00046EED">
          <w:rPr>
            <w:rStyle w:val="Hypertextovodkaz"/>
          </w:rPr>
          <w:t>7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Ostatní výkazy zasílané do CSÚIS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_Toc388005087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31</w:t>
        </w:r>
        <w:r w:rsidR="000114BF">
          <w:rPr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88" w:history="1">
        <w:r w:rsidR="000114BF" w:rsidRPr="00046EED">
          <w:rPr>
            <w:rStyle w:val="Hypertextovodkaz"/>
            <w:noProof/>
          </w:rPr>
          <w:t>7.1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Výkaz FIN 2-12 M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_Toc388005088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8005089" w:history="1">
        <w:r w:rsidR="000114BF" w:rsidRPr="00046EED">
          <w:rPr>
            <w:rStyle w:val="Hypertextovodkaz"/>
            <w:noProof/>
          </w:rPr>
          <w:t>7.2</w:t>
        </w:r>
        <w:r w:rsidR="000114B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114BF" w:rsidRPr="00046EED">
          <w:rPr>
            <w:rStyle w:val="Hypertextovodkaz"/>
            <w:noProof/>
          </w:rPr>
          <w:t>Pomocný analytický přehled</w:t>
        </w:r>
        <w:r w:rsidR="000114BF">
          <w:rPr>
            <w:noProof/>
            <w:webHidden/>
          </w:rPr>
          <w:tab/>
        </w:r>
        <w:r w:rsidR="000114BF">
          <w:rPr>
            <w:noProof/>
            <w:webHidden/>
          </w:rPr>
          <w:fldChar w:fldCharType="begin"/>
        </w:r>
        <w:r w:rsidR="000114BF">
          <w:rPr>
            <w:noProof/>
            <w:webHidden/>
          </w:rPr>
          <w:instrText xml:space="preserve"> PAGEREF _Toc388005089 \h </w:instrText>
        </w:r>
        <w:r w:rsidR="000114BF">
          <w:rPr>
            <w:noProof/>
            <w:webHidden/>
          </w:rPr>
        </w:r>
        <w:r w:rsidR="000114BF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0114BF">
          <w:rPr>
            <w:noProof/>
            <w:webHidden/>
          </w:rPr>
          <w:fldChar w:fldCharType="end"/>
        </w:r>
      </w:hyperlink>
    </w:p>
    <w:p w:rsidR="000114BF" w:rsidRDefault="000C09A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88005090" w:history="1">
        <w:r w:rsidR="000114BF" w:rsidRPr="00046EED">
          <w:rPr>
            <w:rStyle w:val="Hypertextovodkaz"/>
          </w:rPr>
          <w:t>8</w:t>
        </w:r>
        <w:r w:rsidR="000114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114BF" w:rsidRPr="00046EED">
          <w:rPr>
            <w:rStyle w:val="Hypertextovodkaz"/>
          </w:rPr>
          <w:t>Závěr</w:t>
        </w:r>
        <w:r w:rsidR="000114BF">
          <w:rPr>
            <w:webHidden/>
          </w:rPr>
          <w:tab/>
        </w:r>
        <w:r w:rsidR="000114BF">
          <w:rPr>
            <w:webHidden/>
          </w:rPr>
          <w:fldChar w:fldCharType="begin"/>
        </w:r>
        <w:r w:rsidR="000114BF">
          <w:rPr>
            <w:webHidden/>
          </w:rPr>
          <w:instrText xml:space="preserve"> PAGEREF _Toc388005090 \h </w:instrText>
        </w:r>
        <w:r w:rsidR="000114BF">
          <w:rPr>
            <w:webHidden/>
          </w:rPr>
        </w:r>
        <w:r w:rsidR="000114BF">
          <w:rPr>
            <w:webHidden/>
          </w:rPr>
          <w:fldChar w:fldCharType="separate"/>
        </w:r>
        <w:r>
          <w:rPr>
            <w:webHidden/>
          </w:rPr>
          <w:t>32</w:t>
        </w:r>
        <w:r w:rsidR="000114BF">
          <w:rPr>
            <w:webHidden/>
          </w:rPr>
          <w:fldChar w:fldCharType="end"/>
        </w:r>
      </w:hyperlink>
    </w:p>
    <w:p w:rsidR="000B5BCC" w:rsidRPr="00D33873" w:rsidRDefault="000B5BCC" w:rsidP="000B5BCC">
      <w:pPr>
        <w:rPr>
          <w:sz w:val="12"/>
          <w:szCs w:val="12"/>
        </w:rPr>
      </w:pPr>
      <w:r>
        <w:fldChar w:fldCharType="end"/>
      </w:r>
    </w:p>
    <w:p w:rsidR="000B5BCC" w:rsidRPr="00DE5847" w:rsidRDefault="000B5BCC" w:rsidP="000B5BCC">
      <w:pPr>
        <w:tabs>
          <w:tab w:val="right" w:leader="dot" w:pos="9015"/>
        </w:tabs>
        <w:jc w:val="both"/>
        <w:rPr>
          <w:rFonts w:ascii="Tahoma" w:hAnsi="Tahoma" w:cs="Tahoma"/>
          <w:sz w:val="20"/>
          <w:szCs w:val="20"/>
        </w:rPr>
      </w:pPr>
      <w:r w:rsidRPr="003622C4">
        <w:rPr>
          <w:rFonts w:ascii="Tahoma" w:hAnsi="Tahoma" w:cs="Tahoma"/>
          <w:sz w:val="20"/>
          <w:szCs w:val="20"/>
        </w:rPr>
        <w:t>Seznam použitých zkratek</w:t>
      </w:r>
      <w:r w:rsidRPr="00DE5847">
        <w:rPr>
          <w:rFonts w:ascii="Tahoma" w:hAnsi="Tahoma" w:cs="Tahoma"/>
          <w:sz w:val="20"/>
          <w:szCs w:val="20"/>
        </w:rPr>
        <w:tab/>
      </w:r>
      <w:r w:rsidR="003622C4">
        <w:rPr>
          <w:rFonts w:ascii="Tahoma" w:hAnsi="Tahoma" w:cs="Tahoma"/>
          <w:sz w:val="20"/>
          <w:szCs w:val="20"/>
        </w:rPr>
        <w:t>3</w:t>
      </w:r>
      <w:r w:rsidR="002F2F52">
        <w:rPr>
          <w:rFonts w:ascii="Tahoma" w:hAnsi="Tahoma" w:cs="Tahoma"/>
          <w:sz w:val="20"/>
          <w:szCs w:val="20"/>
        </w:rPr>
        <w:t>3</w:t>
      </w:r>
    </w:p>
    <w:p w:rsidR="0043369F" w:rsidRDefault="0043369F" w:rsidP="000B5BCC">
      <w:pPr>
        <w:sectPr w:rsidR="0043369F" w:rsidSect="00C226F5">
          <w:footerReference w:type="even" r:id="rId9"/>
          <w:footerReference w:type="default" r:id="rId10"/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</w:p>
    <w:p w:rsidR="00700BCB" w:rsidRPr="00811E75" w:rsidRDefault="00811E75" w:rsidP="00700BCB">
      <w:pPr>
        <w:pStyle w:val="Nadpis1"/>
      </w:pPr>
      <w:bookmarkStart w:id="5" w:name="_Toc388005061"/>
      <w:r w:rsidRPr="00FB3163">
        <w:lastRenderedPageBreak/>
        <w:t>Právní rámec účetní závěrky</w:t>
      </w:r>
      <w:bookmarkEnd w:id="5"/>
    </w:p>
    <w:p w:rsidR="0044109C" w:rsidRDefault="00700BCB" w:rsidP="00700BCB">
      <w:pPr>
        <w:pStyle w:val="Mjtext"/>
        <w:rPr>
          <w:szCs w:val="20"/>
        </w:rPr>
      </w:pPr>
      <w:bookmarkStart w:id="6" w:name="_Toc39281424"/>
      <w:bookmarkStart w:id="7" w:name="_Toc40237207"/>
      <w:bookmarkStart w:id="8" w:name="_Toc67881877"/>
      <w:bookmarkStart w:id="9" w:name="_Toc230590115"/>
      <w:bookmarkStart w:id="10" w:name="_Toc257276561"/>
      <w:bookmarkStart w:id="11" w:name="_Toc257276778"/>
      <w:bookmarkStart w:id="12" w:name="_Toc257277114"/>
      <w:bookmarkEnd w:id="0"/>
      <w:bookmarkEnd w:id="1"/>
      <w:bookmarkEnd w:id="2"/>
      <w:bookmarkEnd w:id="3"/>
      <w:r w:rsidRPr="00392E8E">
        <w:rPr>
          <w:szCs w:val="20"/>
        </w:rPr>
        <w:t>Na základě zákona č. 56</w:t>
      </w:r>
      <w:r>
        <w:rPr>
          <w:szCs w:val="20"/>
        </w:rPr>
        <w:t>3</w:t>
      </w:r>
      <w:r w:rsidRPr="00392E8E">
        <w:rPr>
          <w:szCs w:val="20"/>
        </w:rPr>
        <w:t>/1991 Sb., o účetnictví,</w:t>
      </w:r>
      <w:r w:rsidR="0044109C">
        <w:rPr>
          <w:szCs w:val="20"/>
        </w:rPr>
        <w:t xml:space="preserve"> ve znění pozdějších předpisů (dále jen „zákon o</w:t>
      </w:r>
      <w:r w:rsidR="0044109C" w:rsidRPr="00392E8E">
        <w:rPr>
          <w:szCs w:val="20"/>
        </w:rPr>
        <w:t> </w:t>
      </w:r>
      <w:r w:rsidR="0044109C">
        <w:rPr>
          <w:szCs w:val="20"/>
        </w:rPr>
        <w:t>účetnictví“)</w:t>
      </w:r>
      <w:r w:rsidRPr="00392E8E">
        <w:rPr>
          <w:szCs w:val="20"/>
        </w:rPr>
        <w:t xml:space="preserve"> vede kraj jakožto právnická osoba účetnictví a je povinen sestavovat k rozvahovému dni, tj. k</w:t>
      </w:r>
      <w:r w:rsidR="0044109C" w:rsidRPr="00392E8E">
        <w:rPr>
          <w:szCs w:val="20"/>
        </w:rPr>
        <w:t> </w:t>
      </w:r>
      <w:r w:rsidRPr="00392E8E">
        <w:rPr>
          <w:szCs w:val="20"/>
        </w:rPr>
        <w:t>31. 12. daného roku, účetní závěrku</w:t>
      </w:r>
      <w:r>
        <w:rPr>
          <w:szCs w:val="20"/>
        </w:rPr>
        <w:t xml:space="preserve"> (účetním období</w:t>
      </w:r>
      <w:r w:rsidR="005616AC">
        <w:rPr>
          <w:szCs w:val="20"/>
        </w:rPr>
        <w:t>m</w:t>
      </w:r>
      <w:r>
        <w:rPr>
          <w:szCs w:val="20"/>
        </w:rPr>
        <w:t xml:space="preserve"> je kalendářní rok)</w:t>
      </w:r>
      <w:r w:rsidRPr="00392E8E">
        <w:rPr>
          <w:szCs w:val="20"/>
        </w:rPr>
        <w:t xml:space="preserve">. </w:t>
      </w:r>
    </w:p>
    <w:p w:rsidR="00700BCB" w:rsidRPr="00DE7C71" w:rsidRDefault="00700BCB" w:rsidP="00700BCB">
      <w:pPr>
        <w:pStyle w:val="Mjtext"/>
        <w:rPr>
          <w:szCs w:val="20"/>
        </w:rPr>
      </w:pPr>
      <w:r>
        <w:rPr>
          <w:szCs w:val="20"/>
        </w:rPr>
        <w:t>V</w:t>
      </w:r>
      <w:r w:rsidRPr="00392E8E">
        <w:rPr>
          <w:szCs w:val="20"/>
        </w:rPr>
        <w:t xml:space="preserve"> oblasti veřejných financí došlo </w:t>
      </w:r>
      <w:r>
        <w:rPr>
          <w:szCs w:val="20"/>
        </w:rPr>
        <w:t>o</w:t>
      </w:r>
      <w:r w:rsidRPr="00392E8E">
        <w:rPr>
          <w:szCs w:val="20"/>
        </w:rPr>
        <w:t xml:space="preserve">d </w:t>
      </w:r>
      <w:smartTag w:uri="urn:schemas-microsoft-com:office:smarttags" w:element="date">
        <w:smartTagPr>
          <w:attr w:name="Year" w:val="2010"/>
          <w:attr w:name="Day" w:val="1"/>
          <w:attr w:name="Month" w:val="1"/>
          <w:attr w:name="ls" w:val="trans"/>
        </w:smartTagPr>
        <w:r w:rsidRPr="00392E8E">
          <w:rPr>
            <w:szCs w:val="20"/>
          </w:rPr>
          <w:t>1. ledna 2010</w:t>
        </w:r>
      </w:smartTag>
      <w:r w:rsidRPr="00392E8E">
        <w:rPr>
          <w:szCs w:val="20"/>
        </w:rPr>
        <w:t xml:space="preserve"> k rozsáhlé reformě účetnictví</w:t>
      </w:r>
      <w:r w:rsidR="00803A25">
        <w:rPr>
          <w:szCs w:val="20"/>
        </w:rPr>
        <w:t xml:space="preserve">. </w:t>
      </w:r>
      <w:r w:rsidR="00803A25" w:rsidRPr="00C95380">
        <w:rPr>
          <w:szCs w:val="20"/>
        </w:rPr>
        <w:t xml:space="preserve">Postupně jsou </w:t>
      </w:r>
      <w:r w:rsidR="0044109C">
        <w:rPr>
          <w:szCs w:val="20"/>
        </w:rPr>
        <w:t>do</w:t>
      </w:r>
      <w:r w:rsidR="00C17245">
        <w:rPr>
          <w:szCs w:val="20"/>
        </w:rPr>
        <w:t> </w:t>
      </w:r>
      <w:r w:rsidR="0044109C">
        <w:rPr>
          <w:szCs w:val="20"/>
        </w:rPr>
        <w:t xml:space="preserve">účetnictví </w:t>
      </w:r>
      <w:r w:rsidR="00803A25" w:rsidRPr="00C95380">
        <w:rPr>
          <w:szCs w:val="20"/>
        </w:rPr>
        <w:t>implementovány</w:t>
      </w:r>
      <w:r w:rsidRPr="00C95380">
        <w:rPr>
          <w:szCs w:val="20"/>
        </w:rPr>
        <w:t xml:space="preserve"> </w:t>
      </w:r>
      <w:r w:rsidR="00803A25" w:rsidRPr="00C95380">
        <w:rPr>
          <w:szCs w:val="20"/>
        </w:rPr>
        <w:t>nástroje, které mají za následek vytvoření tzv. „</w:t>
      </w:r>
      <w:r w:rsidRPr="00C95380">
        <w:rPr>
          <w:szCs w:val="20"/>
        </w:rPr>
        <w:t>účetnictví státu</w:t>
      </w:r>
      <w:r w:rsidR="00803A25" w:rsidRPr="00C95380">
        <w:rPr>
          <w:szCs w:val="20"/>
        </w:rPr>
        <w:t xml:space="preserve">“ – přehledného systému </w:t>
      </w:r>
      <w:r w:rsidR="005574E2" w:rsidRPr="00C95380">
        <w:rPr>
          <w:szCs w:val="20"/>
        </w:rPr>
        <w:t xml:space="preserve">o finanční situaci účetních jednotek </w:t>
      </w:r>
      <w:r w:rsidR="00803A25" w:rsidRPr="00C95380">
        <w:rPr>
          <w:szCs w:val="20"/>
        </w:rPr>
        <w:t>v oblasti veřejné sféry</w:t>
      </w:r>
      <w:r w:rsidRPr="00C95380">
        <w:rPr>
          <w:szCs w:val="20"/>
        </w:rPr>
        <w:t>.</w:t>
      </w:r>
      <w:r w:rsidRPr="00392E8E">
        <w:rPr>
          <w:szCs w:val="20"/>
        </w:rPr>
        <w:t xml:space="preserve"> Smyslem účetní reformy je posílení zejména akruálního principu – tj. účtování </w:t>
      </w:r>
      <w:r w:rsidR="007C2FFE">
        <w:rPr>
          <w:szCs w:val="20"/>
        </w:rPr>
        <w:t>o nákladech a výnose</w:t>
      </w:r>
      <w:r w:rsidR="00803A25">
        <w:rPr>
          <w:szCs w:val="20"/>
        </w:rPr>
        <w:t>c</w:t>
      </w:r>
      <w:r w:rsidR="007C2FFE">
        <w:rPr>
          <w:szCs w:val="20"/>
        </w:rPr>
        <w:t xml:space="preserve">h </w:t>
      </w:r>
      <w:r w:rsidRPr="00392E8E">
        <w:rPr>
          <w:szCs w:val="20"/>
        </w:rPr>
        <w:t>ve věcné a</w:t>
      </w:r>
      <w:r>
        <w:rPr>
          <w:szCs w:val="20"/>
        </w:rPr>
        <w:t> </w:t>
      </w:r>
      <w:r w:rsidRPr="00392E8E">
        <w:rPr>
          <w:szCs w:val="20"/>
        </w:rPr>
        <w:t>časové souvislosti, dále pak srovnatelnost účetních dat a</w:t>
      </w:r>
      <w:r>
        <w:rPr>
          <w:szCs w:val="20"/>
        </w:rPr>
        <w:t> </w:t>
      </w:r>
      <w:r w:rsidRPr="00392E8E">
        <w:rPr>
          <w:szCs w:val="20"/>
        </w:rPr>
        <w:t xml:space="preserve">zlepšení jejich vypovídací schopnosti. </w:t>
      </w:r>
      <w:r w:rsidR="00803A25">
        <w:rPr>
          <w:szCs w:val="20"/>
        </w:rPr>
        <w:t>V rámci</w:t>
      </w:r>
      <w:r w:rsidRPr="00392E8E">
        <w:rPr>
          <w:szCs w:val="20"/>
        </w:rPr>
        <w:t> účetní reform</w:t>
      </w:r>
      <w:r>
        <w:rPr>
          <w:szCs w:val="20"/>
        </w:rPr>
        <w:t>y</w:t>
      </w:r>
      <w:r w:rsidRPr="00392E8E">
        <w:rPr>
          <w:szCs w:val="20"/>
        </w:rPr>
        <w:t xml:space="preserve"> </w:t>
      </w:r>
      <w:r>
        <w:rPr>
          <w:szCs w:val="20"/>
        </w:rPr>
        <w:t xml:space="preserve">byly </w:t>
      </w:r>
      <w:r w:rsidRPr="00392E8E">
        <w:rPr>
          <w:szCs w:val="20"/>
        </w:rPr>
        <w:t xml:space="preserve">v oblasti veřejných financí vydány </w:t>
      </w:r>
      <w:r w:rsidR="00803A25" w:rsidRPr="00C95380">
        <w:rPr>
          <w:szCs w:val="20"/>
        </w:rPr>
        <w:t xml:space="preserve">zcela </w:t>
      </w:r>
      <w:r w:rsidRPr="00C95380">
        <w:rPr>
          <w:szCs w:val="20"/>
        </w:rPr>
        <w:t xml:space="preserve">nové </w:t>
      </w:r>
      <w:r w:rsidR="00803A25" w:rsidRPr="00C95380">
        <w:rPr>
          <w:szCs w:val="20"/>
        </w:rPr>
        <w:t>prováděcí právní předpisy</w:t>
      </w:r>
      <w:r w:rsidR="00803A25">
        <w:rPr>
          <w:color w:val="993366"/>
          <w:szCs w:val="20"/>
        </w:rPr>
        <w:t>.</w:t>
      </w:r>
      <w:r w:rsidRPr="00392E8E">
        <w:rPr>
          <w:szCs w:val="20"/>
        </w:rPr>
        <w:t xml:space="preserve"> </w:t>
      </w:r>
      <w:r w:rsidR="00803A25">
        <w:rPr>
          <w:szCs w:val="20"/>
        </w:rPr>
        <w:t>N</w:t>
      </w:r>
      <w:r>
        <w:rPr>
          <w:szCs w:val="20"/>
        </w:rPr>
        <w:t>ově byla také</w:t>
      </w:r>
      <w:r w:rsidRPr="00392E8E">
        <w:rPr>
          <w:szCs w:val="20"/>
        </w:rPr>
        <w:t xml:space="preserve"> stanovena struktura</w:t>
      </w:r>
      <w:r>
        <w:rPr>
          <w:szCs w:val="20"/>
        </w:rPr>
        <w:t xml:space="preserve"> (uspořádání a obsah)</w:t>
      </w:r>
      <w:r w:rsidRPr="00392E8E">
        <w:rPr>
          <w:szCs w:val="20"/>
        </w:rPr>
        <w:t xml:space="preserve"> účetních výkazů. Reforma účetnictví státu je několikaletý proces, každoročně se postupně zavádějí další účetní metody a</w:t>
      </w:r>
      <w:r w:rsidR="00803A25">
        <w:rPr>
          <w:szCs w:val="20"/>
        </w:rPr>
        <w:t> </w:t>
      </w:r>
      <w:r w:rsidRPr="00392E8E">
        <w:rPr>
          <w:szCs w:val="20"/>
        </w:rPr>
        <w:t>postupy, aby informace z účetnictví poskytovaly co nejpřesnější a nejúplnější informace o finanční situaci účetní</w:t>
      </w:r>
      <w:r>
        <w:rPr>
          <w:szCs w:val="20"/>
        </w:rPr>
        <w:t>ch</w:t>
      </w:r>
      <w:r w:rsidRPr="00392E8E">
        <w:rPr>
          <w:szCs w:val="20"/>
        </w:rPr>
        <w:t xml:space="preserve"> jednot</w:t>
      </w:r>
      <w:r>
        <w:rPr>
          <w:szCs w:val="20"/>
        </w:rPr>
        <w:t>e</w:t>
      </w:r>
      <w:r w:rsidRPr="00392E8E">
        <w:rPr>
          <w:szCs w:val="20"/>
        </w:rPr>
        <w:t>k včetně vyhodnocení možných rizik</w:t>
      </w:r>
      <w:r>
        <w:rPr>
          <w:szCs w:val="20"/>
        </w:rPr>
        <w:t>.</w:t>
      </w:r>
      <w:r w:rsidRPr="00392E8E">
        <w:rPr>
          <w:szCs w:val="20"/>
        </w:rPr>
        <w:t xml:space="preserve"> </w:t>
      </w:r>
      <w:r w:rsidRPr="005246F3">
        <w:rPr>
          <w:szCs w:val="20"/>
        </w:rPr>
        <w:t>Např. v r. 2010 začal kraj poprvé na základě ak</w:t>
      </w:r>
      <w:r w:rsidR="00780506">
        <w:rPr>
          <w:szCs w:val="20"/>
        </w:rPr>
        <w:t>r</w:t>
      </w:r>
      <w:r w:rsidRPr="005246F3">
        <w:rPr>
          <w:szCs w:val="20"/>
        </w:rPr>
        <w:t xml:space="preserve">uálního principu účtovat o nákladech, výnosech a výsledku hospodaření, v r. 2011 </w:t>
      </w:r>
      <w:r w:rsidRPr="00C95380">
        <w:rPr>
          <w:szCs w:val="20"/>
        </w:rPr>
        <w:t>došlo k</w:t>
      </w:r>
      <w:r w:rsidR="005246F3" w:rsidRPr="00C95380">
        <w:rPr>
          <w:szCs w:val="20"/>
        </w:rPr>
        <w:t> historicky prvnímu promítnutí vlivu času na opotřebení majetku (jeho hodnotu)</w:t>
      </w:r>
      <w:r w:rsidR="001539DE">
        <w:rPr>
          <w:szCs w:val="20"/>
        </w:rPr>
        <w:t xml:space="preserve"> </w:t>
      </w:r>
      <w:r w:rsidR="005246F3" w:rsidRPr="00C95380">
        <w:rPr>
          <w:szCs w:val="20"/>
        </w:rPr>
        <w:t xml:space="preserve">formou </w:t>
      </w:r>
      <w:r w:rsidRPr="00C95380">
        <w:rPr>
          <w:szCs w:val="20"/>
        </w:rPr>
        <w:t>dooprávkování veškerého majetku kraje (</w:t>
      </w:r>
      <w:r w:rsidR="00C95380">
        <w:rPr>
          <w:szCs w:val="20"/>
        </w:rPr>
        <w:t xml:space="preserve">realizováno jako </w:t>
      </w:r>
      <w:r w:rsidRPr="00C95380">
        <w:rPr>
          <w:szCs w:val="20"/>
        </w:rPr>
        <w:t>změna účetní metody)</w:t>
      </w:r>
      <w:r w:rsidR="005246F3" w:rsidRPr="00C95380">
        <w:rPr>
          <w:szCs w:val="20"/>
        </w:rPr>
        <w:t>. O</w:t>
      </w:r>
      <w:r w:rsidRPr="00C95380">
        <w:rPr>
          <w:szCs w:val="20"/>
        </w:rPr>
        <w:t xml:space="preserve">d r. 2012 </w:t>
      </w:r>
      <w:r w:rsidR="00C80DA2" w:rsidRPr="00C95380">
        <w:rPr>
          <w:szCs w:val="20"/>
        </w:rPr>
        <w:t xml:space="preserve">začal </w:t>
      </w:r>
      <w:r w:rsidRPr="00C95380">
        <w:rPr>
          <w:szCs w:val="20"/>
        </w:rPr>
        <w:t xml:space="preserve">pak kraj odpisovat dlouhodobý majetek do </w:t>
      </w:r>
      <w:r w:rsidRPr="005246F3">
        <w:rPr>
          <w:szCs w:val="20"/>
        </w:rPr>
        <w:t>nákladů</w:t>
      </w:r>
      <w:r w:rsidRPr="00DE7C71">
        <w:rPr>
          <w:szCs w:val="20"/>
        </w:rPr>
        <w:t>.</w:t>
      </w:r>
    </w:p>
    <w:p w:rsidR="00FB3163" w:rsidRDefault="00FB3163" w:rsidP="00FB3163">
      <w:pPr>
        <w:pStyle w:val="Mjtext"/>
        <w:rPr>
          <w:szCs w:val="20"/>
        </w:rPr>
      </w:pPr>
      <w:r w:rsidRPr="00392E8E">
        <w:rPr>
          <w:szCs w:val="20"/>
        </w:rPr>
        <w:t>Kraj vede účetnictví v souladu se zákonnými př</w:t>
      </w:r>
      <w:r w:rsidR="0044109C">
        <w:rPr>
          <w:szCs w:val="20"/>
        </w:rPr>
        <w:t xml:space="preserve">edpisy, tj. zejména se zákonem </w:t>
      </w:r>
      <w:r w:rsidRPr="00392E8E">
        <w:rPr>
          <w:szCs w:val="20"/>
        </w:rPr>
        <w:t>o</w:t>
      </w:r>
      <w:r>
        <w:rPr>
          <w:szCs w:val="20"/>
        </w:rPr>
        <w:t> </w:t>
      </w:r>
      <w:r w:rsidRPr="00392E8E">
        <w:rPr>
          <w:szCs w:val="20"/>
        </w:rPr>
        <w:t>účetnictví, vyhláškou č.</w:t>
      </w:r>
      <w:r w:rsidR="0044109C" w:rsidRPr="0044109C">
        <w:rPr>
          <w:szCs w:val="20"/>
        </w:rPr>
        <w:t xml:space="preserve"> </w:t>
      </w:r>
      <w:r w:rsidR="0044109C" w:rsidRPr="00392E8E">
        <w:rPr>
          <w:szCs w:val="20"/>
        </w:rPr>
        <w:t> </w:t>
      </w:r>
      <w:r w:rsidRPr="00392E8E">
        <w:rPr>
          <w:szCs w:val="20"/>
        </w:rPr>
        <w:t>410/2009 Sb., kterou se provádějí některá ustanovení zákona č.</w:t>
      </w:r>
      <w:r w:rsidR="004802FD">
        <w:rPr>
          <w:szCs w:val="20"/>
        </w:rPr>
        <w:t> </w:t>
      </w:r>
      <w:r w:rsidRPr="00392E8E">
        <w:rPr>
          <w:szCs w:val="20"/>
        </w:rPr>
        <w:t>563/1991</w:t>
      </w:r>
      <w:r w:rsidR="004802FD">
        <w:rPr>
          <w:szCs w:val="20"/>
        </w:rPr>
        <w:t> </w:t>
      </w:r>
      <w:r w:rsidRPr="00392E8E">
        <w:rPr>
          <w:szCs w:val="20"/>
        </w:rPr>
        <w:t>Sb.</w:t>
      </w:r>
      <w:r w:rsidR="00795052">
        <w:rPr>
          <w:szCs w:val="20"/>
        </w:rPr>
        <w:t>, o účetnictví, ve</w:t>
      </w:r>
      <w:r w:rsidR="00C17245">
        <w:rPr>
          <w:szCs w:val="20"/>
        </w:rPr>
        <w:t> </w:t>
      </w:r>
      <w:r w:rsidR="00795052">
        <w:rPr>
          <w:szCs w:val="20"/>
        </w:rPr>
        <w:t xml:space="preserve">znění pozdějších předpisů, pro některé vybrané účetní jednotky </w:t>
      </w:r>
      <w:r w:rsidR="0044109C">
        <w:rPr>
          <w:szCs w:val="20"/>
        </w:rPr>
        <w:t xml:space="preserve">(dále jen </w:t>
      </w:r>
      <w:r w:rsidR="00F63D94">
        <w:rPr>
          <w:szCs w:val="20"/>
        </w:rPr>
        <w:t>„</w:t>
      </w:r>
      <w:r w:rsidR="0044109C">
        <w:rPr>
          <w:szCs w:val="20"/>
        </w:rPr>
        <w:t>vy</w:t>
      </w:r>
      <w:r w:rsidR="00F63D94">
        <w:rPr>
          <w:szCs w:val="20"/>
        </w:rPr>
        <w:t>h</w:t>
      </w:r>
      <w:r w:rsidR="0044109C">
        <w:rPr>
          <w:szCs w:val="20"/>
        </w:rPr>
        <w:t>láška č.</w:t>
      </w:r>
      <w:r w:rsidR="00C17245">
        <w:rPr>
          <w:szCs w:val="20"/>
        </w:rPr>
        <w:t> </w:t>
      </w:r>
      <w:r w:rsidR="0044109C">
        <w:rPr>
          <w:szCs w:val="20"/>
        </w:rPr>
        <w:t>410/2009</w:t>
      </w:r>
      <w:r w:rsidR="00C17245">
        <w:rPr>
          <w:szCs w:val="20"/>
        </w:rPr>
        <w:t> </w:t>
      </w:r>
      <w:r w:rsidR="0044109C">
        <w:rPr>
          <w:szCs w:val="20"/>
        </w:rPr>
        <w:t>Sb.“</w:t>
      </w:r>
      <w:r w:rsidR="00795052">
        <w:rPr>
          <w:szCs w:val="20"/>
        </w:rPr>
        <w:t>)</w:t>
      </w:r>
      <w:r w:rsidRPr="00392E8E">
        <w:rPr>
          <w:szCs w:val="20"/>
        </w:rPr>
        <w:t xml:space="preserve"> a Českými účetními standard</w:t>
      </w:r>
      <w:r>
        <w:rPr>
          <w:szCs w:val="20"/>
        </w:rPr>
        <w:t xml:space="preserve">y pro </w:t>
      </w:r>
      <w:r w:rsidR="00795052">
        <w:rPr>
          <w:szCs w:val="20"/>
        </w:rPr>
        <w:t xml:space="preserve">některé </w:t>
      </w:r>
      <w:r>
        <w:rPr>
          <w:szCs w:val="20"/>
        </w:rPr>
        <w:t>vybrané účetní jednotky</w:t>
      </w:r>
      <w:r w:rsidR="00795052">
        <w:rPr>
          <w:szCs w:val="20"/>
        </w:rPr>
        <w:t>, které vedou účetnictví podle vyhlášky č. 410/2009 Sb.</w:t>
      </w:r>
      <w:r>
        <w:rPr>
          <w:szCs w:val="20"/>
        </w:rPr>
        <w:t xml:space="preserve"> (</w:t>
      </w:r>
      <w:r w:rsidR="00F63D94">
        <w:rPr>
          <w:szCs w:val="20"/>
        </w:rPr>
        <w:t>dále jen „</w:t>
      </w:r>
      <w:r w:rsidRPr="00392E8E">
        <w:rPr>
          <w:szCs w:val="20"/>
        </w:rPr>
        <w:t>ČÚS</w:t>
      </w:r>
      <w:r w:rsidR="00F63D94">
        <w:rPr>
          <w:szCs w:val="20"/>
        </w:rPr>
        <w:t>“</w:t>
      </w:r>
      <w:r w:rsidRPr="00392E8E">
        <w:rPr>
          <w:szCs w:val="20"/>
        </w:rPr>
        <w:t>) – v r.</w:t>
      </w:r>
      <w:r w:rsidR="00F63D94" w:rsidRPr="00392E8E">
        <w:rPr>
          <w:szCs w:val="20"/>
        </w:rPr>
        <w:t> </w:t>
      </w:r>
      <w:r w:rsidRPr="00392E8E">
        <w:rPr>
          <w:szCs w:val="20"/>
        </w:rPr>
        <w:t>201</w:t>
      </w:r>
      <w:r w:rsidR="00001D5D">
        <w:rPr>
          <w:szCs w:val="20"/>
        </w:rPr>
        <w:t>3</w:t>
      </w:r>
      <w:r w:rsidRPr="00392E8E">
        <w:rPr>
          <w:szCs w:val="20"/>
        </w:rPr>
        <w:t xml:space="preserve"> to byly ČÚS č. 701 až 7</w:t>
      </w:r>
      <w:r w:rsidR="00001D5D">
        <w:rPr>
          <w:szCs w:val="20"/>
        </w:rPr>
        <w:t>10</w:t>
      </w:r>
      <w:r w:rsidRPr="00392E8E">
        <w:rPr>
          <w:szCs w:val="20"/>
        </w:rPr>
        <w:t xml:space="preserve">. Dále se účetnictví </w:t>
      </w:r>
      <w:r w:rsidR="00001D5D">
        <w:rPr>
          <w:szCs w:val="20"/>
        </w:rPr>
        <w:t xml:space="preserve">kraje </w:t>
      </w:r>
      <w:r w:rsidRPr="00392E8E">
        <w:rPr>
          <w:szCs w:val="20"/>
        </w:rPr>
        <w:t>řídí vnitřními směrnicemi, zejména Směrnicí k oběhu účetních dokladů a</w:t>
      </w:r>
      <w:r>
        <w:rPr>
          <w:szCs w:val="20"/>
        </w:rPr>
        <w:t> </w:t>
      </w:r>
      <w:r w:rsidRPr="00392E8E">
        <w:rPr>
          <w:szCs w:val="20"/>
        </w:rPr>
        <w:t>vedení účetnictví, Směrnicí k </w:t>
      </w:r>
      <w:r>
        <w:rPr>
          <w:szCs w:val="20"/>
        </w:rPr>
        <w:t xml:space="preserve"> </w:t>
      </w:r>
      <w:r w:rsidRPr="00392E8E">
        <w:rPr>
          <w:szCs w:val="20"/>
        </w:rPr>
        <w:t xml:space="preserve">inventarizaci, Směrnicí pro správu a evidenci majetku </w:t>
      </w:r>
      <w:r>
        <w:rPr>
          <w:szCs w:val="20"/>
        </w:rPr>
        <w:t>MSK</w:t>
      </w:r>
      <w:r w:rsidRPr="00392E8E">
        <w:rPr>
          <w:szCs w:val="20"/>
        </w:rPr>
        <w:t>, Směrnicí k vnitřnímu kontrolnímu systému a Směrnicí o správě pohledávek. Účetní závěrk</w:t>
      </w:r>
      <w:r w:rsidR="00E15307">
        <w:rPr>
          <w:szCs w:val="20"/>
        </w:rPr>
        <w:t>a k rozvahovému dni 31.</w:t>
      </w:r>
      <w:r w:rsidR="00795052">
        <w:rPr>
          <w:szCs w:val="20"/>
        </w:rPr>
        <w:t> </w:t>
      </w:r>
      <w:r w:rsidR="00E15307">
        <w:rPr>
          <w:szCs w:val="20"/>
        </w:rPr>
        <w:t>12.</w:t>
      </w:r>
      <w:r w:rsidR="00795052">
        <w:rPr>
          <w:szCs w:val="20"/>
        </w:rPr>
        <w:t> </w:t>
      </w:r>
      <w:r w:rsidR="00E15307">
        <w:rPr>
          <w:szCs w:val="20"/>
        </w:rPr>
        <w:t>2013</w:t>
      </w:r>
      <w:r w:rsidRPr="00392E8E">
        <w:rPr>
          <w:szCs w:val="20"/>
        </w:rPr>
        <w:t xml:space="preserve"> byla sestavena v</w:t>
      </w:r>
      <w:r>
        <w:rPr>
          <w:szCs w:val="20"/>
        </w:rPr>
        <w:t>e stanoveném</w:t>
      </w:r>
      <w:r w:rsidRPr="00392E8E">
        <w:rPr>
          <w:szCs w:val="20"/>
        </w:rPr>
        <w:t> termínu (termíny pro zpracování a</w:t>
      </w:r>
      <w:r w:rsidR="004802FD">
        <w:rPr>
          <w:szCs w:val="20"/>
        </w:rPr>
        <w:t> </w:t>
      </w:r>
      <w:r w:rsidRPr="00392E8E">
        <w:rPr>
          <w:szCs w:val="20"/>
        </w:rPr>
        <w:t>předávání výkazů stanoví vyhláška č.</w:t>
      </w:r>
      <w:r w:rsidR="00795052">
        <w:rPr>
          <w:szCs w:val="20"/>
        </w:rPr>
        <w:t> </w:t>
      </w:r>
      <w:r w:rsidRPr="00392E8E">
        <w:rPr>
          <w:szCs w:val="20"/>
        </w:rPr>
        <w:t>383/2009</w:t>
      </w:r>
      <w:r w:rsidR="00795052">
        <w:rPr>
          <w:szCs w:val="20"/>
        </w:rPr>
        <w:t> </w:t>
      </w:r>
      <w:r w:rsidRPr="00392E8E">
        <w:rPr>
          <w:szCs w:val="20"/>
        </w:rPr>
        <w:t>Sb.</w:t>
      </w:r>
      <w:r w:rsidR="00F63D94">
        <w:rPr>
          <w:szCs w:val="20"/>
        </w:rPr>
        <w:t>, o účetních záznamech v technické formě vybraných účetních jednotek a jejich předávání do centrální</w:t>
      </w:r>
      <w:r w:rsidR="001F7CF1">
        <w:rPr>
          <w:szCs w:val="20"/>
        </w:rPr>
        <w:t>ho</w:t>
      </w:r>
      <w:r w:rsidR="00F63D94">
        <w:rPr>
          <w:szCs w:val="20"/>
        </w:rPr>
        <w:t xml:space="preserve"> systému účetních informací státu a o požadavcích na</w:t>
      </w:r>
      <w:r w:rsidR="00CE67F4">
        <w:rPr>
          <w:szCs w:val="20"/>
        </w:rPr>
        <w:t> </w:t>
      </w:r>
      <w:r w:rsidR="00F63D94">
        <w:rPr>
          <w:szCs w:val="20"/>
        </w:rPr>
        <w:t>technické a smíšené formy účetních záznamů (technická vyhláška o účetních záznamech)</w:t>
      </w:r>
      <w:r w:rsidR="001F7CF1">
        <w:rPr>
          <w:szCs w:val="20"/>
        </w:rPr>
        <w:t>, ve znění pozdějších předpisů</w:t>
      </w:r>
      <w:r w:rsidR="007E3DDD">
        <w:rPr>
          <w:szCs w:val="20"/>
        </w:rPr>
        <w:t xml:space="preserve">, </w:t>
      </w:r>
      <w:r w:rsidR="00F63D94">
        <w:rPr>
          <w:szCs w:val="20"/>
        </w:rPr>
        <w:t>(dále jen „vyhláška 383/2009 Sb.“</w:t>
      </w:r>
      <w:r w:rsidRPr="00392E8E">
        <w:rPr>
          <w:szCs w:val="20"/>
        </w:rPr>
        <w:t xml:space="preserve">) a dne </w:t>
      </w:r>
      <w:r w:rsidRPr="001937BA">
        <w:rPr>
          <w:szCs w:val="20"/>
        </w:rPr>
        <w:t>2</w:t>
      </w:r>
      <w:r w:rsidR="00F63D94">
        <w:rPr>
          <w:szCs w:val="20"/>
        </w:rPr>
        <w:t>4</w:t>
      </w:r>
      <w:r w:rsidRPr="001937BA">
        <w:rPr>
          <w:szCs w:val="20"/>
        </w:rPr>
        <w:t>.</w:t>
      </w:r>
      <w:r w:rsidR="001937BA">
        <w:rPr>
          <w:szCs w:val="20"/>
        </w:rPr>
        <w:t> </w:t>
      </w:r>
      <w:r w:rsidRPr="001937BA">
        <w:rPr>
          <w:szCs w:val="20"/>
        </w:rPr>
        <w:t>2.</w:t>
      </w:r>
      <w:r w:rsidR="001937BA">
        <w:rPr>
          <w:szCs w:val="20"/>
        </w:rPr>
        <w:t> </w:t>
      </w:r>
      <w:r w:rsidRPr="001937BA">
        <w:rPr>
          <w:szCs w:val="20"/>
        </w:rPr>
        <w:t>201</w:t>
      </w:r>
      <w:r w:rsidR="00E15307" w:rsidRPr="001937BA">
        <w:rPr>
          <w:szCs w:val="20"/>
        </w:rPr>
        <w:t>4</w:t>
      </w:r>
      <w:r w:rsidR="00F63D94">
        <w:rPr>
          <w:szCs w:val="20"/>
        </w:rPr>
        <w:t xml:space="preserve"> a 25.</w:t>
      </w:r>
      <w:r w:rsidR="00F63D94" w:rsidRPr="00392E8E">
        <w:rPr>
          <w:szCs w:val="20"/>
        </w:rPr>
        <w:t> </w:t>
      </w:r>
      <w:r w:rsidR="00F63D94">
        <w:rPr>
          <w:szCs w:val="20"/>
        </w:rPr>
        <w:t>2.</w:t>
      </w:r>
      <w:r w:rsidR="00F63D94" w:rsidRPr="00392E8E">
        <w:rPr>
          <w:szCs w:val="20"/>
        </w:rPr>
        <w:t> </w:t>
      </w:r>
      <w:r w:rsidR="00F63D94">
        <w:rPr>
          <w:szCs w:val="20"/>
        </w:rPr>
        <w:t>2014</w:t>
      </w:r>
      <w:r>
        <w:rPr>
          <w:szCs w:val="20"/>
        </w:rPr>
        <w:t xml:space="preserve"> byly výkazy</w:t>
      </w:r>
      <w:r w:rsidRPr="00392E8E">
        <w:rPr>
          <w:szCs w:val="20"/>
        </w:rPr>
        <w:t xml:space="preserve"> vložen</w:t>
      </w:r>
      <w:r>
        <w:rPr>
          <w:szCs w:val="20"/>
        </w:rPr>
        <w:t>y</w:t>
      </w:r>
      <w:r w:rsidRPr="00392E8E">
        <w:rPr>
          <w:szCs w:val="20"/>
        </w:rPr>
        <w:t xml:space="preserve"> do</w:t>
      </w:r>
      <w:r w:rsidR="004802FD">
        <w:rPr>
          <w:szCs w:val="20"/>
        </w:rPr>
        <w:t> </w:t>
      </w:r>
      <w:r w:rsidRPr="00392E8E">
        <w:rPr>
          <w:szCs w:val="20"/>
        </w:rPr>
        <w:t>Centrálního systému účetních informací státu (CSÚIS). Kraj od r.</w:t>
      </w:r>
      <w:r w:rsidR="001937BA">
        <w:rPr>
          <w:szCs w:val="20"/>
        </w:rPr>
        <w:t> </w:t>
      </w:r>
      <w:r w:rsidRPr="00392E8E">
        <w:rPr>
          <w:szCs w:val="20"/>
        </w:rPr>
        <w:t xml:space="preserve">2012 </w:t>
      </w:r>
      <w:r w:rsidR="00501C44">
        <w:rPr>
          <w:szCs w:val="20"/>
        </w:rPr>
        <w:t xml:space="preserve">zpracovává </w:t>
      </w:r>
      <w:r w:rsidRPr="00392E8E">
        <w:rPr>
          <w:szCs w:val="20"/>
        </w:rPr>
        <w:t>Pomocný analytický přehled</w:t>
      </w:r>
      <w:r>
        <w:rPr>
          <w:szCs w:val="20"/>
        </w:rPr>
        <w:t xml:space="preserve"> (PAP)</w:t>
      </w:r>
      <w:r w:rsidRPr="00392E8E">
        <w:rPr>
          <w:szCs w:val="20"/>
        </w:rPr>
        <w:t xml:space="preserve">, který byl také </w:t>
      </w:r>
      <w:r w:rsidR="001937BA" w:rsidRPr="001937BA">
        <w:rPr>
          <w:szCs w:val="20"/>
        </w:rPr>
        <w:t>25</w:t>
      </w:r>
      <w:r w:rsidR="00C80DA2" w:rsidRPr="001937BA">
        <w:rPr>
          <w:szCs w:val="20"/>
        </w:rPr>
        <w:t>.</w:t>
      </w:r>
      <w:r w:rsidR="001937BA">
        <w:rPr>
          <w:szCs w:val="20"/>
        </w:rPr>
        <w:t> </w:t>
      </w:r>
      <w:r w:rsidR="00C80DA2" w:rsidRPr="001937BA">
        <w:rPr>
          <w:szCs w:val="20"/>
        </w:rPr>
        <w:t>2.</w:t>
      </w:r>
      <w:r w:rsidR="001937BA">
        <w:rPr>
          <w:szCs w:val="20"/>
        </w:rPr>
        <w:t> </w:t>
      </w:r>
      <w:r w:rsidR="00C80DA2" w:rsidRPr="001937BA">
        <w:rPr>
          <w:szCs w:val="20"/>
        </w:rPr>
        <w:t>201</w:t>
      </w:r>
      <w:r w:rsidR="00501C44" w:rsidRPr="001937BA">
        <w:rPr>
          <w:szCs w:val="20"/>
        </w:rPr>
        <w:t>4</w:t>
      </w:r>
      <w:r w:rsidR="00C80DA2">
        <w:rPr>
          <w:szCs w:val="20"/>
        </w:rPr>
        <w:t xml:space="preserve"> </w:t>
      </w:r>
      <w:r w:rsidR="00C95380">
        <w:rPr>
          <w:szCs w:val="20"/>
        </w:rPr>
        <w:t xml:space="preserve">zaslán </w:t>
      </w:r>
      <w:r>
        <w:rPr>
          <w:szCs w:val="20"/>
        </w:rPr>
        <w:t>do CSÚIS. Měsíčně se dále zpracovává a</w:t>
      </w:r>
      <w:r w:rsidR="004802FD">
        <w:rPr>
          <w:szCs w:val="20"/>
        </w:rPr>
        <w:t> </w:t>
      </w:r>
      <w:r>
        <w:rPr>
          <w:szCs w:val="20"/>
        </w:rPr>
        <w:t>zasílá do CSÚIS výkaz o plnění rozpočtu FIN 2-</w:t>
      </w:r>
      <w:smartTag w:uri="urn:schemas-microsoft-com:office:smarttags" w:element="metricconverter">
        <w:smartTagPr>
          <w:attr w:name="ProductID" w:val="12 M"/>
        </w:smartTagPr>
        <w:r>
          <w:rPr>
            <w:szCs w:val="20"/>
          </w:rPr>
          <w:t>12 M</w:t>
        </w:r>
        <w:r w:rsidR="00F63D94">
          <w:rPr>
            <w:szCs w:val="20"/>
          </w:rPr>
          <w:t xml:space="preserve">; </w:t>
        </w:r>
      </w:smartTag>
      <w:r>
        <w:rPr>
          <w:szCs w:val="20"/>
        </w:rPr>
        <w:t>termíny stanovuje vyhláška č.</w:t>
      </w:r>
      <w:r w:rsidR="00F63D94">
        <w:rPr>
          <w:szCs w:val="20"/>
        </w:rPr>
        <w:t> </w:t>
      </w:r>
      <w:r>
        <w:rPr>
          <w:szCs w:val="20"/>
        </w:rPr>
        <w:t>449/2009 Sb.</w:t>
      </w:r>
      <w:r w:rsidR="00795052">
        <w:rPr>
          <w:szCs w:val="20"/>
        </w:rPr>
        <w:t>, o </w:t>
      </w:r>
      <w:r w:rsidR="00F63D94">
        <w:rPr>
          <w:szCs w:val="20"/>
        </w:rPr>
        <w:t>způsobu, termínech a rozsahu údajů předkládaných pro hodnocení plnění státního rozpočtu, rozpočtů státních fondů, rozpočtů územních samosprávných celků, rozpočtů dobrovolných svazků obcí a rozpočtů Regionálních rad regionů soudržnosti</w:t>
      </w:r>
      <w:r w:rsidR="001F7CF1">
        <w:rPr>
          <w:szCs w:val="20"/>
        </w:rPr>
        <w:t>, ve znění pozdějších předpisů (dále jen „vyhláška č. 449/2009 Sb.</w:t>
      </w:r>
      <w:r w:rsidR="00795052">
        <w:rPr>
          <w:szCs w:val="20"/>
        </w:rPr>
        <w:t>“</w:t>
      </w:r>
      <w:r w:rsidR="001F7CF1">
        <w:rPr>
          <w:szCs w:val="20"/>
        </w:rPr>
        <w:t>)</w:t>
      </w:r>
      <w:r>
        <w:rPr>
          <w:szCs w:val="20"/>
        </w:rPr>
        <w:t xml:space="preserve">, tento roční výkaz byl </w:t>
      </w:r>
      <w:r w:rsidR="001E674A">
        <w:rPr>
          <w:szCs w:val="20"/>
        </w:rPr>
        <w:t xml:space="preserve">rovněž </w:t>
      </w:r>
      <w:r>
        <w:rPr>
          <w:szCs w:val="20"/>
        </w:rPr>
        <w:t>v termínu zpracován a zaslán</w:t>
      </w:r>
      <w:r w:rsidR="00C80DA2">
        <w:rPr>
          <w:szCs w:val="20"/>
        </w:rPr>
        <w:t xml:space="preserve"> </w:t>
      </w:r>
      <w:r w:rsidR="001F7CF1">
        <w:rPr>
          <w:szCs w:val="20"/>
        </w:rPr>
        <w:t xml:space="preserve">dne </w:t>
      </w:r>
      <w:r w:rsidR="001937BA" w:rsidRPr="001937BA">
        <w:rPr>
          <w:szCs w:val="20"/>
        </w:rPr>
        <w:t>7</w:t>
      </w:r>
      <w:r w:rsidR="001937BA">
        <w:rPr>
          <w:szCs w:val="20"/>
        </w:rPr>
        <w:t>. </w:t>
      </w:r>
      <w:r w:rsidR="00C80DA2" w:rsidRPr="001937BA">
        <w:rPr>
          <w:szCs w:val="20"/>
        </w:rPr>
        <w:t>2.</w:t>
      </w:r>
      <w:r w:rsidR="001937BA">
        <w:rPr>
          <w:szCs w:val="20"/>
        </w:rPr>
        <w:t> </w:t>
      </w:r>
      <w:r w:rsidR="00C80DA2" w:rsidRPr="001937BA">
        <w:rPr>
          <w:szCs w:val="20"/>
        </w:rPr>
        <w:t>201</w:t>
      </w:r>
      <w:r w:rsidR="00501C44" w:rsidRPr="001937BA">
        <w:rPr>
          <w:szCs w:val="20"/>
        </w:rPr>
        <w:t>4</w:t>
      </w:r>
      <w:r w:rsidR="00795052">
        <w:rPr>
          <w:szCs w:val="20"/>
        </w:rPr>
        <w:t xml:space="preserve"> do </w:t>
      </w:r>
      <w:r>
        <w:rPr>
          <w:szCs w:val="20"/>
        </w:rPr>
        <w:t xml:space="preserve">CSÚIS. </w:t>
      </w:r>
    </w:p>
    <w:p w:rsidR="00175A9B" w:rsidRDefault="005246F3" w:rsidP="00700BCB">
      <w:pPr>
        <w:pStyle w:val="Mjtext"/>
        <w:rPr>
          <w:szCs w:val="20"/>
        </w:rPr>
      </w:pPr>
      <w:r w:rsidRPr="00C95380">
        <w:rPr>
          <w:szCs w:val="20"/>
        </w:rPr>
        <w:t>Od r.</w:t>
      </w:r>
      <w:r w:rsidR="001937BA">
        <w:rPr>
          <w:szCs w:val="20"/>
        </w:rPr>
        <w:t> </w:t>
      </w:r>
      <w:r w:rsidRPr="00C95380">
        <w:rPr>
          <w:szCs w:val="20"/>
        </w:rPr>
        <w:t>2013 je kraj povinen schvalovat ú</w:t>
      </w:r>
      <w:r w:rsidR="00700BCB" w:rsidRPr="00C95380">
        <w:rPr>
          <w:szCs w:val="20"/>
        </w:rPr>
        <w:t>četní závěrku</w:t>
      </w:r>
      <w:r w:rsidRPr="00C95380">
        <w:rPr>
          <w:szCs w:val="20"/>
        </w:rPr>
        <w:t xml:space="preserve"> zastupitelstvem kraje, a to</w:t>
      </w:r>
      <w:r w:rsidR="00700BCB" w:rsidRPr="00C95380">
        <w:rPr>
          <w:szCs w:val="20"/>
        </w:rPr>
        <w:t xml:space="preserve"> na základě zákona č.</w:t>
      </w:r>
      <w:r w:rsidRPr="00C95380">
        <w:rPr>
          <w:szCs w:val="20"/>
        </w:rPr>
        <w:t> </w:t>
      </w:r>
      <w:r w:rsidR="00700BCB" w:rsidRPr="00C95380">
        <w:rPr>
          <w:szCs w:val="20"/>
        </w:rPr>
        <w:t>129/2000 Sb.</w:t>
      </w:r>
      <w:r w:rsidR="007E3DDD">
        <w:rPr>
          <w:szCs w:val="20"/>
        </w:rPr>
        <w:t>, o krajích (krajské zřízení), ve znění pozdějších předpisů</w:t>
      </w:r>
      <w:r w:rsidR="00700BCB" w:rsidRPr="00C95380">
        <w:rPr>
          <w:szCs w:val="20"/>
        </w:rPr>
        <w:t xml:space="preserve"> (§ 35, odst</w:t>
      </w:r>
      <w:r w:rsidR="00100326" w:rsidRPr="00C95380">
        <w:rPr>
          <w:szCs w:val="20"/>
        </w:rPr>
        <w:t>.</w:t>
      </w:r>
      <w:r w:rsidR="00700BCB" w:rsidRPr="00C95380">
        <w:rPr>
          <w:szCs w:val="20"/>
        </w:rPr>
        <w:t xml:space="preserve"> 2, písm. i)</w:t>
      </w:r>
      <w:r w:rsidRPr="00C95380">
        <w:rPr>
          <w:szCs w:val="20"/>
        </w:rPr>
        <w:t>.</w:t>
      </w:r>
      <w:r w:rsidR="00700BCB" w:rsidRPr="00C95380">
        <w:rPr>
          <w:szCs w:val="20"/>
        </w:rPr>
        <w:t xml:space="preserve"> </w:t>
      </w:r>
      <w:r w:rsidR="0079028A">
        <w:rPr>
          <w:szCs w:val="20"/>
        </w:rPr>
        <w:t>Schvalování účetních závěrek vybraných účetních jednotek upravuje vyhláška č.</w:t>
      </w:r>
      <w:r w:rsidR="001937BA">
        <w:rPr>
          <w:szCs w:val="20"/>
        </w:rPr>
        <w:t xml:space="preserve"> 220/2013 Sb.</w:t>
      </w:r>
      <w:r w:rsidR="007E3DDD">
        <w:rPr>
          <w:szCs w:val="20"/>
        </w:rPr>
        <w:t>, o požadavcích na schvalování účetních závěrek některých vybraných účetních jednotek</w:t>
      </w:r>
      <w:r w:rsidR="001937BA">
        <w:rPr>
          <w:szCs w:val="20"/>
        </w:rPr>
        <w:t>;</w:t>
      </w:r>
      <w:r w:rsidR="00842B46">
        <w:rPr>
          <w:szCs w:val="20"/>
        </w:rPr>
        <w:t xml:space="preserve"> postup schvalování účetních závěrek </w:t>
      </w:r>
      <w:r w:rsidR="000E2CE0">
        <w:rPr>
          <w:szCs w:val="20"/>
        </w:rPr>
        <w:t>je upraven také ve vnitřním předpise, a to v čl. 12 Jednacího řádu zastupitelstva a výborů zastupitelstva kraje, úkoly výborů zastupitelstva kraje.</w:t>
      </w:r>
    </w:p>
    <w:p w:rsidR="00175A9B" w:rsidRDefault="00175A9B">
      <w:pPr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3563B" w:rsidRPr="00086342" w:rsidRDefault="0043563B" w:rsidP="00FB3163">
      <w:pPr>
        <w:pStyle w:val="Nadpis2"/>
      </w:pPr>
      <w:bookmarkStart w:id="13" w:name="_Toc388005062"/>
      <w:r w:rsidRPr="00086342">
        <w:lastRenderedPageBreak/>
        <w:t xml:space="preserve">Inventarizace </w:t>
      </w:r>
      <w:r w:rsidR="00FB3163" w:rsidRPr="00086342">
        <w:t>majetku</w:t>
      </w:r>
      <w:r w:rsidRPr="00086342">
        <w:t xml:space="preserve"> a závazků</w:t>
      </w:r>
      <w:bookmarkEnd w:id="13"/>
    </w:p>
    <w:p w:rsidR="00F87C21" w:rsidRDefault="0043563B" w:rsidP="0043563B">
      <w:pPr>
        <w:pStyle w:val="Mjtext"/>
      </w:pPr>
      <w:r>
        <w:t>Jednou ze základních povinností ve vztahu k účetní závěrce je průkaznost vykazovaných hodnot. V případě položek rozvahy a podrozvahy je průkaznost zajišťován</w:t>
      </w:r>
      <w:r w:rsidR="00797A79">
        <w:t>a</w:t>
      </w:r>
      <w:r>
        <w:t xml:space="preserve"> prostřednictvím inventarizací. Účetní jednotky inventarizací zjišťují skutečný stav veškerého majetku a závazků a ověřují, zda zjištěný stav odpovídá stavu majetku a závazků </w:t>
      </w:r>
      <w:r w:rsidR="00FC47C6">
        <w:t xml:space="preserve">vykázaných </w:t>
      </w:r>
      <w:r>
        <w:t>v účetnictví.</w:t>
      </w:r>
      <w:r w:rsidR="007A5B75">
        <w:t xml:space="preserve"> </w:t>
      </w:r>
    </w:p>
    <w:p w:rsidR="00F87C21" w:rsidRPr="00E51D58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 xml:space="preserve">Povinnost kraje jako účetní jednotky inventarizovat majetek a závazky byla splněna v souladu s ustanoveními § 6, 29 a 30 zákona o účetnictví, prováděcí vyhláškou č. </w:t>
      </w:r>
      <w:r w:rsidR="00554A1A">
        <w:rPr>
          <w:szCs w:val="20"/>
        </w:rPr>
        <w:t>270/2010 Sb., o inventarizaci</w:t>
      </w:r>
      <w:r w:rsidR="00175A9B">
        <w:rPr>
          <w:szCs w:val="20"/>
        </w:rPr>
        <w:t xml:space="preserve"> majetku a závazků</w:t>
      </w:r>
      <w:r w:rsidR="009D6019">
        <w:rPr>
          <w:szCs w:val="20"/>
        </w:rPr>
        <w:t>,</w:t>
      </w:r>
      <w:r w:rsidR="00175A9B">
        <w:rPr>
          <w:szCs w:val="20"/>
        </w:rPr>
        <w:t xml:space="preserve"> </w:t>
      </w:r>
      <w:r w:rsidRPr="00E51D58">
        <w:rPr>
          <w:szCs w:val="20"/>
        </w:rPr>
        <w:t>vnitřní</w:t>
      </w:r>
      <w:r w:rsidR="00554A1A">
        <w:rPr>
          <w:szCs w:val="20"/>
        </w:rPr>
        <w:t>m</w:t>
      </w:r>
      <w:r w:rsidRPr="00E51D58">
        <w:rPr>
          <w:szCs w:val="20"/>
        </w:rPr>
        <w:t xml:space="preserve"> předpis</w:t>
      </w:r>
      <w:r w:rsidR="00554A1A">
        <w:rPr>
          <w:szCs w:val="20"/>
        </w:rPr>
        <w:t>em</w:t>
      </w:r>
      <w:r w:rsidRPr="00E51D58">
        <w:rPr>
          <w:szCs w:val="20"/>
        </w:rPr>
        <w:t xml:space="preserve"> č. 24, kterým se vydává Směrnice k inventarizaci a vydaný</w:t>
      </w:r>
      <w:r w:rsidR="00554A1A">
        <w:rPr>
          <w:szCs w:val="20"/>
        </w:rPr>
        <w:t>m</w:t>
      </w:r>
      <w:r w:rsidRPr="00E51D58">
        <w:rPr>
          <w:szCs w:val="20"/>
        </w:rPr>
        <w:t xml:space="preserve"> plán</w:t>
      </w:r>
      <w:r w:rsidR="00554A1A">
        <w:rPr>
          <w:szCs w:val="20"/>
        </w:rPr>
        <w:t>em</w:t>
      </w:r>
      <w:r w:rsidRPr="00E51D58">
        <w:rPr>
          <w:szCs w:val="20"/>
        </w:rPr>
        <w:t xml:space="preserve"> inventur k provedení inventarizace majetku a závazků Moravskoslezského kraje k rozvahovému dni 31. 12. 201</w:t>
      </w:r>
      <w:r w:rsidR="00FC47C6">
        <w:rPr>
          <w:szCs w:val="20"/>
        </w:rPr>
        <w:t>3</w:t>
      </w:r>
      <w:r w:rsidRPr="00E51D58">
        <w:rPr>
          <w:szCs w:val="20"/>
        </w:rPr>
        <w:t xml:space="preserve">. </w:t>
      </w:r>
    </w:p>
    <w:p w:rsidR="00F87C21" w:rsidRPr="00E51D58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>Dlouhodobý hmotný a nehmotný majetek včetně drobného, dlouhodobý finanční majetek, ostatní majetek, pohledávky, závazky, ostatní aktiva a pasiva i podrozvahové účty byly inventarizová</w:t>
      </w:r>
      <w:r w:rsidR="00FC47C6">
        <w:rPr>
          <w:szCs w:val="20"/>
        </w:rPr>
        <w:t>ny k rozhodnému dni 31. 12. 2013</w:t>
      </w:r>
      <w:r w:rsidRPr="00E51D58">
        <w:rPr>
          <w:szCs w:val="20"/>
        </w:rPr>
        <w:t>. Fyzické inventury hmotného majetku v užívání orgánů kraje byly provedeny pomocí elektronických snímacích zařízení (</w:t>
      </w:r>
      <w:r w:rsidRPr="00086342">
        <w:rPr>
          <w:szCs w:val="20"/>
        </w:rPr>
        <w:t>čteč</w:t>
      </w:r>
      <w:r w:rsidR="00FC47C6" w:rsidRPr="00086342">
        <w:rPr>
          <w:szCs w:val="20"/>
        </w:rPr>
        <w:t>ky a tablety</w:t>
      </w:r>
      <w:r w:rsidRPr="00086342">
        <w:rPr>
          <w:szCs w:val="20"/>
        </w:rPr>
        <w:t>)</w:t>
      </w:r>
      <w:r w:rsidRPr="00E51D58">
        <w:rPr>
          <w:szCs w:val="20"/>
        </w:rPr>
        <w:t xml:space="preserve"> – celkem bylo </w:t>
      </w:r>
      <w:r w:rsidR="00FC47C6">
        <w:rPr>
          <w:szCs w:val="20"/>
        </w:rPr>
        <w:t xml:space="preserve">snímacím zařízením </w:t>
      </w:r>
      <w:r w:rsidRPr="00E51D58">
        <w:rPr>
          <w:szCs w:val="20"/>
        </w:rPr>
        <w:t xml:space="preserve">zinventarizováno </w:t>
      </w:r>
      <w:r w:rsidRPr="00086342">
        <w:rPr>
          <w:szCs w:val="20"/>
        </w:rPr>
        <w:t>15</w:t>
      </w:r>
      <w:r w:rsidR="00B046DC" w:rsidRPr="00086342">
        <w:rPr>
          <w:szCs w:val="20"/>
        </w:rPr>
        <w:t>.</w:t>
      </w:r>
      <w:r w:rsidR="00086342" w:rsidRPr="00086342">
        <w:rPr>
          <w:szCs w:val="20"/>
        </w:rPr>
        <w:t>630</w:t>
      </w:r>
      <w:r w:rsidRPr="00086342">
        <w:rPr>
          <w:szCs w:val="20"/>
        </w:rPr>
        <w:t xml:space="preserve"> položek</w:t>
      </w:r>
      <w:r w:rsidRPr="00E51D58">
        <w:rPr>
          <w:szCs w:val="20"/>
        </w:rPr>
        <w:t xml:space="preserve"> v celkové hodnotě </w:t>
      </w:r>
      <w:r w:rsidR="00086342" w:rsidRPr="00086342">
        <w:rPr>
          <w:szCs w:val="20"/>
        </w:rPr>
        <w:t>257.992</w:t>
      </w:r>
      <w:r w:rsidRPr="00086342">
        <w:rPr>
          <w:szCs w:val="20"/>
        </w:rPr>
        <w:t> tis. Kč.</w:t>
      </w:r>
      <w:r w:rsidRPr="00E51D58">
        <w:rPr>
          <w:szCs w:val="20"/>
        </w:rPr>
        <w:t xml:space="preserve"> Ostatní položky byly inventarizovány dokladově, fyzicky nebo kombinovanou metodou. Celkem bylo zinventarizováno </w:t>
      </w:r>
      <w:r w:rsidR="00086342" w:rsidRPr="00086342">
        <w:rPr>
          <w:szCs w:val="20"/>
        </w:rPr>
        <w:t>721</w:t>
      </w:r>
      <w:r w:rsidRPr="00086342">
        <w:rPr>
          <w:szCs w:val="20"/>
        </w:rPr>
        <w:t xml:space="preserve"> analytických účtů s vykazovanou hodnotou aktiv a pasiv v rozvaze i podrozvaze v absolutní výši </w:t>
      </w:r>
      <w:r w:rsidR="00086342" w:rsidRPr="00086342">
        <w:rPr>
          <w:szCs w:val="20"/>
        </w:rPr>
        <w:t>75.101.428 </w:t>
      </w:r>
      <w:r w:rsidR="00B046DC" w:rsidRPr="00086342">
        <w:rPr>
          <w:szCs w:val="20"/>
        </w:rPr>
        <w:t>tis.</w:t>
      </w:r>
      <w:r w:rsidRPr="00086342">
        <w:rPr>
          <w:szCs w:val="20"/>
        </w:rPr>
        <w:t> Kč</w:t>
      </w:r>
      <w:r w:rsidRPr="00086342">
        <w:rPr>
          <w:b/>
          <w:szCs w:val="20"/>
        </w:rPr>
        <w:t>.</w:t>
      </w:r>
      <w:r w:rsidRPr="00E51D58">
        <w:rPr>
          <w:szCs w:val="20"/>
        </w:rPr>
        <w:t xml:space="preserve"> Skutečný stav majetku, pohledávek, závazků a ostatních aktiv a pasiv byl porovnán s účetním a evidenčním stavem podle inventurních seznamů členy pěti dílčích inventarizačních komisí, které vytvořily inventurní soupisy v rozsahu seskupení inventarizačních položek</w:t>
      </w:r>
      <w:r w:rsidR="00FC47C6">
        <w:rPr>
          <w:szCs w:val="20"/>
        </w:rPr>
        <w:t xml:space="preserve"> (jednotlivých syntetických účtů)</w:t>
      </w:r>
      <w:r w:rsidRPr="00E51D58">
        <w:rPr>
          <w:szCs w:val="20"/>
        </w:rPr>
        <w:t xml:space="preserve"> s výsledkem: inventarizační rozdíly ani zúčtovatelné rozdíly nebyly zjištěny. </w:t>
      </w:r>
    </w:p>
    <w:p w:rsidR="00F87C21" w:rsidRPr="000F19D7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>Hlavní inventarizační komise v souladu s ustanovením § 2 písm. e) prováděcí vyhlášky sestavila Inventarizační zprávu, ve které shrnula všechny podstatné skutečnosti z provedené inventarizace a konstatovala, že inventarizační činnosti proběhly podle vydaného plánu a rámcového harmonogramu ve stanoveném rozsahu a termínech</w:t>
      </w:r>
      <w:r w:rsidRPr="000F19D7">
        <w:rPr>
          <w:szCs w:val="20"/>
        </w:rPr>
        <w:t xml:space="preserve">. </w:t>
      </w:r>
      <w:r w:rsidR="005B427D" w:rsidRPr="000F19D7">
        <w:rPr>
          <w:szCs w:val="20"/>
        </w:rPr>
        <w:t xml:space="preserve">Inventarizační zpráva je </w:t>
      </w:r>
      <w:r w:rsidR="005616AC" w:rsidRPr="000F19D7">
        <w:rPr>
          <w:szCs w:val="20"/>
        </w:rPr>
        <w:t>obsahem</w:t>
      </w:r>
      <w:r w:rsidR="005B427D" w:rsidRPr="000F19D7">
        <w:rPr>
          <w:szCs w:val="20"/>
        </w:rPr>
        <w:t xml:space="preserve"> </w:t>
      </w:r>
      <w:r w:rsidR="00DE7C71" w:rsidRPr="000F19D7">
        <w:rPr>
          <w:szCs w:val="20"/>
        </w:rPr>
        <w:t xml:space="preserve">přílohy </w:t>
      </w:r>
      <w:r w:rsidR="005B427D" w:rsidRPr="000F19D7">
        <w:rPr>
          <w:szCs w:val="20"/>
        </w:rPr>
        <w:t xml:space="preserve">č. </w:t>
      </w:r>
      <w:r w:rsidR="005616AC" w:rsidRPr="000F19D7">
        <w:rPr>
          <w:szCs w:val="20"/>
        </w:rPr>
        <w:t>4 materiálu</w:t>
      </w:r>
      <w:r w:rsidR="00095F22" w:rsidRPr="000F19D7">
        <w:rPr>
          <w:szCs w:val="20"/>
        </w:rPr>
        <w:t xml:space="preserve"> – Inventarizační zpráva z provedené inventarizace majetku a závazků vč. ostatních aktiv a pasiv Moravskoslezského kraje ke dni 31. 12. 2013.</w:t>
      </w:r>
      <w:r w:rsidR="005B427D" w:rsidRPr="000F19D7">
        <w:rPr>
          <w:szCs w:val="20"/>
        </w:rPr>
        <w:t xml:space="preserve"> </w:t>
      </w:r>
    </w:p>
    <w:p w:rsidR="00F87C21" w:rsidRPr="000F19D7" w:rsidRDefault="00F87C21" w:rsidP="00F87C21">
      <w:pPr>
        <w:pStyle w:val="Mjtext"/>
        <w:rPr>
          <w:szCs w:val="20"/>
        </w:rPr>
      </w:pPr>
      <w:r w:rsidRPr="000F19D7">
        <w:rPr>
          <w:szCs w:val="20"/>
        </w:rPr>
        <w:t>V rámci řádné inventarizace byly také zhodnoceny „Závěrečné zprávy o inventarizaci od příspěvkových organizací“, jejichž zřizovatelem byl k 31. 12. 201</w:t>
      </w:r>
      <w:r w:rsidR="00FC47C6" w:rsidRPr="000F19D7">
        <w:rPr>
          <w:szCs w:val="20"/>
        </w:rPr>
        <w:t>3</w:t>
      </w:r>
      <w:r w:rsidRPr="000F19D7">
        <w:rPr>
          <w:szCs w:val="20"/>
        </w:rPr>
        <w:t xml:space="preserve"> Moravskoslezský kraj</w:t>
      </w:r>
      <w:r w:rsidR="00FE2D83" w:rsidRPr="000F19D7">
        <w:rPr>
          <w:szCs w:val="20"/>
        </w:rPr>
        <w:t>,</w:t>
      </w:r>
      <w:r w:rsidRPr="000F19D7">
        <w:rPr>
          <w:szCs w:val="20"/>
        </w:rPr>
        <w:t xml:space="preserve"> a bylo konstatováno, že příspěvkové organizace plní zákonnou povinnost, provádějí inventarizaci a informují o</w:t>
      </w:r>
      <w:r w:rsidR="00FC47C6" w:rsidRPr="000F19D7">
        <w:rPr>
          <w:szCs w:val="20"/>
        </w:rPr>
        <w:t xml:space="preserve"> jejich </w:t>
      </w:r>
      <w:r w:rsidRPr="000F19D7">
        <w:rPr>
          <w:szCs w:val="20"/>
        </w:rPr>
        <w:t>výsledcích svého zřizovatele.</w:t>
      </w:r>
    </w:p>
    <w:p w:rsidR="003E750C" w:rsidRPr="000F19D7" w:rsidRDefault="0044109C" w:rsidP="0044109C">
      <w:pPr>
        <w:pStyle w:val="Nadpis2"/>
      </w:pPr>
      <w:bookmarkStart w:id="14" w:name="_Toc388005063"/>
      <w:r w:rsidRPr="000F19D7">
        <w:t>Přezkoumání hospodaření kraje za rok 2013</w:t>
      </w:r>
      <w:bookmarkEnd w:id="14"/>
    </w:p>
    <w:p w:rsidR="00511A35" w:rsidRPr="000F19D7" w:rsidRDefault="00451C2B" w:rsidP="0043369F">
      <w:pPr>
        <w:tabs>
          <w:tab w:val="left" w:pos="90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 xml:space="preserve">Předmětem </w:t>
      </w:r>
      <w:r w:rsidR="007A5B75" w:rsidRPr="000F19D7">
        <w:rPr>
          <w:rFonts w:ascii="Tahoma" w:hAnsi="Tahoma" w:cs="Tahoma"/>
          <w:sz w:val="20"/>
          <w:szCs w:val="20"/>
        </w:rPr>
        <w:t>přezk</w:t>
      </w:r>
      <w:r w:rsidR="00A70AC4" w:rsidRPr="000F19D7">
        <w:rPr>
          <w:rFonts w:ascii="Tahoma" w:hAnsi="Tahoma" w:cs="Tahoma"/>
          <w:sz w:val="20"/>
          <w:szCs w:val="20"/>
        </w:rPr>
        <w:t>oumání</w:t>
      </w:r>
      <w:r w:rsidR="007A5B75" w:rsidRPr="000F19D7">
        <w:rPr>
          <w:rFonts w:ascii="Tahoma" w:hAnsi="Tahoma" w:cs="Tahoma"/>
          <w:sz w:val="20"/>
          <w:szCs w:val="20"/>
        </w:rPr>
        <w:t xml:space="preserve"> hospodaření kraje za rok 201</w:t>
      </w:r>
      <w:r w:rsidR="00A70AC4" w:rsidRPr="000F19D7">
        <w:rPr>
          <w:rFonts w:ascii="Tahoma" w:hAnsi="Tahoma" w:cs="Tahoma"/>
          <w:sz w:val="20"/>
          <w:szCs w:val="20"/>
        </w:rPr>
        <w:t>3</w:t>
      </w:r>
      <w:r w:rsidR="001D6DFB" w:rsidRPr="000F19D7">
        <w:rPr>
          <w:rFonts w:ascii="Tahoma" w:hAnsi="Tahoma" w:cs="Tahoma"/>
          <w:sz w:val="20"/>
          <w:szCs w:val="20"/>
        </w:rPr>
        <w:t xml:space="preserve">, </w:t>
      </w:r>
      <w:r w:rsidR="00641D9F" w:rsidRPr="000F19D7">
        <w:rPr>
          <w:rFonts w:ascii="Tahoma" w:hAnsi="Tahoma" w:cs="Tahoma"/>
          <w:sz w:val="20"/>
          <w:szCs w:val="20"/>
        </w:rPr>
        <w:t>které provedlo Ministerstvo financí</w:t>
      </w:r>
      <w:r w:rsidR="001D6DFB" w:rsidRPr="000F19D7">
        <w:rPr>
          <w:rFonts w:ascii="Tahoma" w:hAnsi="Tahoma" w:cs="Tahoma"/>
          <w:sz w:val="20"/>
          <w:szCs w:val="20"/>
        </w:rPr>
        <w:t>,</w:t>
      </w:r>
      <w:r w:rsidR="007A5B75" w:rsidRPr="000F19D7">
        <w:rPr>
          <w:rFonts w:ascii="Tahoma" w:hAnsi="Tahoma" w:cs="Tahoma"/>
          <w:sz w:val="20"/>
          <w:szCs w:val="20"/>
        </w:rPr>
        <w:t xml:space="preserve"> </w:t>
      </w:r>
      <w:r w:rsidRPr="000F19D7">
        <w:rPr>
          <w:rFonts w:ascii="Tahoma" w:hAnsi="Tahoma" w:cs="Tahoma"/>
          <w:sz w:val="20"/>
          <w:szCs w:val="20"/>
        </w:rPr>
        <w:t xml:space="preserve">bylo </w:t>
      </w:r>
      <w:r w:rsidR="007A5B75" w:rsidRPr="000F19D7">
        <w:rPr>
          <w:rFonts w:ascii="Tahoma" w:hAnsi="Tahoma" w:cs="Tahoma"/>
          <w:sz w:val="20"/>
          <w:szCs w:val="20"/>
        </w:rPr>
        <w:t xml:space="preserve">také </w:t>
      </w:r>
      <w:r w:rsidRPr="000F19D7">
        <w:rPr>
          <w:rFonts w:ascii="Tahoma" w:hAnsi="Tahoma" w:cs="Tahoma"/>
          <w:sz w:val="20"/>
          <w:szCs w:val="20"/>
        </w:rPr>
        <w:t>účetnictví vedené krajem. V této oblasti, jak je uvedeno i v</w:t>
      </w:r>
      <w:r w:rsidR="00511A35" w:rsidRPr="000F19D7">
        <w:rPr>
          <w:rFonts w:ascii="Tahoma" w:hAnsi="Tahoma" w:cs="Tahoma"/>
          <w:sz w:val="20"/>
          <w:szCs w:val="20"/>
        </w:rPr>
        <w:t>e Z</w:t>
      </w:r>
      <w:r w:rsidRPr="000F19D7">
        <w:rPr>
          <w:rFonts w:ascii="Tahoma" w:hAnsi="Tahoma" w:cs="Tahoma"/>
          <w:sz w:val="20"/>
          <w:szCs w:val="20"/>
        </w:rPr>
        <w:t xml:space="preserve">právě </w:t>
      </w:r>
      <w:r w:rsidR="00511A35" w:rsidRPr="000F19D7">
        <w:rPr>
          <w:rFonts w:ascii="Tahoma" w:hAnsi="Tahoma" w:cs="Tahoma"/>
          <w:sz w:val="20"/>
          <w:szCs w:val="20"/>
        </w:rPr>
        <w:t xml:space="preserve">o výsledku přezkoumání </w:t>
      </w:r>
      <w:r w:rsidRPr="000F19D7">
        <w:rPr>
          <w:rFonts w:ascii="Tahoma" w:hAnsi="Tahoma" w:cs="Tahoma"/>
          <w:sz w:val="20"/>
          <w:szCs w:val="20"/>
        </w:rPr>
        <w:t>hospodaření</w:t>
      </w:r>
      <w:r w:rsidR="00511A35" w:rsidRPr="000F19D7">
        <w:rPr>
          <w:rFonts w:ascii="Tahoma" w:hAnsi="Tahoma" w:cs="Tahoma"/>
          <w:sz w:val="20"/>
          <w:szCs w:val="20"/>
        </w:rPr>
        <w:t xml:space="preserve"> Moravskoslezského kraje za rok 201</w:t>
      </w:r>
      <w:r w:rsidR="00A70AC4" w:rsidRPr="000F19D7">
        <w:rPr>
          <w:rFonts w:ascii="Tahoma" w:hAnsi="Tahoma" w:cs="Tahoma"/>
          <w:sz w:val="20"/>
          <w:szCs w:val="20"/>
        </w:rPr>
        <w:t>3</w:t>
      </w:r>
      <w:r w:rsidRPr="000F19D7">
        <w:rPr>
          <w:rFonts w:ascii="Tahoma" w:hAnsi="Tahoma" w:cs="Tahoma"/>
          <w:sz w:val="20"/>
          <w:szCs w:val="20"/>
        </w:rPr>
        <w:t>,</w:t>
      </w:r>
      <w:r w:rsidR="00511A35" w:rsidRPr="000F19D7">
        <w:rPr>
          <w:rFonts w:ascii="Tahoma" w:hAnsi="Tahoma" w:cs="Tahoma"/>
          <w:sz w:val="20"/>
          <w:szCs w:val="20"/>
        </w:rPr>
        <w:t xml:space="preserve"> byly konstatovány tyto závěry:</w:t>
      </w:r>
    </w:p>
    <w:p w:rsidR="00DB08EA" w:rsidRPr="000F19D7" w:rsidRDefault="00F134AE" w:rsidP="00C16579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F19D7">
        <w:rPr>
          <w:rFonts w:ascii="Tahoma" w:hAnsi="Tahoma" w:cs="Tahoma"/>
          <w:b/>
          <w:sz w:val="20"/>
          <w:szCs w:val="20"/>
        </w:rPr>
        <w:t>Při přezkoumání hospodaření Moravskoslezského kraje za rok 201</w:t>
      </w:r>
      <w:r w:rsidR="00A70AC4" w:rsidRPr="000F19D7">
        <w:rPr>
          <w:rFonts w:ascii="Tahoma" w:hAnsi="Tahoma" w:cs="Tahoma"/>
          <w:b/>
          <w:sz w:val="20"/>
          <w:szCs w:val="20"/>
        </w:rPr>
        <w:t>3</w:t>
      </w:r>
      <w:r w:rsidRPr="000F19D7">
        <w:rPr>
          <w:rFonts w:ascii="Tahoma" w:hAnsi="Tahoma" w:cs="Tahoma"/>
          <w:b/>
          <w:sz w:val="20"/>
          <w:szCs w:val="20"/>
        </w:rPr>
        <w:t xml:space="preserve"> </w:t>
      </w:r>
      <w:r w:rsidRPr="000F19D7">
        <w:rPr>
          <w:rFonts w:ascii="Tahoma" w:hAnsi="Tahoma" w:cs="Tahoma"/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2 a"/>
        </w:smartTagPr>
        <w:r w:rsidRPr="000F19D7">
          <w:rPr>
            <w:rFonts w:ascii="Tahoma" w:hAnsi="Tahoma" w:cs="Tahoma"/>
            <w:sz w:val="20"/>
            <w:szCs w:val="20"/>
          </w:rPr>
          <w:t>2 a</w:t>
        </w:r>
      </w:smartTag>
      <w:r w:rsidRPr="000F19D7">
        <w:rPr>
          <w:rFonts w:ascii="Tahoma" w:hAnsi="Tahoma" w:cs="Tahoma"/>
          <w:sz w:val="20"/>
          <w:szCs w:val="20"/>
        </w:rPr>
        <w:t xml:space="preserve"> § 3 zákona č. 420/2004 Sb. </w:t>
      </w:r>
      <w:r w:rsidRPr="000F19D7">
        <w:rPr>
          <w:rFonts w:ascii="Tahoma" w:hAnsi="Tahoma" w:cs="Tahoma"/>
          <w:b/>
          <w:sz w:val="20"/>
          <w:szCs w:val="20"/>
        </w:rPr>
        <w:t>nebyly zjištěny chyby a nedostatky.</w:t>
      </w:r>
    </w:p>
    <w:p w:rsidR="00F134AE" w:rsidRPr="000F19D7" w:rsidRDefault="00F134AE" w:rsidP="00C16579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Upozornění na případná rizika, která lze dovodit ze zjištěných chyb a nedostatků, která mohou mít negativní dopad na hospodaření územního celku v budoucnu</w:t>
      </w:r>
      <w:r w:rsidRPr="000F19D7">
        <w:rPr>
          <w:rFonts w:ascii="Tahoma" w:hAnsi="Tahoma" w:cs="Tahoma"/>
          <w:b/>
          <w:sz w:val="20"/>
          <w:szCs w:val="20"/>
        </w:rPr>
        <w:t>: Při přezkoumání hospodaření nebyla zjištěna žádná závažná rizika, která by mohla mít negativní dopad na hospodaření územního celku v budoucnosti.</w:t>
      </w:r>
    </w:p>
    <w:p w:rsidR="00F134AE" w:rsidRPr="000F19D7" w:rsidRDefault="00F134AE" w:rsidP="00C16579">
      <w:pPr>
        <w:numPr>
          <w:ilvl w:val="0"/>
          <w:numId w:val="31"/>
        </w:numPr>
        <w:tabs>
          <w:tab w:val="left" w:pos="900"/>
        </w:tabs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b/>
          <w:sz w:val="20"/>
          <w:szCs w:val="20"/>
        </w:rPr>
        <w:t>Poměrové ukazatele zjištěné při přezkoumání hospodaření:</w:t>
      </w:r>
    </w:p>
    <w:p w:rsidR="00F134AE" w:rsidRPr="000F19D7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a) podíl pohledávek na rozpočtu územního celku</w:t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  <w:t>0,6</w:t>
      </w:r>
      <w:r w:rsidR="00965544" w:rsidRPr="000F19D7">
        <w:rPr>
          <w:rFonts w:ascii="Tahoma" w:hAnsi="Tahoma" w:cs="Tahoma"/>
          <w:sz w:val="20"/>
          <w:szCs w:val="20"/>
        </w:rPr>
        <w:t>3</w:t>
      </w:r>
      <w:r w:rsidRPr="000F19D7">
        <w:rPr>
          <w:rFonts w:ascii="Tahoma" w:hAnsi="Tahoma" w:cs="Tahoma"/>
          <w:sz w:val="20"/>
          <w:szCs w:val="20"/>
        </w:rPr>
        <w:t xml:space="preserve"> %,</w:t>
      </w:r>
    </w:p>
    <w:p w:rsidR="00F134AE" w:rsidRPr="000F19D7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b) podíl závazků na rozpočtu územního celku</w:t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  <w:t>4,</w:t>
      </w:r>
      <w:r w:rsidR="00965544" w:rsidRPr="000F19D7">
        <w:rPr>
          <w:rFonts w:ascii="Tahoma" w:hAnsi="Tahoma" w:cs="Tahoma"/>
          <w:sz w:val="20"/>
          <w:szCs w:val="20"/>
        </w:rPr>
        <w:t>47</w:t>
      </w:r>
      <w:r w:rsidRPr="000F19D7">
        <w:rPr>
          <w:rFonts w:ascii="Tahoma" w:hAnsi="Tahoma" w:cs="Tahoma"/>
          <w:sz w:val="20"/>
          <w:szCs w:val="20"/>
        </w:rPr>
        <w:t xml:space="preserve"> %,</w:t>
      </w:r>
    </w:p>
    <w:p w:rsidR="00F134AE" w:rsidRPr="000F19D7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c) podíl zastaveného majetku na celkovém majetku územního celku</w:t>
      </w:r>
      <w:r w:rsidRPr="000F19D7">
        <w:rPr>
          <w:rFonts w:ascii="Tahoma" w:hAnsi="Tahoma" w:cs="Tahoma"/>
          <w:sz w:val="20"/>
          <w:szCs w:val="20"/>
        </w:rPr>
        <w:tab/>
      </w:r>
      <w:r w:rsidRPr="000F19D7">
        <w:rPr>
          <w:rFonts w:ascii="Tahoma" w:hAnsi="Tahoma" w:cs="Tahoma"/>
          <w:sz w:val="20"/>
          <w:szCs w:val="20"/>
        </w:rPr>
        <w:tab/>
        <w:t>0,00 %.</w:t>
      </w:r>
    </w:p>
    <w:p w:rsidR="007E3DDD" w:rsidRPr="000F19D7" w:rsidRDefault="00451C2B" w:rsidP="00095F22">
      <w:pPr>
        <w:pStyle w:val="Mjtext"/>
        <w:rPr>
          <w:szCs w:val="20"/>
        </w:rPr>
      </w:pPr>
      <w:r w:rsidRPr="000F19D7">
        <w:rPr>
          <w:szCs w:val="20"/>
        </w:rPr>
        <w:t xml:space="preserve">Zpráva z přezkumu hospodaření </w:t>
      </w:r>
      <w:r w:rsidR="00DB08EA" w:rsidRPr="000F19D7">
        <w:rPr>
          <w:szCs w:val="20"/>
        </w:rPr>
        <w:t>v</w:t>
      </w:r>
      <w:r w:rsidR="00511A35" w:rsidRPr="000F19D7">
        <w:rPr>
          <w:szCs w:val="20"/>
        </w:rPr>
        <w:t> plném znění</w:t>
      </w:r>
      <w:r w:rsidR="00255EF2" w:rsidRPr="000F19D7">
        <w:rPr>
          <w:szCs w:val="20"/>
        </w:rPr>
        <w:t xml:space="preserve"> </w:t>
      </w:r>
      <w:r w:rsidR="00FE2D83" w:rsidRPr="000F19D7">
        <w:rPr>
          <w:szCs w:val="20"/>
        </w:rPr>
        <w:t xml:space="preserve">je </w:t>
      </w:r>
      <w:r w:rsidR="00601D67" w:rsidRPr="000F19D7">
        <w:rPr>
          <w:szCs w:val="20"/>
        </w:rPr>
        <w:t>součástí</w:t>
      </w:r>
      <w:r w:rsidRPr="000F19D7">
        <w:rPr>
          <w:szCs w:val="20"/>
        </w:rPr>
        <w:t xml:space="preserve"> </w:t>
      </w:r>
      <w:r w:rsidR="00601D67" w:rsidRPr="000F19D7">
        <w:rPr>
          <w:szCs w:val="20"/>
        </w:rPr>
        <w:t>p</w:t>
      </w:r>
      <w:r w:rsidRPr="000F19D7">
        <w:rPr>
          <w:szCs w:val="20"/>
        </w:rPr>
        <w:t>ř</w:t>
      </w:r>
      <w:r w:rsidR="00FE2D83" w:rsidRPr="000F19D7">
        <w:rPr>
          <w:szCs w:val="20"/>
        </w:rPr>
        <w:t>í</w:t>
      </w:r>
      <w:r w:rsidRPr="000F19D7">
        <w:rPr>
          <w:szCs w:val="20"/>
        </w:rPr>
        <w:t>lo</w:t>
      </w:r>
      <w:r w:rsidR="00601D67" w:rsidRPr="000F19D7">
        <w:rPr>
          <w:szCs w:val="20"/>
        </w:rPr>
        <w:t>hy</w:t>
      </w:r>
      <w:r w:rsidRPr="000F19D7">
        <w:rPr>
          <w:szCs w:val="20"/>
        </w:rPr>
        <w:t xml:space="preserve"> č.</w:t>
      </w:r>
      <w:r w:rsidR="00F134AE" w:rsidRPr="000F19D7">
        <w:rPr>
          <w:szCs w:val="20"/>
        </w:rPr>
        <w:t xml:space="preserve"> 1</w:t>
      </w:r>
      <w:r w:rsidR="0043369F" w:rsidRPr="000F19D7">
        <w:rPr>
          <w:szCs w:val="20"/>
        </w:rPr>
        <w:t xml:space="preserve"> materiálu</w:t>
      </w:r>
      <w:r w:rsidR="00F134AE" w:rsidRPr="000F19D7">
        <w:rPr>
          <w:szCs w:val="20"/>
        </w:rPr>
        <w:t xml:space="preserve"> - Z</w:t>
      </w:r>
      <w:r w:rsidRPr="000F19D7">
        <w:rPr>
          <w:szCs w:val="20"/>
        </w:rPr>
        <w:t>ávěrečn</w:t>
      </w:r>
      <w:r w:rsidR="00F134AE" w:rsidRPr="000F19D7">
        <w:rPr>
          <w:szCs w:val="20"/>
        </w:rPr>
        <w:t>ý</w:t>
      </w:r>
      <w:r w:rsidRPr="000F19D7">
        <w:rPr>
          <w:szCs w:val="20"/>
        </w:rPr>
        <w:t xml:space="preserve"> úč</w:t>
      </w:r>
      <w:r w:rsidR="00F134AE" w:rsidRPr="000F19D7">
        <w:rPr>
          <w:szCs w:val="20"/>
        </w:rPr>
        <w:t>e</w:t>
      </w:r>
      <w:r w:rsidRPr="000F19D7">
        <w:rPr>
          <w:szCs w:val="20"/>
        </w:rPr>
        <w:t xml:space="preserve">t </w:t>
      </w:r>
      <w:r w:rsidR="0043369F" w:rsidRPr="000F19D7">
        <w:rPr>
          <w:szCs w:val="20"/>
        </w:rPr>
        <w:t xml:space="preserve">Moravskoslezského </w:t>
      </w:r>
      <w:r w:rsidRPr="000F19D7">
        <w:rPr>
          <w:szCs w:val="20"/>
        </w:rPr>
        <w:t>kraje</w:t>
      </w:r>
      <w:r w:rsidR="00F134AE" w:rsidRPr="000F19D7">
        <w:rPr>
          <w:szCs w:val="20"/>
        </w:rPr>
        <w:t xml:space="preserve"> za rok 201</w:t>
      </w:r>
      <w:r w:rsidR="00A70AC4" w:rsidRPr="000F19D7">
        <w:rPr>
          <w:szCs w:val="20"/>
        </w:rPr>
        <w:t>3</w:t>
      </w:r>
      <w:r w:rsidR="00F134AE" w:rsidRPr="000F19D7">
        <w:rPr>
          <w:szCs w:val="20"/>
        </w:rPr>
        <w:t>.</w:t>
      </w:r>
    </w:p>
    <w:p w:rsidR="0043563B" w:rsidRPr="000F19D7" w:rsidRDefault="0043563B" w:rsidP="00FB3163">
      <w:pPr>
        <w:pStyle w:val="Nadpis2"/>
      </w:pPr>
      <w:bookmarkStart w:id="15" w:name="_Toc388005064"/>
      <w:r w:rsidRPr="000F19D7">
        <w:lastRenderedPageBreak/>
        <w:t>Výkazy</w:t>
      </w:r>
      <w:bookmarkEnd w:id="15"/>
    </w:p>
    <w:p w:rsidR="00700BCB" w:rsidRPr="000F19D7" w:rsidRDefault="00700BCB" w:rsidP="00700BCB">
      <w:pPr>
        <w:pStyle w:val="Mjtext"/>
        <w:rPr>
          <w:szCs w:val="20"/>
        </w:rPr>
      </w:pPr>
      <w:r w:rsidRPr="000F19D7">
        <w:rPr>
          <w:szCs w:val="20"/>
        </w:rPr>
        <w:t xml:space="preserve">Kraj vede účetnictví v plném rozsahu a </w:t>
      </w:r>
      <w:r w:rsidRPr="000F19D7">
        <w:rPr>
          <w:szCs w:val="20"/>
          <w:u w:val="single"/>
        </w:rPr>
        <w:t>účetní závěrku jakožto nedílný celek tvoří tyto výkazy</w:t>
      </w:r>
      <w:r w:rsidRPr="000F19D7">
        <w:rPr>
          <w:szCs w:val="20"/>
        </w:rPr>
        <w:t xml:space="preserve"> (rozsah a</w:t>
      </w:r>
      <w:r w:rsidR="00100326" w:rsidRPr="000F19D7">
        <w:rPr>
          <w:szCs w:val="20"/>
        </w:rPr>
        <w:t> </w:t>
      </w:r>
      <w:r w:rsidRPr="000F19D7">
        <w:rPr>
          <w:szCs w:val="20"/>
        </w:rPr>
        <w:t>náplň jednotlivých výkazů je dána vyhláškou č. 410/2009 Sb.):</w:t>
      </w:r>
    </w:p>
    <w:p w:rsidR="00700BCB" w:rsidRPr="000F19D7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0F19D7">
        <w:rPr>
          <w:szCs w:val="20"/>
        </w:rPr>
        <w:t>rozvaha (bilance)</w:t>
      </w:r>
      <w:r w:rsidR="00641D9F" w:rsidRPr="000F19D7">
        <w:rPr>
          <w:szCs w:val="20"/>
        </w:rPr>
        <w:t>,</w:t>
      </w:r>
    </w:p>
    <w:p w:rsidR="004B4A7D" w:rsidRPr="000F19D7" w:rsidRDefault="004B4A7D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0F19D7">
        <w:rPr>
          <w:szCs w:val="20"/>
        </w:rPr>
        <w:t>výkaz zisku a ztráty</w:t>
      </w:r>
    </w:p>
    <w:p w:rsidR="00700BCB" w:rsidRPr="000F19D7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0F19D7">
        <w:rPr>
          <w:szCs w:val="20"/>
        </w:rPr>
        <w:t>příloha,</w:t>
      </w:r>
    </w:p>
    <w:p w:rsidR="00700BCB" w:rsidRPr="000F19D7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0F19D7">
        <w:rPr>
          <w:szCs w:val="20"/>
        </w:rPr>
        <w:t>přehled o peněžních tocích a</w:t>
      </w:r>
    </w:p>
    <w:p w:rsidR="00700BCB" w:rsidRPr="000F19D7" w:rsidRDefault="00700BCB" w:rsidP="00C16579">
      <w:pPr>
        <w:pStyle w:val="Mjtext"/>
        <w:numPr>
          <w:ilvl w:val="0"/>
          <w:numId w:val="10"/>
        </w:numPr>
        <w:rPr>
          <w:szCs w:val="20"/>
        </w:rPr>
      </w:pPr>
      <w:r w:rsidRPr="000F19D7">
        <w:rPr>
          <w:szCs w:val="20"/>
        </w:rPr>
        <w:t>přehled o změnách vlastního kapitálu.</w:t>
      </w:r>
    </w:p>
    <w:p w:rsidR="005C1FBA" w:rsidRPr="000F19D7" w:rsidRDefault="005C1FBA" w:rsidP="005C1FBA">
      <w:pPr>
        <w:pStyle w:val="Mjtext"/>
        <w:rPr>
          <w:szCs w:val="20"/>
        </w:rPr>
      </w:pPr>
      <w:r w:rsidRPr="000F19D7">
        <w:rPr>
          <w:szCs w:val="20"/>
        </w:rPr>
        <w:t xml:space="preserve">Výkazy, které tvoří </w:t>
      </w:r>
      <w:r w:rsidR="008A7116" w:rsidRPr="000F19D7">
        <w:rPr>
          <w:szCs w:val="20"/>
        </w:rPr>
        <w:t xml:space="preserve">řádnou </w:t>
      </w:r>
      <w:r w:rsidRPr="000F19D7">
        <w:rPr>
          <w:szCs w:val="20"/>
        </w:rPr>
        <w:t>účetní závěrku, jsou do 10 pracovních dnů po termínu jejich zpracování zveřej</w:t>
      </w:r>
      <w:r w:rsidR="008A7116" w:rsidRPr="000F19D7">
        <w:rPr>
          <w:szCs w:val="20"/>
        </w:rPr>
        <w:t>něny na webových stránkách kraj</w:t>
      </w:r>
      <w:r w:rsidR="00C60CF1" w:rsidRPr="000F19D7">
        <w:rPr>
          <w:szCs w:val="20"/>
        </w:rPr>
        <w:t>e</w:t>
      </w:r>
      <w:r w:rsidR="008A7116" w:rsidRPr="000F19D7">
        <w:rPr>
          <w:szCs w:val="20"/>
        </w:rPr>
        <w:t xml:space="preserve"> (v průběhu účetního období jsou</w:t>
      </w:r>
      <w:r w:rsidRPr="000F19D7">
        <w:rPr>
          <w:szCs w:val="20"/>
        </w:rPr>
        <w:t xml:space="preserve"> </w:t>
      </w:r>
      <w:r w:rsidR="008A7116" w:rsidRPr="000F19D7">
        <w:rPr>
          <w:szCs w:val="20"/>
        </w:rPr>
        <w:t xml:space="preserve">na webových stránkách kraje zveřejňovány také výkazy </w:t>
      </w:r>
      <w:r w:rsidRPr="000F19D7">
        <w:rPr>
          <w:szCs w:val="20"/>
        </w:rPr>
        <w:t>k mezitímním účetním závěrkám).</w:t>
      </w:r>
    </w:p>
    <w:p w:rsidR="00700BCB" w:rsidRPr="000F19D7" w:rsidRDefault="00700BCB" w:rsidP="00700BCB">
      <w:pPr>
        <w:pStyle w:val="Nadpis1"/>
      </w:pPr>
      <w:bookmarkStart w:id="16" w:name="_Toc388005065"/>
      <w:r w:rsidRPr="000F19D7">
        <w:t>Rozvaha</w:t>
      </w:r>
      <w:bookmarkEnd w:id="16"/>
    </w:p>
    <w:p w:rsidR="00751BB9" w:rsidRPr="000F19D7" w:rsidRDefault="00700BCB" w:rsidP="00700BCB">
      <w:pPr>
        <w:pStyle w:val="Mjtext"/>
        <w:rPr>
          <w:szCs w:val="20"/>
        </w:rPr>
      </w:pPr>
      <w:r w:rsidRPr="000F19D7">
        <w:rPr>
          <w:szCs w:val="20"/>
          <w:u w:val="single"/>
        </w:rPr>
        <w:t>V rozvaze</w:t>
      </w:r>
      <w:r w:rsidRPr="000F19D7">
        <w:rPr>
          <w:szCs w:val="20"/>
        </w:rPr>
        <w:t xml:space="preserve"> jsou uspořádány položky majetku a jiných aktiv a závazků a jiných pasiv. Uspořádání a označování položek rozvahy je stanoveno v Příloze č. 1 vyhlášky č. 410/2009 Sb. Rozvaha v části a</w:t>
      </w:r>
      <w:r w:rsidR="00501C44" w:rsidRPr="000F19D7">
        <w:rPr>
          <w:szCs w:val="20"/>
        </w:rPr>
        <w:t>ktiv se vykazuje ve 4 sloupcích;</w:t>
      </w:r>
      <w:r w:rsidRPr="000F19D7">
        <w:rPr>
          <w:szCs w:val="20"/>
        </w:rPr>
        <w:t xml:space="preserve"> v prvním sloupci se vykazují údaje „brutto“, ve druhém</w:t>
      </w:r>
      <w:r w:rsidRPr="000F19D7">
        <w:t xml:space="preserve"> </w:t>
      </w:r>
      <w:r w:rsidRPr="000F19D7">
        <w:rPr>
          <w:szCs w:val="20"/>
        </w:rPr>
        <w:t xml:space="preserve">se vyjadřuje </w:t>
      </w:r>
      <w:r w:rsidR="00687743" w:rsidRPr="000F19D7">
        <w:rPr>
          <w:szCs w:val="20"/>
        </w:rPr>
        <w:t>„</w:t>
      </w:r>
      <w:r w:rsidRPr="000F19D7">
        <w:rPr>
          <w:szCs w:val="20"/>
        </w:rPr>
        <w:t>korekce</w:t>
      </w:r>
      <w:r w:rsidR="00687743" w:rsidRPr="000F19D7">
        <w:rPr>
          <w:szCs w:val="20"/>
        </w:rPr>
        <w:t>“</w:t>
      </w:r>
      <w:r w:rsidRPr="000F19D7">
        <w:rPr>
          <w:szCs w:val="20"/>
        </w:rPr>
        <w:t xml:space="preserve">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12.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201</w:t>
      </w:r>
      <w:r w:rsidR="00501C44" w:rsidRPr="000F19D7">
        <w:rPr>
          <w:szCs w:val="20"/>
        </w:rPr>
        <w:t>3</w:t>
      </w:r>
      <w:r w:rsidRPr="000F19D7">
        <w:rPr>
          <w:szCs w:val="20"/>
        </w:rPr>
        <w:t>. Ve čtvrtém sloupci jsou pak údaje o stavu jednotlivých položek za minulé účetní období</w:t>
      </w:r>
      <w:r w:rsidR="00641D9F" w:rsidRPr="000F19D7">
        <w:rPr>
          <w:szCs w:val="20"/>
        </w:rPr>
        <w:t xml:space="preserve">, </w:t>
      </w:r>
      <w:r w:rsidRPr="000F19D7">
        <w:rPr>
          <w:szCs w:val="20"/>
        </w:rPr>
        <w:t>tj. k 31.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12.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201</w:t>
      </w:r>
      <w:r w:rsidR="00501C44" w:rsidRPr="000F19D7">
        <w:rPr>
          <w:szCs w:val="20"/>
        </w:rPr>
        <w:t>2</w:t>
      </w:r>
      <w:r w:rsidRPr="000F19D7">
        <w:rPr>
          <w:szCs w:val="20"/>
        </w:rPr>
        <w:t>, a to v hodnotě „netto“. Rozvaha se v část</w:t>
      </w:r>
      <w:r w:rsidR="00501C44" w:rsidRPr="000F19D7">
        <w:rPr>
          <w:szCs w:val="20"/>
        </w:rPr>
        <w:t>i pasiv vykazuje ve 2 sloupcích;</w:t>
      </w:r>
      <w:r w:rsidRPr="000F19D7">
        <w:rPr>
          <w:szCs w:val="20"/>
        </w:rPr>
        <w:t xml:space="preserve"> první sloupec obsahuje informace o dané položce k okamžiku sestavení účetní závěrky za běžné účetní období, tj. k 31.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12.</w:t>
      </w:r>
      <w:r w:rsidR="00150377" w:rsidRPr="000F19D7">
        <w:rPr>
          <w:szCs w:val="20"/>
        </w:rPr>
        <w:t> </w:t>
      </w:r>
      <w:r w:rsidRPr="000F19D7">
        <w:rPr>
          <w:szCs w:val="20"/>
        </w:rPr>
        <w:t>201</w:t>
      </w:r>
      <w:r w:rsidR="00A70AC4" w:rsidRPr="000F19D7">
        <w:rPr>
          <w:szCs w:val="20"/>
        </w:rPr>
        <w:t>3</w:t>
      </w:r>
      <w:r w:rsidRPr="000F19D7">
        <w:rPr>
          <w:szCs w:val="20"/>
        </w:rPr>
        <w:t>, ve</w:t>
      </w:r>
      <w:r w:rsidR="00B2549B" w:rsidRPr="000F19D7">
        <w:rPr>
          <w:szCs w:val="20"/>
        </w:rPr>
        <w:t> </w:t>
      </w:r>
      <w:r w:rsidRPr="000F19D7">
        <w:rPr>
          <w:szCs w:val="20"/>
        </w:rPr>
        <w:t>druhém sloupci jsou pak údaje o stavu jednotlivých položek za minulé účetní období</w:t>
      </w:r>
      <w:r w:rsidR="00641D9F" w:rsidRPr="000F19D7">
        <w:rPr>
          <w:szCs w:val="20"/>
        </w:rPr>
        <w:t>,</w:t>
      </w:r>
      <w:r w:rsidRPr="000F19D7">
        <w:rPr>
          <w:szCs w:val="20"/>
        </w:rPr>
        <w:t xml:space="preserve"> tj.</w:t>
      </w:r>
      <w:r w:rsidR="00B2549B" w:rsidRPr="000F19D7">
        <w:rPr>
          <w:szCs w:val="20"/>
        </w:rPr>
        <w:t> </w:t>
      </w:r>
      <w:r w:rsidRPr="000F19D7">
        <w:rPr>
          <w:szCs w:val="20"/>
        </w:rPr>
        <w:t>k 31. 12. 201</w:t>
      </w:r>
      <w:r w:rsidR="00A70AC4" w:rsidRPr="000F19D7">
        <w:rPr>
          <w:szCs w:val="20"/>
        </w:rPr>
        <w:t>2</w:t>
      </w:r>
      <w:r w:rsidR="00150377" w:rsidRPr="000F19D7">
        <w:rPr>
          <w:szCs w:val="20"/>
        </w:rPr>
        <w:t xml:space="preserve"> (korekce se u pasiv neuvádí)</w:t>
      </w:r>
      <w:r w:rsidRPr="000F19D7">
        <w:rPr>
          <w:szCs w:val="20"/>
        </w:rPr>
        <w:t xml:space="preserve">. </w:t>
      </w:r>
      <w:r w:rsidR="0007317D" w:rsidRPr="000F19D7">
        <w:rPr>
          <w:szCs w:val="20"/>
        </w:rPr>
        <w:t>Aktiva se musí rovnat pasivů</w:t>
      </w:r>
      <w:r w:rsidR="006757CE" w:rsidRPr="000F19D7">
        <w:rPr>
          <w:szCs w:val="20"/>
        </w:rPr>
        <w:t>m; jejich stav k 31. 12. 2013 je</w:t>
      </w:r>
      <w:r w:rsidR="00955955" w:rsidRPr="000F19D7">
        <w:rPr>
          <w:szCs w:val="20"/>
        </w:rPr>
        <w:t xml:space="preserve"> ve výši</w:t>
      </w:r>
      <w:r w:rsidR="006757CE" w:rsidRPr="000F19D7">
        <w:rPr>
          <w:szCs w:val="20"/>
        </w:rPr>
        <w:t xml:space="preserve"> 9.981.972 tis. Kč.</w:t>
      </w:r>
      <w:r w:rsidR="0007317D" w:rsidRPr="000F19D7">
        <w:rPr>
          <w:szCs w:val="20"/>
        </w:rPr>
        <w:t xml:space="preserve"> </w:t>
      </w:r>
      <w:r w:rsidR="00150377" w:rsidRPr="000F19D7">
        <w:rPr>
          <w:szCs w:val="20"/>
        </w:rPr>
        <w:t>Aktiva celkem (netto) a pasiva celkem se v r.</w:t>
      </w:r>
      <w:r w:rsidR="00955955" w:rsidRPr="000F19D7">
        <w:rPr>
          <w:szCs w:val="20"/>
        </w:rPr>
        <w:t> </w:t>
      </w:r>
      <w:r w:rsidR="00150377" w:rsidRPr="000F19D7">
        <w:rPr>
          <w:szCs w:val="20"/>
        </w:rPr>
        <w:t>2013 ve srovnání s rokem 2012 snížila o 1.114.702 tis. Kč</w:t>
      </w:r>
      <w:r w:rsidR="00C420EB" w:rsidRPr="000F19D7">
        <w:rPr>
          <w:szCs w:val="20"/>
        </w:rPr>
        <w:t xml:space="preserve">. </w:t>
      </w:r>
      <w:r w:rsidR="00071C50" w:rsidRPr="000F19D7">
        <w:rPr>
          <w:szCs w:val="20"/>
        </w:rPr>
        <w:t>P</w:t>
      </w:r>
      <w:r w:rsidR="00150377" w:rsidRPr="000F19D7">
        <w:rPr>
          <w:szCs w:val="20"/>
        </w:rPr>
        <w:t>okles u</w:t>
      </w:r>
      <w:r w:rsidR="0007317D" w:rsidRPr="000F19D7">
        <w:rPr>
          <w:szCs w:val="20"/>
        </w:rPr>
        <w:t> </w:t>
      </w:r>
      <w:r w:rsidR="00150377" w:rsidRPr="000F19D7">
        <w:rPr>
          <w:szCs w:val="20"/>
        </w:rPr>
        <w:t xml:space="preserve">aktiv </w:t>
      </w:r>
      <w:r w:rsidR="00071C50" w:rsidRPr="000F19D7">
        <w:rPr>
          <w:szCs w:val="20"/>
        </w:rPr>
        <w:t>byl způsoben poklesem</w:t>
      </w:r>
      <w:r w:rsidR="00150377" w:rsidRPr="000F19D7">
        <w:rPr>
          <w:szCs w:val="20"/>
        </w:rPr>
        <w:t xml:space="preserve"> stálých aktiv –</w:t>
      </w:r>
      <w:r w:rsidR="00071C50" w:rsidRPr="000F19D7">
        <w:rPr>
          <w:szCs w:val="20"/>
        </w:rPr>
        <w:t xml:space="preserve"> snížení </w:t>
      </w:r>
      <w:r w:rsidR="00150377" w:rsidRPr="000F19D7">
        <w:rPr>
          <w:szCs w:val="20"/>
        </w:rPr>
        <w:t>o 1.250.020 tis. Kč</w:t>
      </w:r>
      <w:r w:rsidR="00C420EB" w:rsidRPr="000F19D7">
        <w:rPr>
          <w:szCs w:val="20"/>
        </w:rPr>
        <w:t xml:space="preserve"> (naopak u oběžných aktiv došlo k nárůstu o</w:t>
      </w:r>
      <w:r w:rsidR="006757CE" w:rsidRPr="000F19D7">
        <w:rPr>
          <w:szCs w:val="20"/>
        </w:rPr>
        <w:t> </w:t>
      </w:r>
      <w:r w:rsidR="00C420EB" w:rsidRPr="000F19D7">
        <w:rPr>
          <w:szCs w:val="20"/>
        </w:rPr>
        <w:t>135.318 tis. Kč</w:t>
      </w:r>
      <w:r w:rsidR="006757CE" w:rsidRPr="000F19D7">
        <w:rPr>
          <w:szCs w:val="20"/>
        </w:rPr>
        <w:t>)</w:t>
      </w:r>
      <w:r w:rsidR="00071C50" w:rsidRPr="000F19D7">
        <w:rPr>
          <w:szCs w:val="20"/>
        </w:rPr>
        <w:t>; u pasiv došlo k</w:t>
      </w:r>
      <w:r w:rsidR="00B72F7D" w:rsidRPr="000F19D7">
        <w:rPr>
          <w:szCs w:val="20"/>
        </w:rPr>
        <w:t xml:space="preserve"> jejich</w:t>
      </w:r>
      <w:r w:rsidR="00150377" w:rsidRPr="000F19D7">
        <w:rPr>
          <w:szCs w:val="20"/>
        </w:rPr>
        <w:t xml:space="preserve"> pokles</w:t>
      </w:r>
      <w:r w:rsidR="00071C50" w:rsidRPr="000F19D7">
        <w:rPr>
          <w:szCs w:val="20"/>
        </w:rPr>
        <w:t>u</w:t>
      </w:r>
      <w:r w:rsidR="00150377" w:rsidRPr="000F19D7">
        <w:rPr>
          <w:szCs w:val="20"/>
        </w:rPr>
        <w:t xml:space="preserve"> </w:t>
      </w:r>
      <w:r w:rsidR="00071C50" w:rsidRPr="000F19D7">
        <w:rPr>
          <w:szCs w:val="20"/>
        </w:rPr>
        <w:t xml:space="preserve">vlivem snížení </w:t>
      </w:r>
      <w:r w:rsidR="00150377" w:rsidRPr="000F19D7">
        <w:rPr>
          <w:szCs w:val="20"/>
        </w:rPr>
        <w:t>vlastního kapitálu –</w:t>
      </w:r>
      <w:r w:rsidR="00071C50" w:rsidRPr="000F19D7">
        <w:rPr>
          <w:szCs w:val="20"/>
        </w:rPr>
        <w:t xml:space="preserve"> pokles </w:t>
      </w:r>
      <w:r w:rsidR="00150377" w:rsidRPr="000F19D7">
        <w:rPr>
          <w:szCs w:val="20"/>
        </w:rPr>
        <w:t>o 1.594.009 tis. Kč</w:t>
      </w:r>
      <w:r w:rsidR="006757CE" w:rsidRPr="000F19D7">
        <w:rPr>
          <w:szCs w:val="20"/>
        </w:rPr>
        <w:t xml:space="preserve"> (</w:t>
      </w:r>
      <w:r w:rsidR="00C420EB" w:rsidRPr="000F19D7">
        <w:rPr>
          <w:szCs w:val="20"/>
        </w:rPr>
        <w:t xml:space="preserve">u cizích zdrojů došlo k nárůstu </w:t>
      </w:r>
      <w:r w:rsidR="006757CE" w:rsidRPr="000F19D7">
        <w:rPr>
          <w:szCs w:val="20"/>
        </w:rPr>
        <w:t>o </w:t>
      </w:r>
      <w:r w:rsidR="00C420EB" w:rsidRPr="000F19D7">
        <w:rPr>
          <w:szCs w:val="20"/>
        </w:rPr>
        <w:t>479.307 tis. Kč</w:t>
      </w:r>
      <w:r w:rsidR="00150377" w:rsidRPr="000F19D7">
        <w:rPr>
          <w:szCs w:val="20"/>
        </w:rPr>
        <w:t xml:space="preserve">). </w:t>
      </w:r>
      <w:r w:rsidRPr="000F19D7">
        <w:rPr>
          <w:szCs w:val="20"/>
        </w:rPr>
        <w:t>V následující tabulce</w:t>
      </w:r>
      <w:r w:rsidR="00641D9F" w:rsidRPr="000F19D7">
        <w:rPr>
          <w:szCs w:val="20"/>
        </w:rPr>
        <w:t xml:space="preserve"> 1.1</w:t>
      </w:r>
      <w:r w:rsidRPr="000F19D7">
        <w:rPr>
          <w:szCs w:val="20"/>
        </w:rPr>
        <w:t xml:space="preserve"> jsou uvedeny základní informace o</w:t>
      </w:r>
      <w:r w:rsidR="00C420EB" w:rsidRPr="000F19D7">
        <w:rPr>
          <w:szCs w:val="20"/>
        </w:rPr>
        <w:t> </w:t>
      </w:r>
      <w:r w:rsidRPr="000F19D7">
        <w:rPr>
          <w:szCs w:val="20"/>
        </w:rPr>
        <w:t>stavu aktiv a pasiv</w:t>
      </w:r>
      <w:r w:rsidR="008A3025" w:rsidRPr="000F19D7">
        <w:rPr>
          <w:szCs w:val="20"/>
        </w:rPr>
        <w:t xml:space="preserve"> v tis. Kč</w:t>
      </w:r>
      <w:r w:rsidRPr="000F19D7">
        <w:rPr>
          <w:szCs w:val="20"/>
        </w:rPr>
        <w:t xml:space="preserve"> za běžné a</w:t>
      </w:r>
      <w:r w:rsidR="0007317D" w:rsidRPr="000F19D7">
        <w:rPr>
          <w:szCs w:val="20"/>
        </w:rPr>
        <w:t> </w:t>
      </w:r>
      <w:r w:rsidRPr="000F19D7">
        <w:rPr>
          <w:szCs w:val="20"/>
        </w:rPr>
        <w:t>minulé účetní období včetně vyčíslení rozdílů</w:t>
      </w:r>
      <w:r w:rsidR="008A3025" w:rsidRPr="000F19D7">
        <w:rPr>
          <w:szCs w:val="20"/>
        </w:rPr>
        <w:t xml:space="preserve"> za období 201</w:t>
      </w:r>
      <w:r w:rsidR="00501C44" w:rsidRPr="000F19D7">
        <w:rPr>
          <w:szCs w:val="20"/>
        </w:rPr>
        <w:t>3</w:t>
      </w:r>
      <w:r w:rsidR="008A3025" w:rsidRPr="000F19D7">
        <w:rPr>
          <w:szCs w:val="20"/>
        </w:rPr>
        <w:t xml:space="preserve"> a</w:t>
      </w:r>
      <w:r w:rsidR="00C420EB" w:rsidRPr="000F19D7">
        <w:rPr>
          <w:szCs w:val="20"/>
        </w:rPr>
        <w:t> 2</w:t>
      </w:r>
      <w:r w:rsidR="008A3025" w:rsidRPr="000F19D7">
        <w:rPr>
          <w:szCs w:val="20"/>
        </w:rPr>
        <w:t>01</w:t>
      </w:r>
      <w:r w:rsidR="00501C44" w:rsidRPr="000F19D7">
        <w:rPr>
          <w:szCs w:val="20"/>
        </w:rPr>
        <w:t>2</w:t>
      </w:r>
      <w:r w:rsidR="008A3025" w:rsidRPr="000F19D7">
        <w:rPr>
          <w:szCs w:val="20"/>
        </w:rPr>
        <w:t>.</w:t>
      </w:r>
      <w:r w:rsidRPr="000F19D7">
        <w:rPr>
          <w:color w:val="0000FF"/>
          <w:szCs w:val="20"/>
        </w:rPr>
        <w:t xml:space="preserve"> </w:t>
      </w:r>
      <w:r w:rsidRPr="000F19D7">
        <w:rPr>
          <w:szCs w:val="20"/>
        </w:rPr>
        <w:t xml:space="preserve">Výkaz Rozvaha je </w:t>
      </w:r>
      <w:r w:rsidR="00601D67" w:rsidRPr="000F19D7">
        <w:rPr>
          <w:szCs w:val="20"/>
        </w:rPr>
        <w:t>součástí</w:t>
      </w:r>
      <w:r w:rsidRPr="000F19D7">
        <w:rPr>
          <w:szCs w:val="20"/>
        </w:rPr>
        <w:t xml:space="preserve"> </w:t>
      </w:r>
      <w:r w:rsidR="00601D67" w:rsidRPr="000F19D7">
        <w:rPr>
          <w:szCs w:val="20"/>
        </w:rPr>
        <w:t>p</w:t>
      </w:r>
      <w:r w:rsidRPr="000F19D7">
        <w:rPr>
          <w:szCs w:val="20"/>
        </w:rPr>
        <w:t>řílo</w:t>
      </w:r>
      <w:r w:rsidR="00601D67" w:rsidRPr="000F19D7">
        <w:rPr>
          <w:szCs w:val="20"/>
        </w:rPr>
        <w:t>hy č. 2 materiálu – Účetní závěrka Moravskoslezského kraje k rozvahovému dni 31. 12. 201</w:t>
      </w:r>
      <w:r w:rsidR="00501C44" w:rsidRPr="000F19D7">
        <w:rPr>
          <w:szCs w:val="20"/>
        </w:rPr>
        <w:t>3</w:t>
      </w:r>
      <w:r w:rsidRPr="000F19D7">
        <w:rPr>
          <w:szCs w:val="20"/>
        </w:rPr>
        <w:t>.</w:t>
      </w:r>
    </w:p>
    <w:p w:rsidR="00150377" w:rsidRPr="000F19D7" w:rsidRDefault="00150377">
      <w:pPr>
        <w:rPr>
          <w:rFonts w:ascii="Tahoma" w:hAnsi="Tahoma" w:cs="Tahoma"/>
          <w:sz w:val="20"/>
          <w:szCs w:val="20"/>
        </w:rPr>
      </w:pPr>
      <w:r w:rsidRPr="000F19D7">
        <w:rPr>
          <w:szCs w:val="20"/>
        </w:rPr>
        <w:br w:type="page"/>
      </w:r>
    </w:p>
    <w:p w:rsidR="00700BCB" w:rsidRPr="00B2549B" w:rsidRDefault="00700BCB" w:rsidP="00B2549B">
      <w:pPr>
        <w:pStyle w:val="Mjtext"/>
        <w:spacing w:before="0" w:after="0"/>
        <w:rPr>
          <w:szCs w:val="20"/>
        </w:rPr>
      </w:pPr>
    </w:p>
    <w:p w:rsidR="00700BCB" w:rsidRDefault="00700BCB" w:rsidP="006E4204">
      <w:pPr>
        <w:pStyle w:val="Styltab"/>
      </w:pPr>
      <w:r w:rsidRPr="00E638A1">
        <w:t>Základní údaje z rozvahy k 31.</w:t>
      </w:r>
      <w:r>
        <w:t xml:space="preserve"> </w:t>
      </w:r>
      <w:r w:rsidRPr="00E638A1">
        <w:t>12.</w:t>
      </w:r>
      <w:r>
        <w:t xml:space="preserve"> </w:t>
      </w:r>
      <w:r w:rsidRPr="00E638A1">
        <w:t>201</w:t>
      </w:r>
      <w:r w:rsidR="00501C44">
        <w:t>3</w:t>
      </w:r>
      <w:r w:rsidR="006E4204">
        <w:tab/>
      </w:r>
      <w:r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76"/>
        <w:gridCol w:w="1134"/>
        <w:gridCol w:w="1276"/>
        <w:gridCol w:w="1275"/>
        <w:gridCol w:w="1134"/>
      </w:tblGrid>
      <w:tr w:rsidR="00700BCB" w:rsidTr="00E27090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 w:rsidR="00FA48C7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(2013-2012)</w:t>
            </w:r>
          </w:p>
        </w:tc>
      </w:tr>
      <w:tr w:rsidR="00700BCB" w:rsidTr="00E27090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Korekce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</w:tr>
      <w:tr w:rsidR="00A02110" w:rsidRPr="002050C5" w:rsidTr="00E27090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2110" w:rsidRPr="002050C5" w:rsidRDefault="00A02110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11 454 858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1 472 886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9 981 972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A0211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11 096 674</w:t>
              </w:r>
            </w:smartTag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-1 114 702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A. Stálá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7 663 109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1 457 760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6 205 349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b/>
                  <w:bCs/>
                  <w:sz w:val="18"/>
                  <w:szCs w:val="18"/>
                </w:rPr>
                <w:t>7 455 369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-1 250 020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Dlouhodobý nehmotný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244 348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165 050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79 298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88 303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-9 005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Dlouhodobý 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4 859 821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1 170 253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3 689 568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sz w:val="18"/>
                  <w:szCs w:val="18"/>
                </w:rPr>
                <w:t>4 961 768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-1 272 200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Dlouhodobý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1 069 000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122 445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946 555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sz w:val="18"/>
                  <w:szCs w:val="18"/>
                </w:rPr>
                <w:t>949 217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-2 662</w:t>
            </w:r>
          </w:p>
        </w:tc>
      </w:tr>
      <w:tr w:rsidR="00A02110" w:rsidRPr="002050C5" w:rsidTr="001868B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IV.  Dlouhodobé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1 489 940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1 489 928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sz w:val="18"/>
                  <w:szCs w:val="18"/>
                </w:rPr>
                <w:t>1 456 081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33 847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B. Oběžná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3 791 749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15 126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3 776 623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b/>
                  <w:bCs/>
                  <w:sz w:val="18"/>
                  <w:szCs w:val="18"/>
                </w:rPr>
                <w:t>3 641 305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135 318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Zásoby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-143</w:t>
            </w:r>
          </w:p>
        </w:tc>
      </w:tr>
      <w:tr w:rsidR="00A02110" w:rsidRPr="002050C5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Krátkodobé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2 110 636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15 126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2 095 510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sz w:val="18"/>
                  <w:szCs w:val="18"/>
                </w:rPr>
                <w:t>1 806 131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289 379</w:t>
            </w:r>
          </w:p>
        </w:tc>
      </w:tr>
      <w:tr w:rsidR="00A02110" w:rsidRPr="002050C5" w:rsidTr="001868B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Krátkodobý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1 680 010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1 680 010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050C5">
                <w:rPr>
                  <w:rFonts w:ascii="Tahoma" w:hAnsi="Tahoma" w:cs="Tahoma"/>
                  <w:sz w:val="18"/>
                  <w:szCs w:val="18"/>
                </w:rPr>
                <w:t>1 833 928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110" w:rsidRPr="002050C5" w:rsidRDefault="00A02110" w:rsidP="001868B6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-153 918</w:t>
            </w:r>
          </w:p>
        </w:tc>
      </w:tr>
      <w:tr w:rsidR="00700BCB" w:rsidTr="00E2709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00BCB" w:rsidTr="00E2709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BCB" w:rsidRPr="00E27090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(2013)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E27090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E27090" w:rsidRDefault="00FA48C7" w:rsidP="00347D42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(2013-2012)</w:t>
            </w:r>
          </w:p>
        </w:tc>
      </w:tr>
      <w:tr w:rsidR="00E27090" w:rsidTr="001868B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090" w:rsidRPr="00F71C9E" w:rsidRDefault="00E27090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PASIVA CELKEM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9 981 972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11 096 674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-1 114 702</w:t>
            </w:r>
          </w:p>
        </w:tc>
      </w:tr>
      <w:tr w:rsidR="00E27090" w:rsidTr="001868B6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C. Vlastní kapitál,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4 504 744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6 098 753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-1 594 009</w:t>
            </w:r>
          </w:p>
        </w:tc>
      </w:tr>
      <w:tr w:rsidR="00E27090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I.   </w:t>
            </w:r>
            <w:r w:rsidRPr="00F71C9E">
              <w:rPr>
                <w:rFonts w:ascii="Tahoma" w:hAnsi="Tahoma" w:cs="Tahoma"/>
                <w:sz w:val="18"/>
                <w:szCs w:val="18"/>
              </w:rPr>
              <w:t xml:space="preserve">Jmění účetní jednotky a 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F71C9E">
              <w:rPr>
                <w:rFonts w:ascii="Tahoma" w:hAnsi="Tahoma" w:cs="Tahoma"/>
                <w:sz w:val="18"/>
                <w:szCs w:val="18"/>
              </w:rPr>
              <w:t>pravuj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 w:rsidRPr="00F71C9E">
              <w:rPr>
                <w:rFonts w:ascii="Tahoma" w:hAnsi="Tahoma" w:cs="Tahoma"/>
                <w:sz w:val="18"/>
                <w:szCs w:val="18"/>
              </w:rPr>
              <w:t>cí pol</w:t>
            </w:r>
            <w:r>
              <w:rPr>
                <w:rFonts w:ascii="Tahoma" w:hAnsi="Tahoma" w:cs="Tahoma"/>
                <w:sz w:val="18"/>
                <w:szCs w:val="18"/>
              </w:rPr>
              <w:t>ožky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2 823 818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4 819 947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9C5AB5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i/>
                <w:iCs/>
                <w:sz w:val="18"/>
                <w:szCs w:val="18"/>
              </w:rPr>
              <w:t>-1 996 129</w:t>
            </w:r>
          </w:p>
        </w:tc>
      </w:tr>
      <w:tr w:rsidR="00E27090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Fondy účetní jednotky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156 822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156 215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i/>
                <w:iCs/>
                <w:sz w:val="18"/>
                <w:szCs w:val="18"/>
              </w:rPr>
              <w:t>607</w:t>
            </w:r>
          </w:p>
        </w:tc>
      </w:tr>
      <w:tr w:rsidR="00E27090" w:rsidTr="001868B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Výsledek hospodaření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1 524 104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1 122 591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i/>
                <w:iCs/>
                <w:sz w:val="18"/>
                <w:szCs w:val="18"/>
              </w:rPr>
              <w:t>401 513</w:t>
            </w:r>
          </w:p>
        </w:tc>
      </w:tr>
      <w:tr w:rsidR="00E27090" w:rsidTr="001868B6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D. Cizí zdroje,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5 477 228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4 997 921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479 307</w:t>
            </w:r>
          </w:p>
        </w:tc>
      </w:tr>
      <w:tr w:rsidR="00E27090" w:rsidRPr="00E27090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Rezervy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E27090" w:rsidRPr="00E27090" w:rsidTr="001868B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Dlouhodobé závazky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4 430 715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3 752 436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678 279</w:t>
            </w:r>
          </w:p>
        </w:tc>
      </w:tr>
      <w:tr w:rsidR="00E27090" w:rsidRPr="00E27090" w:rsidTr="001868B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27090" w:rsidRPr="00F71C9E" w:rsidRDefault="00E27090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Krátkodobé závazky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1 046 513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 w:rsidP="001868B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27090">
              <w:rPr>
                <w:rFonts w:ascii="Tahoma" w:hAnsi="Tahoma" w:cs="Tahoma"/>
                <w:sz w:val="18"/>
                <w:szCs w:val="18"/>
              </w:rPr>
              <w:t>1 245 485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090" w:rsidRPr="00E27090" w:rsidRDefault="00E27090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E2709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-198 972</w:t>
            </w:r>
          </w:p>
        </w:tc>
      </w:tr>
    </w:tbl>
    <w:p w:rsidR="00700BCB" w:rsidRDefault="00700BCB" w:rsidP="00FB3163">
      <w:pPr>
        <w:pStyle w:val="Nadpis2"/>
      </w:pPr>
      <w:bookmarkStart w:id="17" w:name="_Toc388005066"/>
      <w:r w:rsidRPr="009D1AEE">
        <w:t>Aktiva</w:t>
      </w:r>
      <w:bookmarkEnd w:id="17"/>
    </w:p>
    <w:p w:rsidR="00700BCB" w:rsidRDefault="00700BCB" w:rsidP="00700BCB">
      <w:pPr>
        <w:pStyle w:val="Mjtext"/>
      </w:pPr>
      <w:r w:rsidRPr="00F52155">
        <w:rPr>
          <w:u w:val="single"/>
        </w:rPr>
        <w:t>Aktiva</w:t>
      </w:r>
      <w:r w:rsidRPr="00687743">
        <w:t xml:space="preserve"> </w:t>
      </w:r>
      <w:r>
        <w:t>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</w:t>
      </w:r>
      <w:r w:rsidR="00797A79">
        <w:t xml:space="preserve"> (</w:t>
      </w:r>
      <w:r>
        <w:t>mezi které se řadí i účty časového rozlišení</w:t>
      </w:r>
      <w:r w:rsidR="00797A79">
        <w:t>)</w:t>
      </w:r>
      <w:r>
        <w:t xml:space="preserve"> a krátkodobý finanční majetek.</w:t>
      </w:r>
    </w:p>
    <w:p w:rsidR="00700BCB" w:rsidRDefault="00700BCB" w:rsidP="00CD11C6">
      <w:pPr>
        <w:pStyle w:val="Nadpis3"/>
      </w:pPr>
      <w:bookmarkStart w:id="18" w:name="_Toc388005067"/>
      <w:r>
        <w:t>Stálá aktiva</w:t>
      </w:r>
      <w:bookmarkEnd w:id="18"/>
    </w:p>
    <w:p w:rsidR="00700BCB" w:rsidRDefault="00700BCB" w:rsidP="00700B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patří dlouhodobý nehmotný majetek, dlouhodobý hmotný majetek, dlouhodobý finanční majetek a dlouhodobé pohledávky. Běžné období obsahuje údaje k</w:t>
      </w:r>
      <w:r w:rsidR="00E27090">
        <w:rPr>
          <w:rFonts w:ascii="Tahoma" w:hAnsi="Tahoma" w:cs="Tahoma"/>
          <w:sz w:val="20"/>
          <w:szCs w:val="20"/>
        </w:rPr>
        <w:t xml:space="preserve"> datu </w:t>
      </w:r>
      <w:r>
        <w:rPr>
          <w:rFonts w:ascii="Tahoma" w:hAnsi="Tahoma" w:cs="Tahoma"/>
          <w:sz w:val="20"/>
          <w:szCs w:val="20"/>
        </w:rPr>
        <w:t>31. 12. 201</w:t>
      </w:r>
      <w:r w:rsidR="00E2709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 minulé období údaje</w:t>
      </w:r>
      <w:r w:rsidR="00641D9F">
        <w:rPr>
          <w:rFonts w:ascii="Tahoma" w:hAnsi="Tahoma" w:cs="Tahoma"/>
          <w:sz w:val="20"/>
          <w:szCs w:val="20"/>
        </w:rPr>
        <w:t xml:space="preserve"> v hodnotách netto</w:t>
      </w:r>
      <w:r>
        <w:rPr>
          <w:rFonts w:ascii="Tahoma" w:hAnsi="Tahoma" w:cs="Tahoma"/>
          <w:sz w:val="20"/>
          <w:szCs w:val="20"/>
        </w:rPr>
        <w:t xml:space="preserve"> k</w:t>
      </w:r>
      <w:r w:rsidR="00E27090">
        <w:rPr>
          <w:rFonts w:ascii="Tahoma" w:hAnsi="Tahoma" w:cs="Tahoma"/>
          <w:sz w:val="20"/>
          <w:szCs w:val="20"/>
        </w:rPr>
        <w:t xml:space="preserve"> datu </w:t>
      </w:r>
      <w:r>
        <w:rPr>
          <w:rFonts w:ascii="Tahoma" w:hAnsi="Tahoma" w:cs="Tahoma"/>
          <w:sz w:val="20"/>
          <w:szCs w:val="20"/>
        </w:rPr>
        <w:t>31. 12. 201</w:t>
      </w:r>
      <w:r w:rsidR="00E2709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641D9F">
        <w:rPr>
          <w:rFonts w:ascii="Tahoma" w:hAnsi="Tahoma" w:cs="Tahoma"/>
          <w:sz w:val="20"/>
          <w:szCs w:val="20"/>
        </w:rPr>
        <w:t xml:space="preserve">V korekci je výše oprávek a opravných položek </w:t>
      </w:r>
      <w:r w:rsidR="00797A79">
        <w:rPr>
          <w:rFonts w:ascii="Tahoma" w:hAnsi="Tahoma" w:cs="Tahoma"/>
          <w:sz w:val="20"/>
          <w:szCs w:val="20"/>
        </w:rPr>
        <w:t>k</w:t>
      </w:r>
      <w:r w:rsidR="00600242">
        <w:rPr>
          <w:rFonts w:ascii="Tahoma" w:hAnsi="Tahoma" w:cs="Tahoma"/>
          <w:sz w:val="20"/>
          <w:szCs w:val="20"/>
        </w:rPr>
        <w:t> </w:t>
      </w:r>
      <w:r w:rsidR="00797A79">
        <w:rPr>
          <w:rFonts w:ascii="Tahoma" w:hAnsi="Tahoma" w:cs="Tahoma"/>
          <w:sz w:val="20"/>
          <w:szCs w:val="20"/>
        </w:rPr>
        <w:t>31</w:t>
      </w:r>
      <w:r w:rsidR="00600242">
        <w:rPr>
          <w:rFonts w:ascii="Tahoma" w:hAnsi="Tahoma" w:cs="Tahoma"/>
          <w:sz w:val="20"/>
          <w:szCs w:val="20"/>
        </w:rPr>
        <w:t>.</w:t>
      </w:r>
      <w:r w:rsidR="00797A79">
        <w:rPr>
          <w:rFonts w:ascii="Tahoma" w:hAnsi="Tahoma" w:cs="Tahoma"/>
          <w:sz w:val="20"/>
          <w:szCs w:val="20"/>
        </w:rPr>
        <w:t> 12. </w:t>
      </w:r>
      <w:r w:rsidR="00E27090">
        <w:rPr>
          <w:rFonts w:ascii="Tahoma" w:hAnsi="Tahoma" w:cs="Tahoma"/>
          <w:sz w:val="20"/>
          <w:szCs w:val="20"/>
        </w:rPr>
        <w:t>2013</w:t>
      </w:r>
      <w:r w:rsidR="00797A79" w:rsidRPr="002C14AA">
        <w:rPr>
          <w:rFonts w:ascii="Tahoma" w:hAnsi="Tahoma" w:cs="Tahoma"/>
          <w:sz w:val="20"/>
          <w:szCs w:val="20"/>
        </w:rPr>
        <w:t>.</w:t>
      </w:r>
      <w:r w:rsidR="00641D9F" w:rsidRPr="002C14AA">
        <w:rPr>
          <w:rFonts w:ascii="Tahoma" w:hAnsi="Tahoma" w:cs="Tahoma"/>
          <w:sz w:val="20"/>
          <w:szCs w:val="20"/>
        </w:rPr>
        <w:t xml:space="preserve"> V tabulce 1.2 jsou uvedeny údaje z rozvahy</w:t>
      </w:r>
      <w:r w:rsidR="00641D9F">
        <w:rPr>
          <w:rFonts w:ascii="Tahoma" w:hAnsi="Tahoma" w:cs="Tahoma"/>
          <w:sz w:val="20"/>
          <w:szCs w:val="20"/>
        </w:rPr>
        <w:t xml:space="preserve"> </w:t>
      </w:r>
      <w:r w:rsidR="008A3025">
        <w:rPr>
          <w:rFonts w:ascii="Tahoma" w:hAnsi="Tahoma" w:cs="Tahoma"/>
          <w:sz w:val="20"/>
          <w:szCs w:val="20"/>
        </w:rPr>
        <w:t>v </w:t>
      </w:r>
      <w:r w:rsidR="008A3025" w:rsidRPr="005762F4">
        <w:rPr>
          <w:rFonts w:ascii="Tahoma" w:hAnsi="Tahoma" w:cs="Tahoma"/>
          <w:sz w:val="20"/>
          <w:szCs w:val="20"/>
        </w:rPr>
        <w:t xml:space="preserve">tis. Kč </w:t>
      </w:r>
      <w:r w:rsidR="00641D9F" w:rsidRPr="005762F4">
        <w:rPr>
          <w:rFonts w:ascii="Tahoma" w:hAnsi="Tahoma" w:cs="Tahoma"/>
          <w:sz w:val="20"/>
          <w:szCs w:val="20"/>
        </w:rPr>
        <w:t xml:space="preserve">s vyčíslením rozdílů u jednotlivých položek </w:t>
      </w:r>
      <w:r w:rsidR="00797A79" w:rsidRPr="005762F4">
        <w:rPr>
          <w:rFonts w:ascii="Tahoma" w:hAnsi="Tahoma" w:cs="Tahoma"/>
          <w:sz w:val="20"/>
          <w:szCs w:val="20"/>
        </w:rPr>
        <w:t xml:space="preserve">stálých aktiv </w:t>
      </w:r>
      <w:r w:rsidR="00641D9F" w:rsidRPr="005762F4">
        <w:rPr>
          <w:rFonts w:ascii="Tahoma" w:hAnsi="Tahoma" w:cs="Tahoma"/>
          <w:sz w:val="20"/>
          <w:szCs w:val="20"/>
        </w:rPr>
        <w:t>za období 201</w:t>
      </w:r>
      <w:r w:rsidR="00E27090">
        <w:rPr>
          <w:rFonts w:ascii="Tahoma" w:hAnsi="Tahoma" w:cs="Tahoma"/>
          <w:sz w:val="20"/>
          <w:szCs w:val="20"/>
        </w:rPr>
        <w:t>3</w:t>
      </w:r>
      <w:r w:rsidR="00641D9F" w:rsidRPr="005762F4">
        <w:rPr>
          <w:rFonts w:ascii="Tahoma" w:hAnsi="Tahoma" w:cs="Tahoma"/>
          <w:sz w:val="20"/>
          <w:szCs w:val="20"/>
        </w:rPr>
        <w:t xml:space="preserve"> a 201</w:t>
      </w:r>
      <w:r w:rsidR="00E27090">
        <w:rPr>
          <w:rFonts w:ascii="Tahoma" w:hAnsi="Tahoma" w:cs="Tahoma"/>
          <w:sz w:val="20"/>
          <w:szCs w:val="20"/>
        </w:rPr>
        <w:t>2</w:t>
      </w:r>
      <w:r w:rsidR="00641D9F" w:rsidRPr="005762F4">
        <w:rPr>
          <w:rFonts w:ascii="Tahoma" w:hAnsi="Tahoma" w:cs="Tahoma"/>
          <w:sz w:val="20"/>
          <w:szCs w:val="20"/>
        </w:rPr>
        <w:t>.</w:t>
      </w:r>
    </w:p>
    <w:p w:rsidR="00700BCB" w:rsidRDefault="00FD15C6" w:rsidP="006E4204">
      <w:pPr>
        <w:pStyle w:val="Styltab"/>
      </w:pPr>
      <w:r>
        <w:br w:type="page"/>
      </w:r>
      <w:r w:rsidR="00700BCB" w:rsidRPr="009D1AEE">
        <w:lastRenderedPageBreak/>
        <w:t>Stálá aktiva</w:t>
      </w:r>
      <w:r w:rsidR="00700BCB">
        <w:t xml:space="preserve"> </w:t>
      </w:r>
      <w:r w:rsidR="00700BCB" w:rsidRPr="00E638A1">
        <w:t>k 31.</w:t>
      </w:r>
      <w:r w:rsidR="00700BCB">
        <w:t xml:space="preserve"> </w:t>
      </w:r>
      <w:r w:rsidR="00700BCB" w:rsidRPr="00E638A1">
        <w:t>12.</w:t>
      </w:r>
      <w:r w:rsidR="00700BCB">
        <w:t xml:space="preserve"> </w:t>
      </w:r>
      <w:r w:rsidR="00E27090">
        <w:t>2013</w:t>
      </w:r>
      <w:r w:rsidR="006E4204">
        <w:tab/>
      </w:r>
      <w:r w:rsidR="00700BCB"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1122"/>
        <w:gridCol w:w="1122"/>
        <w:gridCol w:w="1122"/>
        <w:gridCol w:w="1309"/>
        <w:gridCol w:w="1122"/>
      </w:tblGrid>
      <w:tr w:rsidR="00700BCB" w:rsidRPr="003C4183">
        <w:trPr>
          <w:trHeight w:val="540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0343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(2013)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(2012)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A625DD" w:rsidRDefault="00700BCB" w:rsidP="00347D42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="00FA48C7"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(2013-2012)</w:t>
            </w:r>
          </w:p>
        </w:tc>
      </w:tr>
      <w:tr w:rsidR="00700BCB" w:rsidRPr="003C4183">
        <w:trPr>
          <w:trHeight w:val="270"/>
        </w:trPr>
        <w:tc>
          <w:tcPr>
            <w:tcW w:w="3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9C5AB5" w:rsidRPr="003C4183" w:rsidTr="00730277">
        <w:trPr>
          <w:trHeight w:val="510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Pr="003C4183" w:rsidRDefault="009C5AB5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B5" w:rsidRDefault="009C5AB5" w:rsidP="007302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7 663 109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Default="009C5AB5" w:rsidP="007302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1 457 760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 w:rsidP="0073027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6 205 349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7 455 369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-1 250 020</w:t>
            </w:r>
          </w:p>
        </w:tc>
      </w:tr>
      <w:tr w:rsidR="009C5AB5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Pr="003C4183" w:rsidRDefault="009C5AB5" w:rsidP="001868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nehmotný majetek (DNM)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244 348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165 050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79 298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88 303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-9 005</w:t>
            </w:r>
          </w:p>
        </w:tc>
      </w:tr>
      <w:tr w:rsidR="009C5AB5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Pr="003C4183" w:rsidRDefault="009C5AB5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013-software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109 388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73 870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35 518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43 206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-7 688</w:t>
            </w:r>
          </w:p>
        </w:tc>
      </w:tr>
      <w:tr w:rsidR="009C5AB5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Pr="003C4183" w:rsidRDefault="009C5AB5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014-ocenitelná práva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3 255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-669</w:t>
            </w:r>
          </w:p>
        </w:tc>
      </w:tr>
      <w:tr w:rsidR="009C5AB5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Pr="003C4183" w:rsidRDefault="009C5AB5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018-drobný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28 056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AB5" w:rsidRDefault="009C5AB5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28 056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AB5" w:rsidRDefault="009C5AB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AF1A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019-ostatní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99 822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59 869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39 953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41 770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-1 817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AF1A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041-nedokončený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869</w:t>
            </w:r>
          </w:p>
        </w:tc>
      </w:tr>
      <w:tr w:rsidR="00F96078" w:rsidRPr="003C4183" w:rsidTr="00AF1A55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AF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051-poskytnuté zálohy na DNM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 w:rsidP="00AF1A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300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hmotný majetek (DHM)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4 859 821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1 170 253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3 689 568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4 961 768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-1 272 200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031-pozemky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205 738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205 738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229 676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-23 938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032-kulturní předměty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021-stavby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1 905 827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473 367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1 432 460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1 632 042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-199 582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022-samostatné movité věci a soubory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1 038 537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533 194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505 343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541 961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-36 618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028-drobný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163 692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163 692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042-nedokončený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1 545 182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1 545 182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2 556 308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-1 011 126</w:t>
            </w:r>
          </w:p>
        </w:tc>
      </w:tr>
      <w:tr w:rsidR="00F96078" w:rsidRPr="003C4183" w:rsidTr="001868B6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052-zálohy na DHM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1 652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-936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1 069 000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122 445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946 555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949 217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-2 662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061-majetkové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rozhodujícím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884 271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118 398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765 873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781 746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-15 873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062-majetkové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podstatným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-4 047</w:t>
            </w:r>
          </w:p>
        </w:tc>
      </w:tr>
      <w:tr w:rsidR="00F96078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Pr="003C4183" w:rsidRDefault="00F96078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068-termínované vklady dlouhodobé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078" w:rsidRDefault="00F96078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078" w:rsidRDefault="00F9607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45340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AF1A55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069-ostatní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545340" w:rsidRPr="003C4183" w:rsidTr="001868B6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AF1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043-pořizovaný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 w:rsidP="00AF1A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17 258</w:t>
            </w:r>
          </w:p>
        </w:tc>
      </w:tr>
      <w:tr w:rsidR="00545340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1868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1 489 940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1 489 928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1 456 081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33 847</w:t>
            </w:r>
          </w:p>
        </w:tc>
      </w:tr>
      <w:tr w:rsidR="00545340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465-dlouhodobé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31 274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31 274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7 787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23 487</w:t>
            </w:r>
          </w:p>
        </w:tc>
      </w:tr>
      <w:tr w:rsidR="00545340" w:rsidRPr="003C4183" w:rsidTr="001868B6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469-ostatní 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775 615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775 603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744 599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31 004</w:t>
            </w:r>
          </w:p>
        </w:tc>
      </w:tr>
      <w:tr w:rsidR="00545340" w:rsidRPr="003C4183" w:rsidTr="001868B6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Pr="003C4183" w:rsidRDefault="00545340" w:rsidP="001868B6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471-dlouhodobé poskytnuté zálohy na transfery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683 051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5340" w:rsidRDefault="00545340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683 051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703 695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340" w:rsidRDefault="0054534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-20 644</w:t>
            </w:r>
          </w:p>
        </w:tc>
      </w:tr>
    </w:tbl>
    <w:p w:rsidR="00700BCB" w:rsidRDefault="00700BCB" w:rsidP="00F13647">
      <w:pPr>
        <w:pStyle w:val="Mjtext"/>
        <w:spacing w:before="240"/>
        <w:rPr>
          <w:szCs w:val="20"/>
        </w:rPr>
      </w:pPr>
      <w:r w:rsidRPr="00AD1A5B">
        <w:rPr>
          <w:szCs w:val="20"/>
          <w:u w:val="single"/>
        </w:rPr>
        <w:t>Dlouhodobý nehmotný majetek</w:t>
      </w:r>
      <w:r w:rsidR="002D356A">
        <w:rPr>
          <w:szCs w:val="20"/>
          <w:u w:val="single"/>
        </w:rPr>
        <w:t xml:space="preserve"> </w:t>
      </w:r>
      <w:r w:rsidR="00E85F2F">
        <w:rPr>
          <w:szCs w:val="20"/>
          <w:u w:val="single"/>
        </w:rPr>
        <w:t>(</w:t>
      </w:r>
      <w:r w:rsidR="00641D9F">
        <w:rPr>
          <w:szCs w:val="20"/>
          <w:u w:val="single"/>
        </w:rPr>
        <w:t>D</w:t>
      </w:r>
      <w:r w:rsidR="002D356A">
        <w:rPr>
          <w:szCs w:val="20"/>
          <w:u w:val="single"/>
        </w:rPr>
        <w:t>N</w:t>
      </w:r>
      <w:r w:rsidR="00641D9F">
        <w:rPr>
          <w:szCs w:val="20"/>
          <w:u w:val="single"/>
        </w:rPr>
        <w:t>M</w:t>
      </w:r>
      <w:r w:rsidR="00724217">
        <w:rPr>
          <w:szCs w:val="20"/>
          <w:u w:val="single"/>
        </w:rPr>
        <w:t>)</w:t>
      </w:r>
      <w:r>
        <w:rPr>
          <w:szCs w:val="20"/>
        </w:rPr>
        <w:t xml:space="preserve"> obsahuje tyto položky: software, ocenitelná práva, drobný DNM</w:t>
      </w:r>
      <w:r w:rsidR="008A3025">
        <w:rPr>
          <w:szCs w:val="20"/>
        </w:rPr>
        <w:t>, ostatní DNM</w:t>
      </w:r>
      <w:r w:rsidR="00730277">
        <w:rPr>
          <w:szCs w:val="20"/>
        </w:rPr>
        <w:t>,</w:t>
      </w:r>
      <w:r>
        <w:rPr>
          <w:szCs w:val="20"/>
        </w:rPr>
        <w:t> nedokončený DNM</w:t>
      </w:r>
      <w:r w:rsidR="00730277">
        <w:rPr>
          <w:szCs w:val="20"/>
        </w:rPr>
        <w:t xml:space="preserve"> a poskytnuté zálohy na DNM</w:t>
      </w:r>
      <w:r>
        <w:rPr>
          <w:szCs w:val="20"/>
        </w:rPr>
        <w:t xml:space="preserve">. </w:t>
      </w:r>
      <w:r w:rsidR="009C5AB5">
        <w:rPr>
          <w:szCs w:val="20"/>
        </w:rPr>
        <w:t>Zásady</w:t>
      </w:r>
      <w:r>
        <w:rPr>
          <w:szCs w:val="20"/>
        </w:rPr>
        <w:t xml:space="preserve"> pro evidenci a oceňování dlouhodobého nehmotného majetku a hmotného majetku stanoví </w:t>
      </w:r>
      <w:r w:rsidR="00A625DD">
        <w:rPr>
          <w:szCs w:val="20"/>
        </w:rPr>
        <w:t xml:space="preserve">vnitřní </w:t>
      </w:r>
      <w:r>
        <w:rPr>
          <w:szCs w:val="20"/>
        </w:rPr>
        <w:t>Směrnice pro evidenci a</w:t>
      </w:r>
      <w:r w:rsidR="00A625DD">
        <w:rPr>
          <w:szCs w:val="20"/>
        </w:rPr>
        <w:t> </w:t>
      </w:r>
      <w:r>
        <w:rPr>
          <w:szCs w:val="20"/>
        </w:rPr>
        <w:t>správu majetku Moravskoslezského kraje.</w:t>
      </w:r>
    </w:p>
    <w:p w:rsidR="002D356A" w:rsidRPr="002D356A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 w:rsidRPr="00AD1A5B">
        <w:rPr>
          <w:u w:val="single"/>
        </w:rPr>
        <w:t>Software</w:t>
      </w:r>
      <w:r>
        <w:t xml:space="preserve"> – na účtu 013 je evidován software, jehož ocenění je vyšší než 60.000 Kč a doba použitelnosti je delší než 1 rok </w:t>
      </w:r>
      <w:r w:rsidR="00641D9F">
        <w:t xml:space="preserve">v celkové výši </w:t>
      </w:r>
      <w:r w:rsidR="00730277">
        <w:t>109.388</w:t>
      </w:r>
      <w:r>
        <w:t xml:space="preserve"> tis. K</w:t>
      </w:r>
      <w:r w:rsidR="00641D9F">
        <w:t>č</w:t>
      </w:r>
      <w:r>
        <w:t xml:space="preserve">. V korekci jsou vykázány oprávky k tomuto majetku ve výši </w:t>
      </w:r>
      <w:r w:rsidR="00730277">
        <w:t>73.870</w:t>
      </w:r>
      <w:r>
        <w:t xml:space="preserve"> tis. Kč, opravné položky k software nebyly vytvořeny. 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Ocenitelná práva</w:t>
      </w:r>
      <w:r w:rsidRPr="00687743">
        <w:t xml:space="preserve"> </w:t>
      </w:r>
      <w:r>
        <w:rPr>
          <w:szCs w:val="20"/>
        </w:rPr>
        <w:t>– na účtu 014 jsou evidována ocenitelná práva v ocenění vyšším než 60.000 Kč a</w:t>
      </w:r>
      <w:r w:rsidR="00A625DD">
        <w:rPr>
          <w:szCs w:val="20"/>
        </w:rPr>
        <w:t> </w:t>
      </w:r>
      <w:r>
        <w:rPr>
          <w:szCs w:val="20"/>
        </w:rPr>
        <w:t>dobou použitelnosti delší než 1 rok v celkové výš</w:t>
      </w:r>
      <w:r w:rsidR="002D356A">
        <w:rPr>
          <w:szCs w:val="20"/>
        </w:rPr>
        <w:t>i</w:t>
      </w:r>
      <w:r>
        <w:rPr>
          <w:szCs w:val="20"/>
        </w:rPr>
        <w:t xml:space="preserve"> 3.525 tis. Kč; jedná se např. o panoramatické pohledy, licence k TV spotům, licence k virtuálním prohlídkám objektů MSK. V korekci jsou vykázány oprávky k tomuto majetku ve výši </w:t>
      </w:r>
      <w:r w:rsidR="00730277">
        <w:rPr>
          <w:szCs w:val="20"/>
        </w:rPr>
        <w:t>3.255</w:t>
      </w:r>
      <w:r>
        <w:rPr>
          <w:szCs w:val="20"/>
        </w:rPr>
        <w:t xml:space="preserve"> tis. Kč, opravné položky k ocenitelným právům nebyly vytvořeny.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Drobný DNM</w:t>
      </w:r>
      <w:r w:rsidRPr="00687743">
        <w:t xml:space="preserve"> </w:t>
      </w:r>
      <w:r>
        <w:rPr>
          <w:szCs w:val="20"/>
        </w:rPr>
        <w:t>– na účtu 018 je evidován drobný DNM, jehož ocenění je v částce 7.000 Kč a vyšší a</w:t>
      </w:r>
      <w:r w:rsidR="002D356A">
        <w:rPr>
          <w:szCs w:val="20"/>
        </w:rPr>
        <w:t> </w:t>
      </w:r>
      <w:r>
        <w:rPr>
          <w:szCs w:val="20"/>
        </w:rPr>
        <w:t>nepřevyšuje částku 60.000 Kč</w:t>
      </w:r>
      <w:r w:rsidR="002D356A">
        <w:rPr>
          <w:szCs w:val="20"/>
        </w:rPr>
        <w:t>,</w:t>
      </w:r>
      <w:r>
        <w:rPr>
          <w:szCs w:val="20"/>
        </w:rPr>
        <w:t xml:space="preserve"> v celkové výši </w:t>
      </w:r>
      <w:r w:rsidR="00730277">
        <w:rPr>
          <w:szCs w:val="20"/>
        </w:rPr>
        <w:t>28.056</w:t>
      </w:r>
      <w:r>
        <w:rPr>
          <w:szCs w:val="20"/>
        </w:rPr>
        <w:t xml:space="preserve"> tis. Kč</w:t>
      </w:r>
      <w:r w:rsidR="00730277">
        <w:rPr>
          <w:szCs w:val="20"/>
        </w:rPr>
        <w:t xml:space="preserve"> (v r. 2012 byl na účtu evidován majetek ve výši 17.407</w:t>
      </w:r>
      <w:r w:rsidR="00A625DD">
        <w:rPr>
          <w:szCs w:val="20"/>
        </w:rPr>
        <w:t> </w:t>
      </w:r>
      <w:r w:rsidR="00730277">
        <w:rPr>
          <w:szCs w:val="20"/>
        </w:rPr>
        <w:t>tis.</w:t>
      </w:r>
      <w:r w:rsidR="00A625DD">
        <w:rPr>
          <w:szCs w:val="20"/>
        </w:rPr>
        <w:t> </w:t>
      </w:r>
      <w:r w:rsidR="00730277">
        <w:rPr>
          <w:szCs w:val="20"/>
        </w:rPr>
        <w:t>Kč, což představuje nárůst majetku o 10.649</w:t>
      </w:r>
      <w:r w:rsidR="00A625DD">
        <w:rPr>
          <w:szCs w:val="20"/>
        </w:rPr>
        <w:t> </w:t>
      </w:r>
      <w:r w:rsidR="00730277">
        <w:rPr>
          <w:szCs w:val="20"/>
        </w:rPr>
        <w:t>tis.</w:t>
      </w:r>
      <w:r w:rsidR="00A625DD">
        <w:rPr>
          <w:szCs w:val="20"/>
        </w:rPr>
        <w:t> </w:t>
      </w:r>
      <w:r w:rsidR="00730277">
        <w:rPr>
          <w:szCs w:val="20"/>
        </w:rPr>
        <w:t>Kč)</w:t>
      </w:r>
      <w:r>
        <w:rPr>
          <w:szCs w:val="20"/>
        </w:rPr>
        <w:t>; je zde evidován zejména software, dále pak DVD spoty a licence v daném ocenění. Při zavedení majetku do</w:t>
      </w:r>
      <w:r w:rsidR="00CE67F4">
        <w:rPr>
          <w:szCs w:val="20"/>
        </w:rPr>
        <w:t> </w:t>
      </w:r>
      <w:r>
        <w:rPr>
          <w:szCs w:val="20"/>
        </w:rPr>
        <w:t xml:space="preserve">používání se </w:t>
      </w:r>
      <w:r w:rsidR="00E72155">
        <w:rPr>
          <w:szCs w:val="20"/>
        </w:rPr>
        <w:t xml:space="preserve">dle platné metodiky </w:t>
      </w:r>
      <w:r>
        <w:rPr>
          <w:szCs w:val="20"/>
        </w:rPr>
        <w:t>celá částka zaúčtuje proti účtu opráv</w:t>
      </w:r>
      <w:r w:rsidR="002D356A">
        <w:rPr>
          <w:szCs w:val="20"/>
        </w:rPr>
        <w:t>ek, který je vykázán v korekci. V</w:t>
      </w:r>
      <w:r>
        <w:rPr>
          <w:szCs w:val="20"/>
        </w:rPr>
        <w:t xml:space="preserve"> hodnotě netto je proto </w:t>
      </w:r>
      <w:r w:rsidR="008A3025">
        <w:rPr>
          <w:szCs w:val="20"/>
        </w:rPr>
        <w:t>v r. 201</w:t>
      </w:r>
      <w:r w:rsidR="00730277">
        <w:rPr>
          <w:szCs w:val="20"/>
        </w:rPr>
        <w:t>3</w:t>
      </w:r>
      <w:r w:rsidR="008A3025">
        <w:rPr>
          <w:szCs w:val="20"/>
        </w:rPr>
        <w:t xml:space="preserve"> a 201</w:t>
      </w:r>
      <w:r w:rsidR="00730277">
        <w:rPr>
          <w:szCs w:val="20"/>
        </w:rPr>
        <w:t>2</w:t>
      </w:r>
      <w:r w:rsidR="008A3025">
        <w:rPr>
          <w:szCs w:val="20"/>
        </w:rPr>
        <w:t xml:space="preserve"> </w:t>
      </w:r>
      <w:r>
        <w:rPr>
          <w:szCs w:val="20"/>
        </w:rPr>
        <w:t>vykázán nulový stav</w:t>
      </w:r>
      <w:r w:rsidR="008A3025">
        <w:rPr>
          <w:szCs w:val="20"/>
        </w:rPr>
        <w:t>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lastRenderedPageBreak/>
        <w:t>Ostatní DNM</w:t>
      </w:r>
      <w:r w:rsidRPr="00687743">
        <w:t xml:space="preserve"> </w:t>
      </w:r>
      <w:r>
        <w:rPr>
          <w:szCs w:val="20"/>
        </w:rPr>
        <w:t xml:space="preserve">– na účtu 019 je evidován ostatní DNM (bez ohledu na výši ocenění), který není vykázán </w:t>
      </w:r>
      <w:r w:rsidR="002D356A">
        <w:rPr>
          <w:szCs w:val="20"/>
        </w:rPr>
        <w:t xml:space="preserve">na ostatních majetkových účtech, v celkové výši </w:t>
      </w:r>
      <w:r w:rsidR="00730277">
        <w:rPr>
          <w:szCs w:val="20"/>
        </w:rPr>
        <w:t>99.822</w:t>
      </w:r>
      <w:r w:rsidR="00687743">
        <w:rPr>
          <w:szCs w:val="20"/>
        </w:rPr>
        <w:t xml:space="preserve"> tis. Kč;</w:t>
      </w:r>
      <w:r>
        <w:rPr>
          <w:szCs w:val="20"/>
        </w:rPr>
        <w:t xml:space="preserve"> patří zde například ortofotomapy, státní mapová díla, webový portál MSK, různé studie, analýzy a koncepce. V korekci jsou vyk</w:t>
      </w:r>
      <w:r w:rsidR="00687743">
        <w:rPr>
          <w:szCs w:val="20"/>
        </w:rPr>
        <w:t xml:space="preserve">ázány oprávky k tomuto majetku ve výši </w:t>
      </w:r>
      <w:r w:rsidR="00730277">
        <w:rPr>
          <w:szCs w:val="20"/>
        </w:rPr>
        <w:t>59.869</w:t>
      </w:r>
      <w:r>
        <w:rPr>
          <w:szCs w:val="20"/>
        </w:rPr>
        <w:t xml:space="preserve"> tis. Kč, opravné položky k majetku nebyly vytvořeny.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Nedokončený DNM</w:t>
      </w:r>
      <w:r w:rsidRPr="00E85F2F">
        <w:t xml:space="preserve"> </w:t>
      </w:r>
      <w:r>
        <w:rPr>
          <w:szCs w:val="20"/>
        </w:rPr>
        <w:t xml:space="preserve">– na účtu 041 jsou evidovány pořizovací náklady k různým studiím </w:t>
      </w:r>
      <w:r w:rsidR="00691E01">
        <w:rPr>
          <w:szCs w:val="20"/>
        </w:rPr>
        <w:t xml:space="preserve">a analýzám </w:t>
      </w:r>
      <w:r>
        <w:rPr>
          <w:szCs w:val="20"/>
        </w:rPr>
        <w:t xml:space="preserve">ve výši </w:t>
      </w:r>
      <w:r w:rsidR="00730277">
        <w:rPr>
          <w:szCs w:val="20"/>
        </w:rPr>
        <w:t>3.257</w:t>
      </w:r>
      <w:r>
        <w:rPr>
          <w:szCs w:val="20"/>
        </w:rPr>
        <w:t xml:space="preserve"> tis. Kč (majetek ještě není dokončen a zaveden na majetkové karty), korekce není u</w:t>
      </w:r>
      <w:r w:rsidR="00691E01">
        <w:rPr>
          <w:szCs w:val="20"/>
        </w:rPr>
        <w:t> </w:t>
      </w:r>
      <w:r>
        <w:rPr>
          <w:szCs w:val="20"/>
        </w:rPr>
        <w:t>tohoto majetku vykázána.</w:t>
      </w:r>
    </w:p>
    <w:p w:rsidR="00071727" w:rsidRDefault="00071727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 xml:space="preserve">Poskytnuté zálohy na DNH </w:t>
      </w:r>
      <w:r>
        <w:rPr>
          <w:szCs w:val="20"/>
        </w:rPr>
        <w:t>– na účtu 051 je evidována poskytnutá záloha na propagační spoty ve výši 300 tis. Kč.</w:t>
      </w:r>
    </w:p>
    <w:p w:rsidR="00700BCB" w:rsidRDefault="00700BCB" w:rsidP="00700BCB">
      <w:pPr>
        <w:pStyle w:val="Mjtext"/>
      </w:pPr>
      <w:r w:rsidRPr="00230194">
        <w:rPr>
          <w:u w:val="single"/>
        </w:rPr>
        <w:t>Dlouhodobý hmotný majetek</w:t>
      </w:r>
      <w:r w:rsidR="002D356A">
        <w:rPr>
          <w:u w:val="single"/>
        </w:rPr>
        <w:t xml:space="preserve"> (DHM)</w:t>
      </w:r>
      <w:r>
        <w:t xml:space="preserve"> obsahuje tyto položky: pozemky, kulturní předměty, stavby, samostatné movité věci a soubory movitých věcí, drobný DHM, nedokončený DHM a zálohy na DHM.</w:t>
      </w:r>
    </w:p>
    <w:p w:rsidR="00700BCB" w:rsidRPr="009001E1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9001E1">
        <w:rPr>
          <w:u w:val="single"/>
        </w:rPr>
        <w:t>Pozemky</w:t>
      </w:r>
      <w:r w:rsidRPr="009001E1">
        <w:t xml:space="preserve"> – na účtu 031 jsou evidovány pozemky bez ohledu na výši ocenění, pozemky se neodpisují, k majetku nebyly vytvořeny opravné položky - v korekci je nula. Z celkového stavu pozemků ve výši </w:t>
      </w:r>
      <w:r w:rsidR="00730277" w:rsidRPr="009001E1">
        <w:t>205.738</w:t>
      </w:r>
      <w:r w:rsidR="009001E1" w:rsidRPr="009001E1">
        <w:rPr>
          <w:szCs w:val="20"/>
        </w:rPr>
        <w:t> </w:t>
      </w:r>
      <w:r w:rsidRPr="009001E1">
        <w:t>tis.</w:t>
      </w:r>
      <w:r w:rsidR="009001E1" w:rsidRPr="009001E1">
        <w:rPr>
          <w:szCs w:val="20"/>
        </w:rPr>
        <w:t> </w:t>
      </w:r>
      <w:r w:rsidRPr="009001E1">
        <w:t>Kč tvoří největší položku pozemky v k.ú. Nošovice ve výši</w:t>
      </w:r>
      <w:r w:rsidR="009001E1" w:rsidRPr="009001E1">
        <w:t xml:space="preserve"> </w:t>
      </w:r>
      <w:r w:rsidR="00545340" w:rsidRPr="009001E1">
        <w:t>142.</w:t>
      </w:r>
      <w:r w:rsidR="009001E1" w:rsidRPr="009001E1">
        <w:t>659</w:t>
      </w:r>
      <w:r w:rsidRPr="009001E1">
        <w:t> tis.</w:t>
      </w:r>
      <w:r w:rsidR="00545340" w:rsidRPr="009001E1">
        <w:rPr>
          <w:szCs w:val="20"/>
        </w:rPr>
        <w:t> </w:t>
      </w:r>
      <w:r w:rsidRPr="009001E1">
        <w:t xml:space="preserve">Kč. </w:t>
      </w:r>
      <w:r w:rsidR="004F4E81" w:rsidRPr="009001E1">
        <w:t xml:space="preserve">Oproti </w:t>
      </w:r>
      <w:r w:rsidR="00045A74" w:rsidRPr="009001E1">
        <w:t xml:space="preserve">roku </w:t>
      </w:r>
      <w:r w:rsidR="004F4E81" w:rsidRPr="009001E1">
        <w:t>201</w:t>
      </w:r>
      <w:r w:rsidR="00730277" w:rsidRPr="009001E1">
        <w:t>2</w:t>
      </w:r>
      <w:r w:rsidR="004F4E81" w:rsidRPr="009001E1">
        <w:t xml:space="preserve"> došlo k úbytku pozemků ve výši </w:t>
      </w:r>
      <w:r w:rsidR="00730277" w:rsidRPr="009001E1">
        <w:t>23.938</w:t>
      </w:r>
      <w:r w:rsidR="009001E1" w:rsidRPr="009001E1">
        <w:rPr>
          <w:szCs w:val="20"/>
        </w:rPr>
        <w:t> </w:t>
      </w:r>
      <w:r w:rsidR="004F4E81" w:rsidRPr="009001E1">
        <w:t>tis.</w:t>
      </w:r>
      <w:r w:rsidR="009001E1" w:rsidRPr="009001E1">
        <w:rPr>
          <w:szCs w:val="20"/>
        </w:rPr>
        <w:t> </w:t>
      </w:r>
      <w:r w:rsidR="004F4E81" w:rsidRPr="009001E1">
        <w:t>Kč</w:t>
      </w:r>
      <w:r w:rsidR="009001E1" w:rsidRPr="009001E1">
        <w:t>, největší položkou, která se podílela na snížení pozemků bylo předání pozemků v k.ú. Nošovice k hospodářskému využití Správě silnic MSK ve výši 29.975</w:t>
      </w:r>
      <w:r w:rsidR="009001E1" w:rsidRPr="009001E1">
        <w:rPr>
          <w:szCs w:val="20"/>
        </w:rPr>
        <w:t> </w:t>
      </w:r>
      <w:r w:rsidR="009001E1" w:rsidRPr="009001E1">
        <w:t>tis.</w:t>
      </w:r>
      <w:r w:rsidR="009001E1" w:rsidRPr="009001E1">
        <w:rPr>
          <w:szCs w:val="20"/>
        </w:rPr>
        <w:t> </w:t>
      </w:r>
      <w:r w:rsidR="009001E1" w:rsidRPr="009001E1">
        <w:t>Kč.</w:t>
      </w:r>
    </w:p>
    <w:p w:rsidR="00700BCB" w:rsidRPr="008E0C9C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Kulturní předměty</w:t>
      </w:r>
      <w:r w:rsidRPr="00687743">
        <w:t xml:space="preserve"> </w:t>
      </w:r>
      <w:r>
        <w:t>–</w:t>
      </w:r>
      <w:r w:rsidRPr="00E240DE">
        <w:t xml:space="preserve"> na</w:t>
      </w:r>
      <w:r>
        <w:t xml:space="preserve"> účtu 032 jsou evidovány bez ohledu na výši ocenění předměty kulturní hodnoty, movité kulturní památky a sbírky muzejní povahy a umělecká díla. Na kraji jsou na účtu evidována uměl</w:t>
      </w:r>
      <w:r w:rsidR="004F4E81">
        <w:t>ecká díla v hodnotě 129 tis. Kč;</w:t>
      </w:r>
      <w:r>
        <w:t xml:space="preserve"> kulturní předměty se neodpisují, k majetku nebyly vytvořeny opravné položky – v korekci je nula.</w:t>
      </w:r>
    </w:p>
    <w:p w:rsidR="00700BCB" w:rsidRPr="00FC005F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FC005F">
        <w:rPr>
          <w:u w:val="single"/>
        </w:rPr>
        <w:t>Stavby</w:t>
      </w:r>
      <w:r w:rsidRPr="00FC005F">
        <w:t xml:space="preserve"> – na účtu 021 jsou evidovány bez ohledu na výši ocenění a dobu použitelnosti stavby a</w:t>
      </w:r>
      <w:r w:rsidR="002D356A" w:rsidRPr="00FC005F">
        <w:t> </w:t>
      </w:r>
      <w:r w:rsidR="00926D31" w:rsidRPr="00FC005F">
        <w:t xml:space="preserve">dále </w:t>
      </w:r>
      <w:r w:rsidRPr="00FC005F">
        <w:t xml:space="preserve">technické zhodnocení majetku, jehož ocenění převyšuje částku 40.000 Kč. Z celkové hodnoty staveb ve výši </w:t>
      </w:r>
      <w:r w:rsidR="00926D31" w:rsidRPr="00FC005F">
        <w:t>1.905.827</w:t>
      </w:r>
      <w:r w:rsidR="008D2B59" w:rsidRPr="00FC005F">
        <w:rPr>
          <w:szCs w:val="20"/>
        </w:rPr>
        <w:t> </w:t>
      </w:r>
      <w:r w:rsidRPr="00FC005F">
        <w:t>tis.</w:t>
      </w:r>
      <w:r w:rsidR="008D2B59" w:rsidRPr="00FC005F">
        <w:rPr>
          <w:szCs w:val="20"/>
        </w:rPr>
        <w:t> </w:t>
      </w:r>
      <w:r w:rsidRPr="00FC005F">
        <w:t>Kč představují největší položky tyto</w:t>
      </w:r>
      <w:r w:rsidR="00926D31" w:rsidRPr="00FC005F">
        <w:t xml:space="preserve"> stavby: budova krajského úřadu,</w:t>
      </w:r>
      <w:r w:rsidRPr="00FC005F">
        <w:t xml:space="preserve"> včetně</w:t>
      </w:r>
      <w:r w:rsidR="00926D31" w:rsidRPr="00FC005F">
        <w:t xml:space="preserve"> hodnoty</w:t>
      </w:r>
      <w:r w:rsidR="00FE2D83" w:rsidRPr="00FC005F">
        <w:t xml:space="preserve"> </w:t>
      </w:r>
      <w:r w:rsidRPr="00FC005F">
        <w:t>budovy</w:t>
      </w:r>
      <w:r w:rsidR="00345B39">
        <w:t xml:space="preserve"> H</w:t>
      </w:r>
      <w:r w:rsidRPr="00FC005F">
        <w:t xml:space="preserve"> </w:t>
      </w:r>
      <w:r w:rsidR="00100326" w:rsidRPr="00FC005F">
        <w:t>(</w:t>
      </w:r>
      <w:r w:rsidR="00FC005F" w:rsidRPr="00FC005F">
        <w:t>703.556 tis. Kč</w:t>
      </w:r>
      <w:r w:rsidR="00100326" w:rsidRPr="00FC005F">
        <w:t>)</w:t>
      </w:r>
      <w:r w:rsidRPr="00FC005F">
        <w:t xml:space="preserve">, budova </w:t>
      </w:r>
      <w:r w:rsidR="00FC005F" w:rsidRPr="00FC005F">
        <w:t xml:space="preserve">a ostatní stavby </w:t>
      </w:r>
      <w:r w:rsidRPr="00FC005F">
        <w:t xml:space="preserve">IBC </w:t>
      </w:r>
      <w:r w:rsidR="00100326" w:rsidRPr="00FC005F">
        <w:t>MSK (</w:t>
      </w:r>
      <w:r w:rsidR="00FC005F" w:rsidRPr="00FC005F">
        <w:t>422.511</w:t>
      </w:r>
      <w:r w:rsidR="00926D31" w:rsidRPr="00FC005F">
        <w:t> </w:t>
      </w:r>
      <w:r w:rsidRPr="00FC005F">
        <w:t>tis.</w:t>
      </w:r>
      <w:r w:rsidR="00926D31" w:rsidRPr="00FC005F">
        <w:t> </w:t>
      </w:r>
      <w:r w:rsidRPr="00FC005F">
        <w:t>Kč</w:t>
      </w:r>
      <w:r w:rsidR="00100326" w:rsidRPr="00FC005F">
        <w:t>)</w:t>
      </w:r>
      <w:r w:rsidR="00E85F2F" w:rsidRPr="00FC005F">
        <w:t>,</w:t>
      </w:r>
      <w:r w:rsidRPr="00FC005F">
        <w:t> budovy a</w:t>
      </w:r>
      <w:r w:rsidR="00E85F2F" w:rsidRPr="00FC005F">
        <w:t> </w:t>
      </w:r>
      <w:r w:rsidRPr="00FC005F">
        <w:t>ostatní stavby převedené na kraj ze zrušené Nemocnice s poliklinikou v Novém Jičíně</w:t>
      </w:r>
      <w:r w:rsidR="00100326" w:rsidRPr="00FC005F">
        <w:t>, p.o.</w:t>
      </w:r>
      <w:r w:rsidRPr="00FC005F">
        <w:t xml:space="preserve"> </w:t>
      </w:r>
      <w:r w:rsidR="00100326" w:rsidRPr="00FC005F">
        <w:t>(</w:t>
      </w:r>
      <w:r w:rsidR="00E327A3" w:rsidRPr="00FC005F">
        <w:t>539.781</w:t>
      </w:r>
      <w:r w:rsidR="00E327A3" w:rsidRPr="00FC005F">
        <w:rPr>
          <w:szCs w:val="20"/>
        </w:rPr>
        <w:t xml:space="preserve"> tis. Kč). </w:t>
      </w:r>
      <w:r w:rsidRPr="00FC005F">
        <w:t>Výše korekce představuje výši oprávek ke stavbám (</w:t>
      </w:r>
      <w:r w:rsidR="00926D31" w:rsidRPr="00FC005F">
        <w:t>473.367</w:t>
      </w:r>
      <w:r w:rsidR="002D356A" w:rsidRPr="00FC005F">
        <w:t> </w:t>
      </w:r>
      <w:r w:rsidRPr="00FC005F">
        <w:t>tis.</w:t>
      </w:r>
      <w:r w:rsidR="002D356A" w:rsidRPr="00FC005F">
        <w:t> </w:t>
      </w:r>
      <w:r w:rsidRPr="00FC005F">
        <w:t>Kč), opravné položky nebyly vytvořeny.</w:t>
      </w:r>
      <w:r w:rsidR="004F4E81" w:rsidRPr="00FC005F">
        <w:t xml:space="preserve"> Oproti roku 201</w:t>
      </w:r>
      <w:r w:rsidR="00926D31" w:rsidRPr="00FC005F">
        <w:t>2</w:t>
      </w:r>
      <w:r w:rsidR="004F4E81" w:rsidRPr="00FC005F">
        <w:t xml:space="preserve"> došlo k </w:t>
      </w:r>
      <w:r w:rsidR="00926D31" w:rsidRPr="00FC005F">
        <w:t>poklesu</w:t>
      </w:r>
      <w:r w:rsidR="004F4E81" w:rsidRPr="00FC005F">
        <w:t xml:space="preserve"> staveb </w:t>
      </w:r>
      <w:r w:rsidR="00926D31" w:rsidRPr="00FC005F">
        <w:t xml:space="preserve">v netto hodnotě </w:t>
      </w:r>
      <w:r w:rsidR="004F4E81" w:rsidRPr="00FC005F">
        <w:t>o</w:t>
      </w:r>
      <w:r w:rsidR="00BE0E27" w:rsidRPr="00FC005F">
        <w:t> </w:t>
      </w:r>
      <w:r w:rsidR="00926D31" w:rsidRPr="00FC005F">
        <w:t>199.582</w:t>
      </w:r>
      <w:r w:rsidR="00BE0E27" w:rsidRPr="00FC005F">
        <w:t xml:space="preserve"> tis. Kč, </w:t>
      </w:r>
      <w:r w:rsidR="00E327A3" w:rsidRPr="00FC005F">
        <w:t>(v brutto hodnotě o 176.129</w:t>
      </w:r>
      <w:r w:rsidR="00E327A3" w:rsidRPr="00FC005F">
        <w:rPr>
          <w:szCs w:val="20"/>
        </w:rPr>
        <w:t xml:space="preserve"> tis. Kč), a to zejména </w:t>
      </w:r>
      <w:r w:rsidR="004E0B8F" w:rsidRPr="00FC005F">
        <w:rPr>
          <w:szCs w:val="20"/>
        </w:rPr>
        <w:t xml:space="preserve">předáním silnic a staveb k hospodářskému využití </w:t>
      </w:r>
      <w:r w:rsidR="00BB0441" w:rsidRPr="00FC005F">
        <w:rPr>
          <w:szCs w:val="20"/>
        </w:rPr>
        <w:t xml:space="preserve">Správě silnic MSK, p.o. </w:t>
      </w:r>
      <w:r w:rsidR="004E0B8F" w:rsidRPr="00FC005F">
        <w:rPr>
          <w:szCs w:val="20"/>
        </w:rPr>
        <w:t>(</w:t>
      </w:r>
      <w:r w:rsidR="00BB0441" w:rsidRPr="00FC005F">
        <w:rPr>
          <w:szCs w:val="20"/>
        </w:rPr>
        <w:t xml:space="preserve">např. </w:t>
      </w:r>
      <w:r w:rsidR="004E0B8F" w:rsidRPr="00FC005F">
        <w:rPr>
          <w:szCs w:val="20"/>
        </w:rPr>
        <w:t>ul. Českobratrská III</w:t>
      </w:r>
      <w:r w:rsidR="00BB0441" w:rsidRPr="00FC005F">
        <w:rPr>
          <w:szCs w:val="20"/>
        </w:rPr>
        <w:t xml:space="preserve"> – 141.169</w:t>
      </w:r>
      <w:r w:rsidR="00BB0441" w:rsidRPr="00FC005F">
        <w:t> tis. Kč, odstavné parkoviště Nošovice – 54.099 tis. Kč).</w:t>
      </w:r>
    </w:p>
    <w:p w:rsidR="00700BCB" w:rsidRPr="00751BB9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751BB9">
        <w:rPr>
          <w:u w:val="single"/>
        </w:rPr>
        <w:t>Samostatné movité věci a soubory movitých věcí</w:t>
      </w:r>
      <w:r w:rsidRPr="00C10386">
        <w:t xml:space="preserve"> </w:t>
      </w:r>
      <w:r w:rsidRPr="00751BB9">
        <w:t xml:space="preserve">– na účtu 022 jsou evidovány movité věci a soubory majetku, u kterých je ocenění vyšší než 40.000 Kč a doba použitelnosti je delší než jeden rok. Největší položkou z celkového </w:t>
      </w:r>
      <w:r w:rsidR="00C2079A">
        <w:t xml:space="preserve">objemu </w:t>
      </w:r>
      <w:r w:rsidRPr="00751BB9">
        <w:t xml:space="preserve">majetku ve výši </w:t>
      </w:r>
      <w:r w:rsidR="00C2079A">
        <w:t>1.038.537</w:t>
      </w:r>
      <w:r w:rsidR="008D2B59">
        <w:rPr>
          <w:szCs w:val="20"/>
        </w:rPr>
        <w:t> </w:t>
      </w:r>
      <w:r w:rsidRPr="00751BB9">
        <w:t>tis.</w:t>
      </w:r>
      <w:r w:rsidR="008D2B59">
        <w:rPr>
          <w:szCs w:val="20"/>
        </w:rPr>
        <w:t> </w:t>
      </w:r>
      <w:r w:rsidRPr="00751BB9">
        <w:t>Kč představuje majetek převedený na kraj ze zrušené Nemocnice s poliklinikou v Novém Jičíně</w:t>
      </w:r>
      <w:r w:rsidR="00100326" w:rsidRPr="00751BB9">
        <w:t>, p.o.</w:t>
      </w:r>
      <w:r w:rsidRPr="00751BB9">
        <w:t xml:space="preserve"> </w:t>
      </w:r>
      <w:r w:rsidR="00100326" w:rsidRPr="000B4F9A">
        <w:t>(</w:t>
      </w:r>
      <w:r w:rsidR="000B4F9A" w:rsidRPr="000B4F9A">
        <w:t>447.547</w:t>
      </w:r>
      <w:r w:rsidR="00100326" w:rsidRPr="000B4F9A">
        <w:t> </w:t>
      </w:r>
      <w:r w:rsidRPr="000B4F9A">
        <w:t>tis.</w:t>
      </w:r>
      <w:r w:rsidR="00100326" w:rsidRPr="000B4F9A">
        <w:t> </w:t>
      </w:r>
      <w:r w:rsidRPr="000B4F9A">
        <w:t>Kč</w:t>
      </w:r>
      <w:r w:rsidR="00100326" w:rsidRPr="000B4F9A">
        <w:t>)</w:t>
      </w:r>
      <w:r w:rsidRPr="000B4F9A">
        <w:t>,</w:t>
      </w:r>
      <w:r w:rsidRPr="00751BB9">
        <w:t xml:space="preserve"> </w:t>
      </w:r>
      <w:r w:rsidR="002D356A" w:rsidRPr="00751BB9">
        <w:t xml:space="preserve">dále </w:t>
      </w:r>
      <w:r w:rsidRPr="00751BB9">
        <w:t>movitý majetek umístěný v budově IBC</w:t>
      </w:r>
      <w:r w:rsidR="00100326" w:rsidRPr="00751BB9">
        <w:t xml:space="preserve"> MSK</w:t>
      </w:r>
      <w:r w:rsidRPr="00751BB9">
        <w:t xml:space="preserve"> </w:t>
      </w:r>
      <w:r w:rsidR="00100326" w:rsidRPr="00751BB9">
        <w:t>(</w:t>
      </w:r>
      <w:r w:rsidR="00115E82">
        <w:t>220.485 tis. Kč</w:t>
      </w:r>
      <w:r w:rsidR="00100326" w:rsidRPr="00751BB9">
        <w:t>)</w:t>
      </w:r>
      <w:r w:rsidRPr="00751BB9">
        <w:t xml:space="preserve"> a majetek zapůjčený Letišti Ostrava, a.s. </w:t>
      </w:r>
      <w:r w:rsidR="00100326" w:rsidRPr="00751BB9">
        <w:t>(</w:t>
      </w:r>
      <w:r w:rsidRPr="00115E82">
        <w:t>126.087</w:t>
      </w:r>
      <w:r w:rsidR="00115E82">
        <w:t> </w:t>
      </w:r>
      <w:r w:rsidRPr="00115E82">
        <w:t>tis.</w:t>
      </w:r>
      <w:r w:rsidR="00115E82">
        <w:t> </w:t>
      </w:r>
      <w:r w:rsidRPr="00115E82">
        <w:t>Kč</w:t>
      </w:r>
      <w:r w:rsidR="00100326" w:rsidRPr="00751BB9">
        <w:t>)</w:t>
      </w:r>
      <w:r w:rsidR="003762BC">
        <w:t>, zbývající část představuje majetek v užívání orgánů kraje (přístroje, zařízení, automobily apod. – 244.418 tis. Kč)</w:t>
      </w:r>
      <w:r w:rsidR="00100326" w:rsidRPr="00751BB9">
        <w:t>.</w:t>
      </w:r>
      <w:r w:rsidRPr="00751BB9">
        <w:t xml:space="preserve"> Oprávky k majetku jsou vykázány v</w:t>
      </w:r>
      <w:r w:rsidR="004F4E81" w:rsidRPr="00751BB9">
        <w:t> </w:t>
      </w:r>
      <w:r w:rsidRPr="00751BB9">
        <w:t>korekci</w:t>
      </w:r>
      <w:r w:rsidR="004F4E81" w:rsidRPr="00751BB9">
        <w:t xml:space="preserve"> (</w:t>
      </w:r>
      <w:r w:rsidR="00C2079A">
        <w:t>533.194</w:t>
      </w:r>
      <w:r w:rsidR="004F4E81" w:rsidRPr="00751BB9">
        <w:t> tis. Kč)</w:t>
      </w:r>
      <w:r w:rsidRPr="00751BB9">
        <w:t>, opravné položky nebyly vytvořeny.</w:t>
      </w:r>
      <w:r w:rsidR="004F4E81" w:rsidRPr="00751BB9">
        <w:t xml:space="preserve"> Oproti roku 201</w:t>
      </w:r>
      <w:r w:rsidR="00C2079A">
        <w:t>2</w:t>
      </w:r>
      <w:r w:rsidR="004F4E81" w:rsidRPr="00751BB9">
        <w:t xml:space="preserve"> došlo k</w:t>
      </w:r>
      <w:r w:rsidR="00C2079A">
        <w:t>e</w:t>
      </w:r>
      <w:r w:rsidR="004F4E81" w:rsidRPr="00751BB9">
        <w:t> </w:t>
      </w:r>
      <w:r w:rsidR="00C2079A">
        <w:t>snížení</w:t>
      </w:r>
      <w:r w:rsidR="004F4E81" w:rsidRPr="00751BB9">
        <w:t xml:space="preserve"> movitých věcí </w:t>
      </w:r>
      <w:r w:rsidR="00C2079A">
        <w:t xml:space="preserve">v netto hodnotě </w:t>
      </w:r>
      <w:r w:rsidR="004F4E81" w:rsidRPr="00751BB9">
        <w:t>o</w:t>
      </w:r>
      <w:r w:rsidR="00BE0E27" w:rsidRPr="00751BB9">
        <w:t xml:space="preserve"> </w:t>
      </w:r>
      <w:r w:rsidR="00C2079A">
        <w:t>36.618</w:t>
      </w:r>
      <w:r w:rsidR="000B4F9A">
        <w:rPr>
          <w:szCs w:val="20"/>
        </w:rPr>
        <w:t> </w:t>
      </w:r>
      <w:r w:rsidR="00BE0E27" w:rsidRPr="00751BB9">
        <w:t>tis.</w:t>
      </w:r>
      <w:r w:rsidR="000B4F9A">
        <w:rPr>
          <w:szCs w:val="20"/>
        </w:rPr>
        <w:t> </w:t>
      </w:r>
      <w:r w:rsidR="00BE0E27" w:rsidRPr="00751BB9">
        <w:t>Kč, a to zejmé</w:t>
      </w:r>
      <w:r w:rsidR="00100326" w:rsidRPr="00751BB9">
        <w:t>na</w:t>
      </w:r>
      <w:r w:rsidR="00C2079A">
        <w:t xml:space="preserve"> vlivem oprávek k tomuto majetku (v</w:t>
      </w:r>
      <w:r w:rsidR="000B4F9A">
        <w:rPr>
          <w:szCs w:val="20"/>
        </w:rPr>
        <w:t> </w:t>
      </w:r>
      <w:r w:rsidR="00C2079A">
        <w:t>pořizovacích hodnotách</w:t>
      </w:r>
      <w:r w:rsidR="000B4F9A">
        <w:t>, tj. v brutto hodnotě</w:t>
      </w:r>
      <w:r w:rsidR="00C2079A">
        <w:t xml:space="preserve"> majetek oproti r. 2012 vzrostl o</w:t>
      </w:r>
      <w:r w:rsidR="003762BC">
        <w:t> </w:t>
      </w:r>
      <w:r w:rsidR="00C2079A">
        <w:t>11.35</w:t>
      </w:r>
      <w:r w:rsidR="000B4F9A">
        <w:t>8</w:t>
      </w:r>
      <w:r w:rsidR="000B4F9A">
        <w:rPr>
          <w:szCs w:val="20"/>
        </w:rPr>
        <w:t> </w:t>
      </w:r>
      <w:r w:rsidR="00C2079A">
        <w:t>tis.</w:t>
      </w:r>
      <w:r w:rsidR="000B4F9A">
        <w:rPr>
          <w:szCs w:val="20"/>
        </w:rPr>
        <w:t> </w:t>
      </w:r>
      <w:r w:rsidR="00C2079A">
        <w:t>Kč)</w:t>
      </w:r>
      <w:r w:rsidR="00100326" w:rsidRPr="00751BB9">
        <w:t>.</w:t>
      </w:r>
    </w:p>
    <w:p w:rsidR="00700BCB" w:rsidRPr="00955741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Drobný DHM</w:t>
      </w:r>
      <w:r w:rsidRPr="0031001D">
        <w:t xml:space="preserve"> </w:t>
      </w:r>
      <w:r>
        <w:t>–</w:t>
      </w:r>
      <w:r w:rsidRPr="0031001D">
        <w:t xml:space="preserve"> na</w:t>
      </w:r>
      <w:r>
        <w:t xml:space="preserve"> účtu 028 </w:t>
      </w:r>
      <w:r>
        <w:rPr>
          <w:szCs w:val="20"/>
        </w:rPr>
        <w:t>je evidován drobný DHM, jehož ocenění je v částce 3.000 Kč a vyšší a nepřevyšuje částku 40.000 Kč (</w:t>
      </w:r>
      <w:r w:rsidR="00C2079A">
        <w:rPr>
          <w:szCs w:val="20"/>
        </w:rPr>
        <w:t>163.692</w:t>
      </w:r>
      <w:r w:rsidR="000B4F9A">
        <w:rPr>
          <w:szCs w:val="20"/>
        </w:rPr>
        <w:t> </w:t>
      </w:r>
      <w:r>
        <w:rPr>
          <w:szCs w:val="20"/>
        </w:rPr>
        <w:t>tis.</w:t>
      </w:r>
      <w:r w:rsidR="000B4F9A">
        <w:rPr>
          <w:szCs w:val="20"/>
        </w:rPr>
        <w:t> </w:t>
      </w:r>
      <w:r>
        <w:rPr>
          <w:szCs w:val="20"/>
        </w:rPr>
        <w:t>Kč), jsou zde evidovány přístroje, výpočetní technika</w:t>
      </w:r>
      <w:r w:rsidR="00C2079A">
        <w:rPr>
          <w:szCs w:val="20"/>
        </w:rPr>
        <w:t>,</w:t>
      </w:r>
      <w:r>
        <w:rPr>
          <w:szCs w:val="20"/>
        </w:rPr>
        <w:t xml:space="preserve"> nábytek a ostatní stroje a zařízení v daném ocenění. Největší položku tvoří výpočetní technika (</w:t>
      </w:r>
      <w:r w:rsidR="00071727">
        <w:rPr>
          <w:szCs w:val="20"/>
        </w:rPr>
        <w:t>38.249 </w:t>
      </w:r>
      <w:r>
        <w:rPr>
          <w:szCs w:val="20"/>
        </w:rPr>
        <w:t>tis.</w:t>
      </w:r>
      <w:r w:rsidR="00071727">
        <w:rPr>
          <w:szCs w:val="20"/>
        </w:rPr>
        <w:t> </w:t>
      </w:r>
      <w:r>
        <w:rPr>
          <w:szCs w:val="20"/>
        </w:rPr>
        <w:t xml:space="preserve">Kč), majetek převedený ze </w:t>
      </w:r>
      <w:r>
        <w:t>zrušené Nemocnice s poliklinikou v Novém Jičíně</w:t>
      </w:r>
      <w:r w:rsidR="00100326">
        <w:t>, p</w:t>
      </w:r>
      <w:r w:rsidR="00E42C30">
        <w:t>.</w:t>
      </w:r>
      <w:r w:rsidR="00100326">
        <w:t>o.</w:t>
      </w:r>
      <w:r>
        <w:t xml:space="preserve"> </w:t>
      </w:r>
      <w:r w:rsidR="00AF1A55">
        <w:t xml:space="preserve">a pronajatý v rámci pronájmu podniku </w:t>
      </w:r>
      <w:r>
        <w:t>(41</w:t>
      </w:r>
      <w:r w:rsidR="00332C75">
        <w:t>.</w:t>
      </w:r>
      <w:r w:rsidR="00071727">
        <w:t>555</w:t>
      </w:r>
      <w:r w:rsidR="00071727">
        <w:rPr>
          <w:szCs w:val="20"/>
        </w:rPr>
        <w:t> </w:t>
      </w:r>
      <w:r w:rsidR="00071727">
        <w:t>tis.</w:t>
      </w:r>
      <w:r w:rsidR="00071727">
        <w:rPr>
          <w:szCs w:val="20"/>
        </w:rPr>
        <w:t> </w:t>
      </w:r>
      <w:r>
        <w:t>Kč)</w:t>
      </w:r>
      <w:r>
        <w:rPr>
          <w:szCs w:val="20"/>
        </w:rPr>
        <w:t xml:space="preserve"> a nábytek (3</w:t>
      </w:r>
      <w:r w:rsidR="00071727">
        <w:rPr>
          <w:szCs w:val="20"/>
        </w:rPr>
        <w:t>6</w:t>
      </w:r>
      <w:r>
        <w:rPr>
          <w:szCs w:val="20"/>
        </w:rPr>
        <w:t>.</w:t>
      </w:r>
      <w:r w:rsidR="00071727">
        <w:rPr>
          <w:szCs w:val="20"/>
        </w:rPr>
        <w:t>639 </w:t>
      </w:r>
      <w:r>
        <w:rPr>
          <w:szCs w:val="20"/>
        </w:rPr>
        <w:t>tis.</w:t>
      </w:r>
      <w:r w:rsidR="00071727">
        <w:rPr>
          <w:szCs w:val="20"/>
        </w:rPr>
        <w:t> </w:t>
      </w:r>
      <w:r>
        <w:rPr>
          <w:szCs w:val="20"/>
        </w:rPr>
        <w:t>Kč). Při zavedení majetku do používání se</w:t>
      </w:r>
      <w:r w:rsidR="00E72155">
        <w:rPr>
          <w:szCs w:val="20"/>
        </w:rPr>
        <w:t xml:space="preserve"> dle platné metodiky</w:t>
      </w:r>
      <w:r>
        <w:rPr>
          <w:szCs w:val="20"/>
        </w:rPr>
        <w:t xml:space="preserve"> celá částka zaúčtuje proti účtu oprávek, který je vykázán v</w:t>
      </w:r>
      <w:r w:rsidR="004F4E81">
        <w:rPr>
          <w:szCs w:val="20"/>
        </w:rPr>
        <w:t> </w:t>
      </w:r>
      <w:r>
        <w:rPr>
          <w:szCs w:val="20"/>
        </w:rPr>
        <w:t>korekci</w:t>
      </w:r>
      <w:r w:rsidR="004F4E81">
        <w:rPr>
          <w:szCs w:val="20"/>
        </w:rPr>
        <w:t xml:space="preserve"> (</w:t>
      </w:r>
      <w:r w:rsidR="00C2079A">
        <w:rPr>
          <w:szCs w:val="20"/>
        </w:rPr>
        <w:t>163.692</w:t>
      </w:r>
      <w:r w:rsidR="00071727">
        <w:rPr>
          <w:szCs w:val="20"/>
        </w:rPr>
        <w:t> </w:t>
      </w:r>
      <w:r w:rsidR="004F4E81">
        <w:rPr>
          <w:szCs w:val="20"/>
        </w:rPr>
        <w:t>tis.</w:t>
      </w:r>
      <w:r w:rsidR="00071727">
        <w:rPr>
          <w:szCs w:val="20"/>
        </w:rPr>
        <w:t> </w:t>
      </w:r>
      <w:r w:rsidR="004F4E81">
        <w:rPr>
          <w:szCs w:val="20"/>
        </w:rPr>
        <w:t>Kč)</w:t>
      </w:r>
      <w:r>
        <w:rPr>
          <w:szCs w:val="20"/>
        </w:rPr>
        <w:t xml:space="preserve">, v hodnotě netto je proto </w:t>
      </w:r>
      <w:r w:rsidR="004F4E81">
        <w:rPr>
          <w:szCs w:val="20"/>
        </w:rPr>
        <w:t>v r. 201</w:t>
      </w:r>
      <w:r w:rsidR="00C2079A">
        <w:rPr>
          <w:szCs w:val="20"/>
        </w:rPr>
        <w:t>3</w:t>
      </w:r>
      <w:r w:rsidR="004F4E81">
        <w:rPr>
          <w:szCs w:val="20"/>
        </w:rPr>
        <w:t xml:space="preserve"> a 2012 </w:t>
      </w:r>
      <w:r>
        <w:rPr>
          <w:szCs w:val="20"/>
        </w:rPr>
        <w:t xml:space="preserve">vykázán </w:t>
      </w:r>
      <w:r>
        <w:rPr>
          <w:szCs w:val="20"/>
        </w:rPr>
        <w:lastRenderedPageBreak/>
        <w:t>nulový stav.</w:t>
      </w:r>
      <w:r w:rsidR="00C2079A">
        <w:rPr>
          <w:szCs w:val="20"/>
        </w:rPr>
        <w:t xml:space="preserve"> Hodnota majetku v pořizovacích cenách (brutto) se oproti r. 2012 snížila o</w:t>
      </w:r>
      <w:r w:rsidR="00AF1A55">
        <w:t> </w:t>
      </w:r>
      <w:r w:rsidR="00C2079A">
        <w:rPr>
          <w:szCs w:val="20"/>
        </w:rPr>
        <w:t>4.68</w:t>
      </w:r>
      <w:r w:rsidR="00071727">
        <w:rPr>
          <w:szCs w:val="20"/>
        </w:rPr>
        <w:t>9 </w:t>
      </w:r>
      <w:r w:rsidR="00C2079A">
        <w:rPr>
          <w:szCs w:val="20"/>
        </w:rPr>
        <w:t>tis.</w:t>
      </w:r>
      <w:r w:rsidR="00071727">
        <w:rPr>
          <w:szCs w:val="20"/>
        </w:rPr>
        <w:t> </w:t>
      </w:r>
      <w:r w:rsidR="00C2079A">
        <w:rPr>
          <w:szCs w:val="20"/>
        </w:rPr>
        <w:t>Kč.</w:t>
      </w:r>
    </w:p>
    <w:p w:rsidR="004F4E81" w:rsidRPr="00045A74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045A74">
        <w:rPr>
          <w:u w:val="single"/>
        </w:rPr>
        <w:t>Nedokončený DHM</w:t>
      </w:r>
      <w:r w:rsidRPr="00E42C30">
        <w:t xml:space="preserve"> </w:t>
      </w:r>
      <w:r w:rsidRPr="00045A74">
        <w:t xml:space="preserve">– na účtu 042 je evidován nedokončený </w:t>
      </w:r>
      <w:r w:rsidR="00E42C30">
        <w:t xml:space="preserve">DHM </w:t>
      </w:r>
      <w:r w:rsidRPr="00045A74">
        <w:t xml:space="preserve">do doby uvedení majetku k užívání (jde zejména o majetek pořizovaný investiční výstavbou). Z celkového objemu nedokončeného majetku ve výši </w:t>
      </w:r>
      <w:r w:rsidR="006E2917">
        <w:t>1.545.182</w:t>
      </w:r>
      <w:r w:rsidR="005C37A4">
        <w:rPr>
          <w:szCs w:val="20"/>
        </w:rPr>
        <w:t> </w:t>
      </w:r>
      <w:r w:rsidRPr="00045A74">
        <w:t>tis.</w:t>
      </w:r>
      <w:r w:rsidR="005C37A4">
        <w:rPr>
          <w:szCs w:val="20"/>
        </w:rPr>
        <w:t> </w:t>
      </w:r>
      <w:r w:rsidRPr="00045A74">
        <w:t xml:space="preserve">Kč představují největší objem </w:t>
      </w:r>
      <w:r w:rsidR="00F81086">
        <w:t xml:space="preserve">tyto </w:t>
      </w:r>
      <w:r w:rsidRPr="00045A74">
        <w:t>nedokončené investiční akce</w:t>
      </w:r>
      <w:r w:rsidR="00F81086">
        <w:t>:</w:t>
      </w:r>
      <w:r w:rsidR="005C37A4">
        <w:t xml:space="preserve"> </w:t>
      </w:r>
      <w:r w:rsidR="005C37A4" w:rsidRPr="00045A74">
        <w:t>výstavba Přírodní protihlukové stěny v Nošovicích za</w:t>
      </w:r>
      <w:r w:rsidR="005C37A4">
        <w:t> </w:t>
      </w:r>
      <w:r w:rsidR="005C37A4" w:rsidRPr="005C37A4">
        <w:t>59</w:t>
      </w:r>
      <w:r w:rsidR="005C37A4">
        <w:t>3</w:t>
      </w:r>
      <w:r w:rsidR="005C37A4" w:rsidRPr="005C37A4">
        <w:t>.</w:t>
      </w:r>
      <w:r w:rsidR="005C37A4">
        <w:t>651 </w:t>
      </w:r>
      <w:r w:rsidR="005C37A4" w:rsidRPr="005C37A4">
        <w:t>tis</w:t>
      </w:r>
      <w:r w:rsidR="005C37A4">
        <w:t> </w:t>
      </w:r>
      <w:r w:rsidR="005C37A4" w:rsidRPr="005C37A4">
        <w:t>Kč</w:t>
      </w:r>
      <w:r w:rsidR="00F81086">
        <w:t>,</w:t>
      </w:r>
      <w:r w:rsidRPr="00045A74">
        <w:t xml:space="preserve"> </w:t>
      </w:r>
      <w:r w:rsidR="00171196">
        <w:t>technické zhodnocení budov pro služby obyvatelstvu ve výši 492.866 tis. Kč (jedná se zejména o rekonstrukce pavilonů a zateplování budov v krajských nemocnicích) a</w:t>
      </w:r>
      <w:r w:rsidRPr="00045A74">
        <w:t xml:space="preserve"> rekonstrukce a</w:t>
      </w:r>
      <w:r w:rsidR="00171196">
        <w:t> </w:t>
      </w:r>
      <w:r w:rsidR="00171196" w:rsidRPr="00045A74">
        <w:t xml:space="preserve"> </w:t>
      </w:r>
      <w:r w:rsidR="00171196">
        <w:t>m</w:t>
      </w:r>
      <w:r w:rsidRPr="00045A74">
        <w:t>odernizace silnic II. a III. tříd v MSK ve výši</w:t>
      </w:r>
      <w:r w:rsidR="00F81086">
        <w:t xml:space="preserve"> 269.098 tis. Kč</w:t>
      </w:r>
      <w:r w:rsidR="00FE2D83" w:rsidRPr="005C37A4">
        <w:t>;</w:t>
      </w:r>
      <w:r w:rsidRPr="00045A74">
        <w:t xml:space="preserve"> oproti roku 201</w:t>
      </w:r>
      <w:r w:rsidR="006E2917">
        <w:t>2</w:t>
      </w:r>
      <w:r w:rsidRPr="00045A74">
        <w:t xml:space="preserve"> došlo k</w:t>
      </w:r>
      <w:r w:rsidR="00FE2D83">
        <w:t> </w:t>
      </w:r>
      <w:r w:rsidR="006E2917">
        <w:t>poklesu</w:t>
      </w:r>
      <w:r w:rsidR="00FE2D83">
        <w:t xml:space="preserve"> </w:t>
      </w:r>
      <w:r w:rsidR="006E2917">
        <w:t xml:space="preserve">pořizovaného majetku </w:t>
      </w:r>
      <w:r w:rsidRPr="00045A74">
        <w:t xml:space="preserve">o </w:t>
      </w:r>
      <w:r w:rsidR="006E2917">
        <w:t>1.011.126</w:t>
      </w:r>
      <w:r w:rsidR="00171196">
        <w:t> </w:t>
      </w:r>
      <w:r w:rsidRPr="00045A74">
        <w:t>tis.</w:t>
      </w:r>
      <w:r w:rsidR="00171196">
        <w:t> </w:t>
      </w:r>
      <w:r w:rsidRPr="00045A74">
        <w:t xml:space="preserve">Kč (největší </w:t>
      </w:r>
      <w:r w:rsidR="006E2917">
        <w:t>snížení</w:t>
      </w:r>
      <w:r w:rsidRPr="00045A74">
        <w:t xml:space="preserve"> je u</w:t>
      </w:r>
      <w:r w:rsidR="00FD2309">
        <w:t> </w:t>
      </w:r>
      <w:r w:rsidRPr="00045A74">
        <w:t>rekonstrukce silnic –</w:t>
      </w:r>
      <w:r w:rsidR="00F81086">
        <w:t xml:space="preserve"> </w:t>
      </w:r>
      <w:r w:rsidR="006E2917" w:rsidRPr="00171196">
        <w:t>snížení</w:t>
      </w:r>
      <w:r w:rsidRPr="00171196">
        <w:t xml:space="preserve"> oproti roku 201</w:t>
      </w:r>
      <w:r w:rsidR="006E2917" w:rsidRPr="00171196">
        <w:t>2</w:t>
      </w:r>
      <w:r w:rsidRPr="00171196">
        <w:t xml:space="preserve"> o </w:t>
      </w:r>
      <w:r w:rsidR="00171196" w:rsidRPr="00171196">
        <w:t>1.094.834</w:t>
      </w:r>
      <w:r w:rsidR="00171196">
        <w:t> </w:t>
      </w:r>
      <w:r w:rsidRPr="00171196">
        <w:t>tis.</w:t>
      </w:r>
      <w:r w:rsidR="00171196">
        <w:t> </w:t>
      </w:r>
      <w:r w:rsidRPr="00171196">
        <w:t>Kč</w:t>
      </w:r>
      <w:r w:rsidR="00171196">
        <w:t xml:space="preserve"> z důvodu zavedení dokončeného majetku, zejména technického zhodnocení</w:t>
      </w:r>
      <w:r w:rsidR="00AF1A55">
        <w:t xml:space="preserve"> u silnic – projekt Silnice 2011 a Obchvat Opavy - </w:t>
      </w:r>
      <w:r w:rsidR="00171196">
        <w:t>do používání v r. 2013</w:t>
      </w:r>
      <w:r w:rsidR="00734B5E">
        <w:t>; majetek byl následně předán p.o.</w:t>
      </w:r>
      <w:r w:rsidR="00171196">
        <w:t>)</w:t>
      </w:r>
      <w:r w:rsidR="00E42C30">
        <w:t xml:space="preserve">, korekce není u </w:t>
      </w:r>
      <w:r w:rsidR="00AF1A55">
        <w:t xml:space="preserve">účtů pořízení </w:t>
      </w:r>
      <w:r w:rsidR="00E42C30">
        <w:t>vykázána.</w:t>
      </w:r>
    </w:p>
    <w:p w:rsidR="00700BCB" w:rsidRDefault="00700BCB" w:rsidP="00C16579">
      <w:pPr>
        <w:pStyle w:val="Mjtext"/>
        <w:numPr>
          <w:ilvl w:val="0"/>
          <w:numId w:val="12"/>
        </w:numPr>
      </w:pPr>
      <w:r>
        <w:rPr>
          <w:u w:val="single"/>
        </w:rPr>
        <w:t xml:space="preserve">Zálohy na DHM </w:t>
      </w:r>
      <w:r>
        <w:t>–</w:t>
      </w:r>
      <w:r w:rsidR="002D356A">
        <w:t xml:space="preserve"> </w:t>
      </w:r>
      <w:r>
        <w:t>na účtu 052 jsou evidovány zálohy k</w:t>
      </w:r>
      <w:r w:rsidR="00045A74">
        <w:t> </w:t>
      </w:r>
      <w:r>
        <w:t>dlouhodobému</w:t>
      </w:r>
      <w:r w:rsidR="00045A74">
        <w:t xml:space="preserve"> hmotnému</w:t>
      </w:r>
      <w:r>
        <w:t xml:space="preserve"> majetku </w:t>
      </w:r>
      <w:r w:rsidR="002D356A">
        <w:t xml:space="preserve">ve výši </w:t>
      </w:r>
      <w:r w:rsidR="006E2917">
        <w:t>716</w:t>
      </w:r>
      <w:r w:rsidR="002D356A">
        <w:t xml:space="preserve"> tis. Kč </w:t>
      </w:r>
      <w:r>
        <w:t xml:space="preserve">– jedná se o </w:t>
      </w:r>
      <w:r w:rsidRPr="00AF1A55">
        <w:t>poskytnuté zálohy ke stavbám</w:t>
      </w:r>
      <w:r w:rsidR="00AF1A55">
        <w:t xml:space="preserve"> (silnice a kolejové napojení).</w:t>
      </w:r>
    </w:p>
    <w:p w:rsidR="00700BCB" w:rsidRDefault="00700BCB" w:rsidP="00700BCB">
      <w:pPr>
        <w:pStyle w:val="Mjtext"/>
      </w:pPr>
      <w:r>
        <w:rPr>
          <w:u w:val="single"/>
        </w:rPr>
        <w:t>Dlouhodobý finanční majetek</w:t>
      </w:r>
      <w:r w:rsidRPr="00C92B96">
        <w:t xml:space="preserve"> obsahuje</w:t>
      </w:r>
      <w:r>
        <w:t xml:space="preserve"> majetkové účasti v osobách s rozhodujícím vlivem, </w:t>
      </w:r>
      <w:r w:rsidR="002D356A">
        <w:t xml:space="preserve">v osobách </w:t>
      </w:r>
      <w:r>
        <w:t>s podstatným vlivem, termínované vklady dlouhodobé</w:t>
      </w:r>
      <w:r w:rsidR="006E2917">
        <w:t>,</w:t>
      </w:r>
      <w:r>
        <w:t xml:space="preserve"> ostatní finanční </w:t>
      </w:r>
      <w:r w:rsidR="00600242">
        <w:t xml:space="preserve">dlouhodobý </w:t>
      </w:r>
      <w:r w:rsidR="006E2917">
        <w:t xml:space="preserve">majetek a </w:t>
      </w:r>
      <w:r w:rsidR="00F31C7D">
        <w:t xml:space="preserve">majetek evidovaný na </w:t>
      </w:r>
      <w:r w:rsidR="006E2917">
        <w:t>účt</w:t>
      </w:r>
      <w:r w:rsidR="00F31C7D">
        <w:t>u</w:t>
      </w:r>
      <w:r w:rsidR="006E2917">
        <w:t xml:space="preserve"> pořízení dlouhodobého finančního majetku</w:t>
      </w:r>
      <w:r w:rsidR="00F31C7D">
        <w:t>.</w:t>
      </w:r>
    </w:p>
    <w:p w:rsidR="00700BCB" w:rsidRPr="00FA5D36" w:rsidRDefault="00700BCB" w:rsidP="00C16579">
      <w:pPr>
        <w:pStyle w:val="Mjtext"/>
        <w:numPr>
          <w:ilvl w:val="0"/>
          <w:numId w:val="13"/>
        </w:numPr>
        <w:rPr>
          <w:u w:val="single"/>
        </w:rPr>
      </w:pPr>
      <w:r>
        <w:rPr>
          <w:u w:val="single"/>
        </w:rPr>
        <w:t>Majetkové účasti v osobách s rozhodujícím vlivem</w:t>
      </w:r>
      <w:r w:rsidRPr="00877F23">
        <w:t xml:space="preserve"> </w:t>
      </w:r>
      <w:r>
        <w:t>–</w:t>
      </w:r>
      <w:r w:rsidRPr="00877F23">
        <w:t xml:space="preserve"> </w:t>
      </w:r>
      <w:r>
        <w:t>na</w:t>
      </w:r>
      <w:r w:rsidRPr="001C79F8">
        <w:t xml:space="preserve"> </w:t>
      </w:r>
      <w:r w:rsidRPr="00877F23">
        <w:t>účtu 061</w:t>
      </w:r>
      <w:r>
        <w:t xml:space="preserve"> eviduje kraj akcie společností, které jsou vlastněny krajem za</w:t>
      </w:r>
      <w:r w:rsidR="00F31C7D">
        <w:t xml:space="preserve"> účelem výkonu majetkových práv </w:t>
      </w:r>
      <w:r>
        <w:t xml:space="preserve">ve výši </w:t>
      </w:r>
      <w:r w:rsidR="006E2917">
        <w:t>884.</w:t>
      </w:r>
      <w:r w:rsidR="006E2917" w:rsidRPr="007122A9">
        <w:t>271</w:t>
      </w:r>
      <w:r w:rsidR="00E778B6" w:rsidRPr="007122A9">
        <w:t> </w:t>
      </w:r>
      <w:r w:rsidRPr="007122A9">
        <w:t>tis.</w:t>
      </w:r>
      <w:r w:rsidR="00E778B6" w:rsidRPr="007122A9">
        <w:t> </w:t>
      </w:r>
      <w:r w:rsidRPr="007122A9">
        <w:t>Kč</w:t>
      </w:r>
      <w:r>
        <w:t>. Jedná se o ak</w:t>
      </w:r>
      <w:r w:rsidR="00E42C30">
        <w:t>cie těchto společností: ARR, a.</w:t>
      </w:r>
      <w:r>
        <w:t>s.</w:t>
      </w:r>
      <w:r w:rsidR="00FD2309" w:rsidRPr="00FD2309">
        <w:t xml:space="preserve"> </w:t>
      </w:r>
      <w:r w:rsidR="00FD2309">
        <w:t>(7.9</w:t>
      </w:r>
      <w:r w:rsidR="00F31C7D">
        <w:t>80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Letiště Ostrava, a.s</w:t>
      </w:r>
      <w:r w:rsidR="00FD2309">
        <w:t xml:space="preserve"> (</w:t>
      </w:r>
      <w:r w:rsidR="00F31C7D">
        <w:t>523.489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Bílo</w:t>
      </w:r>
      <w:r w:rsidR="00DE76E8">
        <w:t>ve</w:t>
      </w:r>
      <w:r>
        <w:t>cká nemocnice, a.s.</w:t>
      </w:r>
      <w:r w:rsidR="00FD2309">
        <w:t xml:space="preserve"> (176.589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Sanatorium Jablunkov, a.s.</w:t>
      </w:r>
      <w:r w:rsidR="00FD2309">
        <w:t xml:space="preserve"> (17</w:t>
      </w:r>
      <w:r w:rsidR="00F31C7D">
        <w:t>6</w:t>
      </w:r>
      <w:r w:rsidR="00FD2309">
        <w:t>.213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 xml:space="preserve">Kč) - </w:t>
      </w:r>
      <w:r>
        <w:t>kraj vlastní 100 % akcií těchto společností</w:t>
      </w:r>
      <w:r w:rsidR="00FD2309">
        <w:t xml:space="preserve">. </w:t>
      </w:r>
      <w:r>
        <w:t>K účtu 061 byla vytvořena opravná položka ve výši 118.398</w:t>
      </w:r>
      <w:r w:rsidR="00E42C30">
        <w:t> </w:t>
      </w:r>
      <w:r>
        <w:t>tis.</w:t>
      </w:r>
      <w:r w:rsidR="00E778B6" w:rsidRPr="00E778B6">
        <w:t> </w:t>
      </w:r>
      <w:r>
        <w:t>Kč, a to k majetkové účasti v Bílov</w:t>
      </w:r>
      <w:r w:rsidR="00E42C30">
        <w:t>e</w:t>
      </w:r>
      <w:r>
        <w:t>cké nemocnici, a.s. z důvodu poklesu vlastního kapitálu u této společnosti. Opravná položka je vykázána v korekci u účtu 061.</w:t>
      </w:r>
      <w:r w:rsidR="00F31C7D">
        <w:t xml:space="preserve"> Oproti roku 2012 došlo k poklesu objemu majetkových účastí </w:t>
      </w:r>
      <w:r w:rsidR="00E778B6">
        <w:t xml:space="preserve">v netto hodnotě </w:t>
      </w:r>
      <w:r w:rsidR="00F31C7D">
        <w:t>o 15.873</w:t>
      </w:r>
      <w:r w:rsidR="00E778B6" w:rsidRPr="00E778B6">
        <w:t> </w:t>
      </w:r>
      <w:r w:rsidR="00F31C7D">
        <w:t>tis.</w:t>
      </w:r>
      <w:r w:rsidR="00E778B6" w:rsidRPr="00E778B6">
        <w:t> </w:t>
      </w:r>
      <w:r w:rsidR="00F31C7D">
        <w:t>Kč (pokle</w:t>
      </w:r>
      <w:r w:rsidR="00E778B6">
        <w:t>s zejména u</w:t>
      </w:r>
      <w:r w:rsidR="00E778B6" w:rsidRPr="00E778B6">
        <w:t> </w:t>
      </w:r>
      <w:r w:rsidR="00F31C7D">
        <w:t>Letiště Ostrava, a.s.</w:t>
      </w:r>
      <w:r w:rsidR="004E0B8F">
        <w:t xml:space="preserve"> </w:t>
      </w:r>
      <w:r w:rsidR="00F31C7D">
        <w:t xml:space="preserve">- </w:t>
      </w:r>
      <w:r w:rsidR="00AF1A55">
        <w:t>z </w:t>
      </w:r>
      <w:r w:rsidR="00AF1A55" w:rsidRPr="00AF1A55">
        <w:t xml:space="preserve">důvodu </w:t>
      </w:r>
      <w:r w:rsidR="001C5901">
        <w:t xml:space="preserve">snížení základního kapitálu a následnému částečnému </w:t>
      </w:r>
      <w:r w:rsidR="00F31C7D" w:rsidRPr="00AF1A55">
        <w:t>vyřazení akcií</w:t>
      </w:r>
      <w:r w:rsidR="00E778B6">
        <w:t xml:space="preserve"> této společnosti</w:t>
      </w:r>
      <w:r w:rsidR="00F31C7D" w:rsidRPr="00AF1A55">
        <w:t>).</w:t>
      </w:r>
    </w:p>
    <w:p w:rsidR="00700BCB" w:rsidRDefault="00700BCB" w:rsidP="00C16579">
      <w:pPr>
        <w:pStyle w:val="Mjtext"/>
        <w:numPr>
          <w:ilvl w:val="0"/>
          <w:numId w:val="13"/>
        </w:numPr>
      </w:pPr>
      <w:r>
        <w:rPr>
          <w:u w:val="single"/>
        </w:rPr>
        <w:t>Majetkové účasti v osobách s podstatným vlivem</w:t>
      </w:r>
      <w:r w:rsidRPr="00E42C30">
        <w:t xml:space="preserve"> </w:t>
      </w:r>
      <w:r w:rsidRPr="00FA5D36">
        <w:t xml:space="preserve">– na účtu 062 eviduje kraj akcie a majetkové podíly </w:t>
      </w:r>
      <w:r>
        <w:t>společností za účelem výkonu majetkových práv ve výši 17.460</w:t>
      </w:r>
      <w:r w:rsidR="00E778B6" w:rsidRPr="00E778B6">
        <w:t> </w:t>
      </w:r>
      <w:r>
        <w:t>tis.</w:t>
      </w:r>
      <w:r w:rsidR="00E778B6" w:rsidRPr="00E778B6">
        <w:t> </w:t>
      </w:r>
      <w:r>
        <w:t>Kč. Jedná se o 50% majetkovou účast ve společnosti Koordinátor ODIS, s.</w:t>
      </w:r>
      <w:r w:rsidR="00E42C30">
        <w:t>r.</w:t>
      </w:r>
      <w:r>
        <w:t>o. (</w:t>
      </w:r>
      <w:r w:rsidR="00983DFF">
        <w:t>460</w:t>
      </w:r>
      <w:r w:rsidR="00E778B6" w:rsidRPr="00E778B6">
        <w:t> </w:t>
      </w:r>
      <w:r>
        <w:t>tis.</w:t>
      </w:r>
      <w:r w:rsidR="00E778B6" w:rsidRPr="00E778B6">
        <w:t> </w:t>
      </w:r>
      <w:r>
        <w:t>Kč) a 34% účast ve</w:t>
      </w:r>
      <w:r w:rsidR="00C51368">
        <w:t> </w:t>
      </w:r>
      <w:r>
        <w:t>společnosti KIC Odpady, a.s.</w:t>
      </w:r>
      <w:r w:rsidR="00045A74">
        <w:t xml:space="preserve"> (</w:t>
      </w:r>
      <w:r w:rsidR="00983DFF">
        <w:t>17.000</w:t>
      </w:r>
      <w:r w:rsidR="00E778B6" w:rsidRPr="00E778B6">
        <w:t> </w:t>
      </w:r>
      <w:r w:rsidR="00045A74">
        <w:t>tis.</w:t>
      </w:r>
      <w:r w:rsidR="00E778B6" w:rsidRPr="00E778B6">
        <w:t> </w:t>
      </w:r>
      <w:r w:rsidR="00045A74">
        <w:t>Kč).</w:t>
      </w:r>
      <w:r w:rsidR="00F31C7D">
        <w:t xml:space="preserve"> K majetkové účasti ve společnosti KIC Odpady</w:t>
      </w:r>
      <w:r w:rsidR="00A91756">
        <w:t>, a.s.</w:t>
      </w:r>
      <w:r w:rsidR="00F31C7D">
        <w:t xml:space="preserve"> byla </w:t>
      </w:r>
      <w:r w:rsidR="00A91756">
        <w:t xml:space="preserve">v r. 2013 </w:t>
      </w:r>
      <w:r w:rsidR="00F31C7D">
        <w:t>vytvořena opravná položka ve výši 4.047</w:t>
      </w:r>
      <w:r w:rsidR="00E778B6" w:rsidRPr="00E778B6">
        <w:t> </w:t>
      </w:r>
      <w:r w:rsidR="00A91756">
        <w:t>tis.</w:t>
      </w:r>
      <w:r w:rsidR="00E778B6" w:rsidRPr="00E778B6">
        <w:t> </w:t>
      </w:r>
      <w:r w:rsidR="00A91756">
        <w:t>Kč, a to z důvodu poklesu vlastního kapitálu u této společnosti.</w:t>
      </w:r>
    </w:p>
    <w:p w:rsidR="00700BCB" w:rsidRPr="004E0B8F" w:rsidRDefault="00700BCB" w:rsidP="00C16579">
      <w:pPr>
        <w:pStyle w:val="Mjtext"/>
        <w:numPr>
          <w:ilvl w:val="0"/>
          <w:numId w:val="13"/>
        </w:numPr>
      </w:pPr>
      <w:r w:rsidRPr="004E0B8F">
        <w:rPr>
          <w:u w:val="single"/>
        </w:rPr>
        <w:t>Termínované vklady dlouhodobé</w:t>
      </w:r>
      <w:r w:rsidRPr="004E0B8F">
        <w:t xml:space="preserve"> – na účtu 068 eviduje kraj </w:t>
      </w:r>
      <w:r w:rsidR="00802DC6">
        <w:t xml:space="preserve">od r. 2011 </w:t>
      </w:r>
      <w:r w:rsidRPr="004E0B8F">
        <w:t>dlouhodobý vklad u</w:t>
      </w:r>
      <w:r w:rsidR="00802DC6" w:rsidRPr="00E778B6">
        <w:t> </w:t>
      </w:r>
      <w:r w:rsidRPr="004E0B8F">
        <w:t>Raiffeisenbank, a.s. ve výši 150.000</w:t>
      </w:r>
      <w:r w:rsidR="00802DC6" w:rsidRPr="00E778B6">
        <w:t> </w:t>
      </w:r>
      <w:r w:rsidRPr="004E0B8F">
        <w:t>tis.</w:t>
      </w:r>
      <w:r w:rsidR="00802DC6" w:rsidRPr="00E778B6">
        <w:t> </w:t>
      </w:r>
      <w:r w:rsidRPr="004E0B8F">
        <w:t>Kč, vklad je splatný 9.</w:t>
      </w:r>
      <w:r w:rsidR="004E0B8F" w:rsidRPr="004E0B8F">
        <w:t> </w:t>
      </w:r>
      <w:r w:rsidR="00A91756" w:rsidRPr="004E0B8F">
        <w:t>6</w:t>
      </w:r>
      <w:r w:rsidRPr="004E0B8F">
        <w:t>.</w:t>
      </w:r>
      <w:r w:rsidR="004E0B8F" w:rsidRPr="004E0B8F">
        <w:t> </w:t>
      </w:r>
      <w:r w:rsidRPr="004E0B8F">
        <w:t>2014.</w:t>
      </w:r>
    </w:p>
    <w:p w:rsidR="00700BCB" w:rsidRDefault="00700BCB" w:rsidP="00C16579">
      <w:pPr>
        <w:pStyle w:val="Mjtext"/>
        <w:numPr>
          <w:ilvl w:val="0"/>
          <w:numId w:val="13"/>
        </w:numPr>
      </w:pPr>
      <w:r>
        <w:rPr>
          <w:u w:val="single"/>
        </w:rPr>
        <w:t>Ostatní dlouhodobý finanční majetek</w:t>
      </w:r>
      <w:r w:rsidRPr="00E42C30">
        <w:t xml:space="preserve"> </w:t>
      </w:r>
      <w:r>
        <w:t>– na účtu 069 eviduje kraj akcie společnosti VaK Bruntál, a.</w:t>
      </w:r>
      <w:r w:rsidR="00E42C30">
        <w:t>s.</w:t>
      </w:r>
      <w:r>
        <w:t>, jedná se o 0,003% podíl ve výši 11</w:t>
      </w:r>
      <w:r w:rsidR="004E0B8F">
        <w:t> </w:t>
      </w:r>
      <w:r>
        <w:t>tis</w:t>
      </w:r>
      <w:r w:rsidR="004E0B8F">
        <w:t>. </w:t>
      </w:r>
      <w:r>
        <w:t>Kč.</w:t>
      </w:r>
    </w:p>
    <w:p w:rsidR="00802DC6" w:rsidRDefault="00802DC6" w:rsidP="00C16579">
      <w:pPr>
        <w:pStyle w:val="Mjtext"/>
        <w:numPr>
          <w:ilvl w:val="0"/>
          <w:numId w:val="13"/>
        </w:numPr>
      </w:pPr>
      <w:r>
        <w:rPr>
          <w:u w:val="single"/>
        </w:rPr>
        <w:t xml:space="preserve">Pořizovaný dlouhodobý finanční majetek </w:t>
      </w:r>
      <w:r>
        <w:t>– na účtu 043 eviduje kraj na základě smlouvy o upsání akcií emitentem pořizované akcie Letiště Ostrava, a.s. ve výši 17.258</w:t>
      </w:r>
      <w:r w:rsidRPr="00E778B6">
        <w:t> </w:t>
      </w:r>
      <w:r>
        <w:t>tis.</w:t>
      </w:r>
      <w:r w:rsidRPr="00E778B6">
        <w:t> </w:t>
      </w:r>
      <w:r>
        <w:t>Kč.</w:t>
      </w:r>
    </w:p>
    <w:p w:rsidR="00700BCB" w:rsidRDefault="00700BCB" w:rsidP="00700BCB">
      <w:pPr>
        <w:pStyle w:val="Mjtext"/>
      </w:pPr>
      <w:r>
        <w:rPr>
          <w:u w:val="single"/>
        </w:rPr>
        <w:t>Dlouhodobé pohledávky</w:t>
      </w:r>
      <w:r w:rsidRPr="007D4445">
        <w:t xml:space="preserve"> </w:t>
      </w:r>
      <w:r>
        <w:t xml:space="preserve">obsahují pohledávky kraje se splatností </w:t>
      </w:r>
      <w:r w:rsidR="00A91756">
        <w:t xml:space="preserve">delší než </w:t>
      </w:r>
      <w:r>
        <w:t xml:space="preserve">1 rok. </w:t>
      </w:r>
      <w:r w:rsidR="00A91756">
        <w:t>Jedná se o </w:t>
      </w:r>
      <w:r>
        <w:t>dlouhodob</w:t>
      </w:r>
      <w:r w:rsidR="00A91756">
        <w:t>é poskytnuté zálohy (provozní),</w:t>
      </w:r>
      <w:r>
        <w:t xml:space="preserve"> dlouhodobé poskytnuté zálohy na transfery</w:t>
      </w:r>
      <w:r w:rsidR="00A91756">
        <w:t xml:space="preserve"> a ostatní dlouhodobé pohledávky</w:t>
      </w:r>
      <w:r>
        <w:t>.</w:t>
      </w:r>
    </w:p>
    <w:p w:rsidR="00700BCB" w:rsidRPr="004F4E81" w:rsidRDefault="00700BCB" w:rsidP="00C16579">
      <w:pPr>
        <w:pStyle w:val="Mjtext"/>
        <w:numPr>
          <w:ilvl w:val="0"/>
          <w:numId w:val="14"/>
        </w:numPr>
      </w:pPr>
      <w:r w:rsidRPr="00E054C6">
        <w:rPr>
          <w:u w:val="single"/>
        </w:rPr>
        <w:t>Dlouhodobé poskytnuté zálohy</w:t>
      </w:r>
      <w:r>
        <w:t xml:space="preserve"> – na účtu 465 eviduje kraj dlouhodobé zálohy</w:t>
      </w:r>
      <w:r w:rsidR="001436FF">
        <w:t xml:space="preserve"> </w:t>
      </w:r>
      <w:r>
        <w:t>na</w:t>
      </w:r>
      <w:r w:rsidR="00FD2309">
        <w:t> </w:t>
      </w:r>
      <w:r>
        <w:t>sociální služby</w:t>
      </w:r>
      <w:r w:rsidR="001436FF">
        <w:t xml:space="preserve"> </w:t>
      </w:r>
      <w:r>
        <w:t>ve</w:t>
      </w:r>
      <w:r w:rsidR="001436FF">
        <w:t> </w:t>
      </w:r>
      <w:r>
        <w:t xml:space="preserve">výši </w:t>
      </w:r>
      <w:r w:rsidR="00A91756">
        <w:t>31.274</w:t>
      </w:r>
      <w:r w:rsidR="00802DC6" w:rsidRPr="00E778B6">
        <w:t> </w:t>
      </w:r>
      <w:r>
        <w:t>tis.</w:t>
      </w:r>
      <w:r w:rsidR="00802DC6" w:rsidRPr="00E778B6">
        <w:t> </w:t>
      </w:r>
      <w:r>
        <w:t xml:space="preserve">Kč, které byly poskytnuty v r. 2012 </w:t>
      </w:r>
      <w:r w:rsidR="00A91756">
        <w:t xml:space="preserve">a 2013 </w:t>
      </w:r>
      <w:r>
        <w:t>organizacím v rámci projekt</w:t>
      </w:r>
      <w:r w:rsidR="00B403D2">
        <w:t>ů</w:t>
      </w:r>
      <w:r>
        <w:t xml:space="preserve"> </w:t>
      </w:r>
      <w:r w:rsidR="00B403D2">
        <w:t>„</w:t>
      </w:r>
      <w:r>
        <w:t xml:space="preserve">Podpora a rozvoj služeb v </w:t>
      </w:r>
      <w:r w:rsidRPr="00227279">
        <w:t>sociálně vyloučených lokalitách MSK</w:t>
      </w:r>
      <w:r w:rsidR="00B403D2">
        <w:t>“ a „Optimalizace sítě služeb sociální prevence v MSK“</w:t>
      </w:r>
      <w:r>
        <w:t xml:space="preserve">. </w:t>
      </w:r>
      <w:r w:rsidRPr="004F4E81">
        <w:t xml:space="preserve">Zálohy budou </w:t>
      </w:r>
      <w:r w:rsidR="00B403D2">
        <w:t xml:space="preserve">postupně </w:t>
      </w:r>
      <w:r w:rsidRPr="004F4E81">
        <w:t>vypořádány v r. </w:t>
      </w:r>
      <w:r w:rsidR="004E0B8F">
        <w:t>2015.</w:t>
      </w:r>
    </w:p>
    <w:p w:rsidR="00700BCB" w:rsidRDefault="00700BCB" w:rsidP="00C16579">
      <w:pPr>
        <w:pStyle w:val="Mjtext"/>
        <w:numPr>
          <w:ilvl w:val="0"/>
          <w:numId w:val="14"/>
        </w:numPr>
      </w:pPr>
      <w:r w:rsidRPr="00636E31">
        <w:rPr>
          <w:u w:val="single"/>
        </w:rPr>
        <w:lastRenderedPageBreak/>
        <w:t>Ostatní dlouhodobé pohledávky</w:t>
      </w:r>
      <w:r>
        <w:t xml:space="preserve"> – na účtu 469 eviduje kraj dlouhodobé pohledávky ve výši </w:t>
      </w:r>
      <w:r w:rsidR="00B403D2">
        <w:t>775.615</w:t>
      </w:r>
      <w:r w:rsidR="00F13365" w:rsidRPr="00E778B6">
        <w:t> </w:t>
      </w:r>
      <w:r>
        <w:t>tis.</w:t>
      </w:r>
      <w:r w:rsidR="00F13365" w:rsidRPr="00E778B6">
        <w:t> </w:t>
      </w:r>
      <w:r>
        <w:t xml:space="preserve">Kč. Největší pohledávku představuje pohledávka z pronájmu </w:t>
      </w:r>
      <w:r w:rsidR="00F13365">
        <w:t xml:space="preserve">podniku </w:t>
      </w:r>
      <w:r>
        <w:t xml:space="preserve">Letiště </w:t>
      </w:r>
      <w:r w:rsidR="00FD2309">
        <w:t>Ostrava-</w:t>
      </w:r>
      <w:r>
        <w:t xml:space="preserve">Mošnov ve výši </w:t>
      </w:r>
      <w:r w:rsidR="00B403D2">
        <w:t>749.585</w:t>
      </w:r>
      <w:r w:rsidR="00F13365" w:rsidRPr="00E778B6">
        <w:t> </w:t>
      </w:r>
      <w:r>
        <w:t>tis.</w:t>
      </w:r>
      <w:r w:rsidR="00F13365" w:rsidRPr="00E778B6">
        <w:t> </w:t>
      </w:r>
      <w:r>
        <w:t>Kč (jedná se o zůstatkovou cenu d</w:t>
      </w:r>
      <w:r w:rsidR="009C67A3">
        <w:t>l</w:t>
      </w:r>
      <w:r>
        <w:t>ou</w:t>
      </w:r>
      <w:r w:rsidR="009C67A3">
        <w:t>ho</w:t>
      </w:r>
      <w:r>
        <w:t>dobého majetku pronajatého podniku -</w:t>
      </w:r>
      <w:r w:rsidR="00FD2309">
        <w:t xml:space="preserve"> </w:t>
      </w:r>
      <w:r w:rsidR="002F2606">
        <w:t>p</w:t>
      </w:r>
      <w:r>
        <w:t>ohledávka je splatná ve výši ročních odpisů), dále se jedná o pohledávky za porušení rozpočtové kázně</w:t>
      </w:r>
      <w:r w:rsidR="00B403D2">
        <w:t xml:space="preserve"> (556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>, z prodeje dlouhodobého majetku</w:t>
      </w:r>
      <w:r w:rsidR="00B403D2">
        <w:t xml:space="preserve"> (24.601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 xml:space="preserve"> a ostatní pohledávky</w:t>
      </w:r>
      <w:r w:rsidR="00B403D2">
        <w:t xml:space="preserve"> (873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 xml:space="preserve">. Z celkové výše pohledávek byly pohledávky po splatnosti </w:t>
      </w:r>
      <w:r w:rsidRPr="006B28C2">
        <w:t xml:space="preserve">ve výši </w:t>
      </w:r>
      <w:r w:rsidR="00B403D2" w:rsidRPr="006B28C2">
        <w:t>6</w:t>
      </w:r>
      <w:r w:rsidRPr="006B28C2">
        <w:t>0</w:t>
      </w:r>
      <w:r w:rsidR="00C5364B" w:rsidRPr="006B28C2">
        <w:t> </w:t>
      </w:r>
      <w:r w:rsidRPr="006B28C2">
        <w:t>tis</w:t>
      </w:r>
      <w:r w:rsidR="00BD0490">
        <w:t>.</w:t>
      </w:r>
      <w:r w:rsidR="00C5364B" w:rsidRPr="006B28C2">
        <w:t> </w:t>
      </w:r>
      <w:r w:rsidRPr="006B28C2">
        <w:t>Kč</w:t>
      </w:r>
      <w:r w:rsidR="006B28C2">
        <w:t xml:space="preserve">, z toho v korekci </w:t>
      </w:r>
      <w:r w:rsidR="00B40009">
        <w:t xml:space="preserve">byla </w:t>
      </w:r>
      <w:r w:rsidR="006B28C2">
        <w:t>vykázána opravná položka 12 tis. Kč</w:t>
      </w:r>
      <w:r>
        <w:t xml:space="preserve"> (jedn</w:t>
      </w:r>
      <w:r w:rsidR="00C5364B">
        <w:t>á</w:t>
      </w:r>
      <w:r>
        <w:t xml:space="preserve"> se o pohledávky za</w:t>
      </w:r>
      <w:r w:rsidR="006B28C2">
        <w:t> </w:t>
      </w:r>
      <w:r>
        <w:t xml:space="preserve">porušení </w:t>
      </w:r>
      <w:r w:rsidR="00864016" w:rsidRPr="005762F4">
        <w:t>rozpočtové kázně</w:t>
      </w:r>
      <w:r w:rsidR="00D03CD7" w:rsidRPr="005762F4">
        <w:t>,</w:t>
      </w:r>
      <w:r w:rsidR="00D03CD7">
        <w:t xml:space="preserve"> které řeší příslušné odbory</w:t>
      </w:r>
      <w:r>
        <w:t>).</w:t>
      </w:r>
    </w:p>
    <w:p w:rsidR="00700BCB" w:rsidRDefault="00700BCB" w:rsidP="00CE67F4">
      <w:pPr>
        <w:pStyle w:val="Mjtext"/>
        <w:numPr>
          <w:ilvl w:val="0"/>
          <w:numId w:val="14"/>
        </w:numPr>
        <w:ind w:left="357" w:hanging="357"/>
      </w:pPr>
      <w:r>
        <w:rPr>
          <w:u w:val="single"/>
        </w:rPr>
        <w:t>Dlouhodobé poskytnuté zálohy na transfery</w:t>
      </w:r>
      <w:r w:rsidRPr="001436FF">
        <w:t xml:space="preserve"> </w:t>
      </w:r>
      <w:r>
        <w:t xml:space="preserve">– na účtu 471 eviduje kraj zálohy na investiční a neinvestiční transfery ve výši </w:t>
      </w:r>
      <w:r w:rsidR="00C5364B">
        <w:t>683.051</w:t>
      </w:r>
      <w:r w:rsidR="006B28C2">
        <w:t> </w:t>
      </w:r>
      <w:r>
        <w:t>tis.</w:t>
      </w:r>
      <w:r w:rsidR="006B28C2">
        <w:t> </w:t>
      </w:r>
      <w:r>
        <w:t>Kč. Jedná se zejména o zálohy poskytnuté v rámci projektů</w:t>
      </w:r>
      <w:r w:rsidR="00B40009">
        <w:t>, spolufinancovaných EU</w:t>
      </w:r>
      <w:r>
        <w:t xml:space="preserve"> (</w:t>
      </w:r>
      <w:r w:rsidR="00C5364B">
        <w:t xml:space="preserve">527.720 </w:t>
      </w:r>
      <w:r>
        <w:t>tis. Kč), z toho byla převážná část poskytnuta v rámci globálních grantů, které představují víceleté projekty.</w:t>
      </w:r>
      <w:r w:rsidR="00C5364B" w:rsidRPr="00C5364B">
        <w:t xml:space="preserve"> </w:t>
      </w:r>
      <w:r w:rsidR="00C5364B">
        <w:t>Oproti roku 2012 došlo k poklesu záloh o</w:t>
      </w:r>
      <w:r w:rsidR="00B40009" w:rsidRPr="00E778B6">
        <w:t> </w:t>
      </w:r>
      <w:r w:rsidR="00C5364B">
        <w:t>20.644</w:t>
      </w:r>
      <w:r w:rsidR="006B28C2">
        <w:t> tis. </w:t>
      </w:r>
      <w:r w:rsidR="00C5364B">
        <w:t>Kč.</w:t>
      </w:r>
    </w:p>
    <w:p w:rsidR="00700BCB" w:rsidRPr="001E0830" w:rsidRDefault="00700BCB" w:rsidP="00CD11C6">
      <w:pPr>
        <w:pStyle w:val="Nadpis3"/>
      </w:pPr>
      <w:bookmarkStart w:id="19" w:name="_Toc388005068"/>
      <w:r w:rsidRPr="001E0830">
        <w:t>Oběžná aktiva</w:t>
      </w:r>
      <w:bookmarkEnd w:id="19"/>
    </w:p>
    <w:p w:rsidR="00700BCB" w:rsidRDefault="00700BCB" w:rsidP="00700B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oběžná aktiva</w:t>
      </w:r>
      <w:r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 w:rsidR="0085211F">
        <w:t> </w:t>
      </w:r>
      <w:r>
        <w:rPr>
          <w:rFonts w:ascii="Tahoma" w:hAnsi="Tahoma" w:cs="Tahoma"/>
          <w:sz w:val="20"/>
          <w:szCs w:val="20"/>
        </w:rPr>
        <w:t>12.</w:t>
      </w:r>
      <w:r w:rsidR="0085211F">
        <w:t> </w:t>
      </w:r>
      <w:r>
        <w:rPr>
          <w:rFonts w:ascii="Tahoma" w:hAnsi="Tahoma" w:cs="Tahoma"/>
          <w:sz w:val="20"/>
          <w:szCs w:val="20"/>
        </w:rPr>
        <w:t>201</w:t>
      </w:r>
      <w:r w:rsidR="00390FA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minulé období </w:t>
      </w:r>
      <w:r w:rsidR="0085211F">
        <w:rPr>
          <w:rFonts w:ascii="Tahoma" w:hAnsi="Tahoma" w:cs="Tahoma"/>
          <w:sz w:val="20"/>
          <w:szCs w:val="20"/>
        </w:rPr>
        <w:t>údaje k 31.</w:t>
      </w:r>
      <w:r w:rsidR="0085211F" w:rsidRPr="00E778B6">
        <w:t> </w:t>
      </w:r>
      <w:r w:rsidRPr="002C14AA">
        <w:rPr>
          <w:rFonts w:ascii="Tahoma" w:hAnsi="Tahoma" w:cs="Tahoma"/>
          <w:sz w:val="20"/>
          <w:szCs w:val="20"/>
        </w:rPr>
        <w:t>12.</w:t>
      </w:r>
      <w:r w:rsidR="0085211F" w:rsidRPr="00E778B6">
        <w:t> </w:t>
      </w:r>
      <w:r w:rsidRPr="002C14AA">
        <w:rPr>
          <w:rFonts w:ascii="Tahoma" w:hAnsi="Tahoma" w:cs="Tahoma"/>
          <w:sz w:val="20"/>
          <w:szCs w:val="20"/>
        </w:rPr>
        <w:t>201</w:t>
      </w:r>
      <w:r w:rsidR="00390FA6">
        <w:rPr>
          <w:rFonts w:ascii="Tahoma" w:hAnsi="Tahoma" w:cs="Tahoma"/>
          <w:sz w:val="20"/>
          <w:szCs w:val="20"/>
        </w:rPr>
        <w:t>2</w:t>
      </w:r>
      <w:r w:rsidRPr="002C14AA">
        <w:rPr>
          <w:rFonts w:ascii="Tahoma" w:hAnsi="Tahoma" w:cs="Tahoma"/>
          <w:sz w:val="20"/>
          <w:szCs w:val="20"/>
        </w:rPr>
        <w:t xml:space="preserve">. </w:t>
      </w:r>
      <w:r w:rsidR="005A429D" w:rsidRPr="002C14AA">
        <w:rPr>
          <w:rFonts w:ascii="Tahoma" w:hAnsi="Tahoma" w:cs="Tahoma"/>
          <w:sz w:val="20"/>
          <w:szCs w:val="20"/>
        </w:rPr>
        <w:t xml:space="preserve"> V korekci jsou uvedeny opravné položky k pohledávkám po splatnosti</w:t>
      </w:r>
      <w:r w:rsidR="007271E9" w:rsidRPr="002C14AA">
        <w:rPr>
          <w:rFonts w:ascii="Tahoma" w:hAnsi="Tahoma" w:cs="Tahoma"/>
          <w:sz w:val="20"/>
          <w:szCs w:val="20"/>
        </w:rPr>
        <w:t>.</w:t>
      </w:r>
      <w:r w:rsidR="002D356A" w:rsidRPr="002C14AA">
        <w:rPr>
          <w:rFonts w:ascii="Tahoma" w:hAnsi="Tahoma" w:cs="Tahoma"/>
          <w:sz w:val="20"/>
          <w:szCs w:val="20"/>
        </w:rPr>
        <w:t xml:space="preserve"> V tabulce</w:t>
      </w:r>
      <w:r w:rsidR="002D356A" w:rsidRPr="002C14AA">
        <w:rPr>
          <w:rFonts w:ascii="Tahoma" w:hAnsi="Tahoma" w:cs="Tahoma"/>
          <w:color w:val="0000FF"/>
          <w:sz w:val="20"/>
          <w:szCs w:val="20"/>
        </w:rPr>
        <w:t xml:space="preserve"> </w:t>
      </w:r>
      <w:r w:rsidR="002D356A" w:rsidRPr="002C14AA">
        <w:rPr>
          <w:rFonts w:ascii="Tahoma" w:hAnsi="Tahoma" w:cs="Tahoma"/>
          <w:sz w:val="20"/>
          <w:szCs w:val="20"/>
        </w:rPr>
        <w:t>1.3 jsou uvedeny</w:t>
      </w:r>
      <w:r w:rsidR="002D356A">
        <w:rPr>
          <w:rFonts w:ascii="Tahoma" w:hAnsi="Tahoma" w:cs="Tahoma"/>
          <w:sz w:val="20"/>
          <w:szCs w:val="20"/>
        </w:rPr>
        <w:t xml:space="preserve"> údaje z rozvahy </w:t>
      </w:r>
      <w:r w:rsidR="00045A74">
        <w:rPr>
          <w:rFonts w:ascii="Tahoma" w:hAnsi="Tahoma" w:cs="Tahoma"/>
          <w:sz w:val="20"/>
          <w:szCs w:val="20"/>
        </w:rPr>
        <w:t>v tis.</w:t>
      </w:r>
      <w:r w:rsidR="0085211F" w:rsidRPr="00E778B6">
        <w:t> </w:t>
      </w:r>
      <w:r w:rsidR="00045A74">
        <w:rPr>
          <w:rFonts w:ascii="Tahoma" w:hAnsi="Tahoma" w:cs="Tahoma"/>
          <w:sz w:val="20"/>
          <w:szCs w:val="20"/>
        </w:rPr>
        <w:t xml:space="preserve">Kč </w:t>
      </w:r>
      <w:r w:rsidR="002D356A">
        <w:rPr>
          <w:rFonts w:ascii="Tahoma" w:hAnsi="Tahoma" w:cs="Tahoma"/>
          <w:sz w:val="20"/>
          <w:szCs w:val="20"/>
        </w:rPr>
        <w:t>s vyčíslením rozdílů u jednotlivých položek</w:t>
      </w:r>
      <w:r w:rsidR="00F4553F">
        <w:rPr>
          <w:rFonts w:ascii="Tahoma" w:hAnsi="Tahoma" w:cs="Tahoma"/>
          <w:sz w:val="20"/>
          <w:szCs w:val="20"/>
        </w:rPr>
        <w:t xml:space="preserve"> oběžných aktiv</w:t>
      </w:r>
      <w:r w:rsidR="002D356A">
        <w:rPr>
          <w:rFonts w:ascii="Tahoma" w:hAnsi="Tahoma" w:cs="Tahoma"/>
          <w:sz w:val="20"/>
          <w:szCs w:val="20"/>
        </w:rPr>
        <w:t xml:space="preserve"> za období 201</w:t>
      </w:r>
      <w:r w:rsidR="00390FA6">
        <w:rPr>
          <w:rFonts w:ascii="Tahoma" w:hAnsi="Tahoma" w:cs="Tahoma"/>
          <w:sz w:val="20"/>
          <w:szCs w:val="20"/>
        </w:rPr>
        <w:t>3</w:t>
      </w:r>
      <w:r w:rsidR="002D356A">
        <w:rPr>
          <w:rFonts w:ascii="Tahoma" w:hAnsi="Tahoma" w:cs="Tahoma"/>
          <w:sz w:val="20"/>
          <w:szCs w:val="20"/>
        </w:rPr>
        <w:t xml:space="preserve"> a</w:t>
      </w:r>
      <w:r w:rsidR="00045A74">
        <w:rPr>
          <w:rFonts w:ascii="Tahoma" w:hAnsi="Tahoma" w:cs="Tahoma"/>
          <w:sz w:val="20"/>
          <w:szCs w:val="20"/>
        </w:rPr>
        <w:t> </w:t>
      </w:r>
      <w:r w:rsidR="002D356A">
        <w:rPr>
          <w:rFonts w:ascii="Tahoma" w:hAnsi="Tahoma" w:cs="Tahoma"/>
          <w:sz w:val="20"/>
          <w:szCs w:val="20"/>
        </w:rPr>
        <w:t>201</w:t>
      </w:r>
      <w:r w:rsidR="00390FA6">
        <w:rPr>
          <w:rFonts w:ascii="Tahoma" w:hAnsi="Tahoma" w:cs="Tahoma"/>
          <w:sz w:val="20"/>
          <w:szCs w:val="20"/>
        </w:rPr>
        <w:t>2</w:t>
      </w:r>
      <w:r w:rsidR="002D356A">
        <w:rPr>
          <w:rFonts w:ascii="Tahoma" w:hAnsi="Tahoma" w:cs="Tahoma"/>
          <w:sz w:val="20"/>
          <w:szCs w:val="20"/>
        </w:rPr>
        <w:t>.</w:t>
      </w:r>
    </w:p>
    <w:p w:rsidR="00AB1121" w:rsidRDefault="00AB1121" w:rsidP="00700BCB">
      <w:pPr>
        <w:jc w:val="both"/>
        <w:rPr>
          <w:rFonts w:ascii="Tahoma" w:hAnsi="Tahoma" w:cs="Tahoma"/>
          <w:sz w:val="20"/>
          <w:szCs w:val="20"/>
        </w:rPr>
      </w:pPr>
    </w:p>
    <w:p w:rsidR="00700BCB" w:rsidRPr="007370DC" w:rsidRDefault="00700BCB" w:rsidP="006E4204">
      <w:pPr>
        <w:pStyle w:val="Styltab"/>
        <w:rPr>
          <w:rFonts w:ascii="Arial" w:hAnsi="Arial" w:cs="Arial"/>
        </w:rPr>
      </w:pPr>
      <w:r>
        <w:t>Oběžná</w:t>
      </w:r>
      <w:r w:rsidRPr="007370DC">
        <w:t xml:space="preserve"> aktiva k 31. 12. 201</w:t>
      </w:r>
      <w:r w:rsidR="00C5364B">
        <w:t>3</w:t>
      </w:r>
      <w:r w:rsidR="006E4204">
        <w:tab/>
      </w:r>
      <w:r w:rsidRPr="007370DC">
        <w:t>v tis. Kč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122"/>
        <w:gridCol w:w="1122"/>
        <w:gridCol w:w="1122"/>
        <w:gridCol w:w="1080"/>
        <w:gridCol w:w="1080"/>
      </w:tblGrid>
      <w:tr w:rsidR="00700BCB" w:rsidRPr="003C4183">
        <w:trPr>
          <w:trHeight w:val="510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90343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(2013)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(2012)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="00FA48C7"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(2013-2012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700BCB" w:rsidRPr="003C4183">
        <w:trPr>
          <w:trHeight w:val="270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Netto</w:t>
            </w:r>
          </w:p>
        </w:tc>
      </w:tr>
      <w:tr w:rsidR="001868B6" w:rsidRPr="003C4183" w:rsidTr="001868B6">
        <w:trPr>
          <w:trHeight w:val="51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3 791 749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15 126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3 776 623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3 641 305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135 318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-143</w:t>
            </w:r>
          </w:p>
        </w:tc>
      </w:tr>
      <w:tr w:rsidR="001868B6" w:rsidRPr="003C4183" w:rsidTr="0085211F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112-materiál na skladě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-143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2 110 636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15 126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2 095 510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1 806 131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289 379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311-odběratelé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42 845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65 491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-23 241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314-krátkodobé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1 154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-160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315-jiné pohledávky z hlavní činnosti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19 967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14 531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4 393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1 043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316-poskytnuté návratné finanční výpomoci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6 760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14 510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346-pohledávky za vybranými ústředními vládními institucemi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1 148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348-pohledávky za vybranými místními vládními institucemi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373-krátkodobé poskytnuté zálohy na transfery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67 916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67 916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83 571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-15 655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381-náklady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66 073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66 073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16 160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385-příjmy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5 712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5 712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3 265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388-dohadné účty aktivní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1 876 890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1 876 890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1 592 062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284 828</w:t>
            </w:r>
          </w:p>
        </w:tc>
      </w:tr>
      <w:tr w:rsidR="001868B6" w:rsidRPr="003C4183" w:rsidTr="0085211F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377-ostatní krátkodobé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7 477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1 680 010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1 680 010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1 833 928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-153 918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244-termínované vklady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219 000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245-jiné běžné účty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14 749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11 212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241-běžný účet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-90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231-základní běžný účet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1 139 412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1 139 412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1 523 995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-384 583</w:t>
            </w:r>
          </w:p>
        </w:tc>
      </w:tr>
      <w:tr w:rsidR="001868B6" w:rsidRPr="003C4183" w:rsidTr="0085211F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236-běžné účty fondů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156 771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156 771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156 233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538</w:t>
            </w:r>
          </w:p>
        </w:tc>
      </w:tr>
      <w:tr w:rsidR="001868B6" w:rsidRPr="003C4183" w:rsidTr="0085211F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Pr="003C4183" w:rsidRDefault="001868B6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263-ceniny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68B6" w:rsidRDefault="001868B6" w:rsidP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8B6" w:rsidRDefault="001868B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</w:t>
            </w:r>
          </w:p>
        </w:tc>
      </w:tr>
    </w:tbl>
    <w:p w:rsidR="00700BCB" w:rsidRPr="00FD15C6" w:rsidRDefault="00700BCB" w:rsidP="00FD15C6">
      <w:pPr>
        <w:pStyle w:val="Mjtext"/>
        <w:spacing w:before="240"/>
      </w:pPr>
      <w:r w:rsidRPr="00FD15C6">
        <w:rPr>
          <w:u w:val="single"/>
        </w:rPr>
        <w:t>Zásoby</w:t>
      </w:r>
      <w:r w:rsidRPr="00FD15C6">
        <w:t xml:space="preserve"> </w:t>
      </w:r>
      <w:r w:rsidR="0079108E">
        <w:t>– na tomto účtu eviduje kraj zásoby materiálu</w:t>
      </w:r>
      <w:r w:rsidRPr="00FD15C6">
        <w:t xml:space="preserve">. Kraj účtuje o zásobách způsobem B, tj. že v průběhu účetního období účtuje pořízení zásob do nákladů a na účty zásob účtuje stav zásob </w:t>
      </w:r>
      <w:r w:rsidR="00045A74">
        <w:t xml:space="preserve">až </w:t>
      </w:r>
      <w:r w:rsidRPr="00FD15C6">
        <w:lastRenderedPageBreak/>
        <w:t>k rozvahovému dni (tj. 31.</w:t>
      </w:r>
      <w:r w:rsidR="0085211F" w:rsidRPr="00E778B6">
        <w:t> </w:t>
      </w:r>
      <w:r w:rsidRPr="00FD15C6">
        <w:t>12. daného roku). Současně se k tomuto dni odúčtuje původní stav zásob – opět oproti účtu nákladů.</w:t>
      </w:r>
    </w:p>
    <w:p w:rsidR="00700BCB" w:rsidRPr="00FD15C6" w:rsidRDefault="00700BCB" w:rsidP="00C16579">
      <w:pPr>
        <w:numPr>
          <w:ilvl w:val="0"/>
          <w:numId w:val="15"/>
        </w:numPr>
        <w:spacing w:after="240"/>
        <w:ind w:left="357" w:hanging="357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C119B">
        <w:rPr>
          <w:rFonts w:ascii="Tahoma" w:hAnsi="Tahoma" w:cs="Tahoma"/>
          <w:bCs/>
          <w:sz w:val="20"/>
          <w:szCs w:val="20"/>
          <w:u w:val="single"/>
        </w:rPr>
        <w:t xml:space="preserve">Materiál </w:t>
      </w:r>
      <w:r>
        <w:rPr>
          <w:rFonts w:ascii="Tahoma" w:hAnsi="Tahoma" w:cs="Tahoma"/>
          <w:bCs/>
          <w:sz w:val="20"/>
          <w:szCs w:val="20"/>
          <w:u w:val="single"/>
        </w:rPr>
        <w:t>na skladě</w:t>
      </w:r>
      <w:r w:rsidRPr="00AC119B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na účtu 112 eviduje kraj zásoby kancelářského a ostatního materiálu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DC215D">
        <w:rPr>
          <w:rFonts w:ascii="Tahoma" w:hAnsi="Tahoma" w:cs="Tahoma"/>
          <w:bCs/>
          <w:sz w:val="20"/>
          <w:szCs w:val="20"/>
        </w:rPr>
        <w:t>403</w:t>
      </w:r>
      <w:r w:rsidR="002C3256">
        <w:rPr>
          <w:rFonts w:ascii="Tahoma" w:hAnsi="Tahoma" w:cs="Tahoma"/>
          <w:bCs/>
          <w:sz w:val="20"/>
          <w:szCs w:val="20"/>
        </w:rPr>
        <w:t> tis. Kč)</w:t>
      </w:r>
      <w:r>
        <w:rPr>
          <w:rFonts w:ascii="Tahoma" w:hAnsi="Tahoma" w:cs="Tahoma"/>
          <w:bCs/>
          <w:sz w:val="20"/>
          <w:szCs w:val="20"/>
        </w:rPr>
        <w:t>, propagačních a dárkových předmětů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DC215D">
        <w:rPr>
          <w:rFonts w:ascii="Tahoma" w:hAnsi="Tahoma" w:cs="Tahoma"/>
          <w:bCs/>
          <w:sz w:val="20"/>
          <w:szCs w:val="20"/>
        </w:rPr>
        <w:t>683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Kč)</w:t>
      </w:r>
      <w:r>
        <w:rPr>
          <w:rFonts w:ascii="Tahoma" w:hAnsi="Tahoma" w:cs="Tahoma"/>
          <w:bCs/>
          <w:sz w:val="20"/>
          <w:szCs w:val="20"/>
        </w:rPr>
        <w:t>, pokutových bloků a stvrzenek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DC215D">
        <w:rPr>
          <w:rFonts w:ascii="Tahoma" w:hAnsi="Tahoma" w:cs="Tahoma"/>
          <w:bCs/>
          <w:sz w:val="20"/>
          <w:szCs w:val="20"/>
        </w:rPr>
        <w:t>17</w:t>
      </w:r>
      <w:r w:rsidR="00DC215D" w:rsidRPr="00FD15C6">
        <w:t> </w:t>
      </w:r>
      <w:r w:rsidR="002C3256"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Kč)</w:t>
      </w:r>
      <w:r>
        <w:rPr>
          <w:rFonts w:ascii="Tahoma" w:hAnsi="Tahoma" w:cs="Tahoma"/>
          <w:bCs/>
          <w:sz w:val="20"/>
          <w:szCs w:val="20"/>
        </w:rPr>
        <w:t>. Celkem kraj eviduje zásoby ve výši 1.</w:t>
      </w:r>
      <w:r w:rsidR="00DC215D">
        <w:rPr>
          <w:rFonts w:ascii="Tahoma" w:hAnsi="Tahoma" w:cs="Tahoma"/>
          <w:bCs/>
          <w:sz w:val="20"/>
          <w:szCs w:val="20"/>
        </w:rPr>
        <w:t>103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 xml:space="preserve">Kč. </w:t>
      </w:r>
      <w:r w:rsidR="00DC215D">
        <w:rPr>
          <w:rFonts w:ascii="Tahoma" w:hAnsi="Tahoma" w:cs="Tahoma"/>
          <w:bCs/>
          <w:sz w:val="20"/>
          <w:szCs w:val="20"/>
        </w:rPr>
        <w:t>Opravná položka k zásobám nebyla vytvořena.</w:t>
      </w:r>
    </w:p>
    <w:p w:rsidR="00700BCB" w:rsidRPr="00FD15C6" w:rsidRDefault="00700BCB" w:rsidP="002C3256">
      <w:pPr>
        <w:spacing w:after="24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D56DB">
        <w:rPr>
          <w:rFonts w:ascii="Tahoma" w:hAnsi="Tahoma" w:cs="Tahoma"/>
          <w:sz w:val="20"/>
          <w:szCs w:val="20"/>
          <w:u w:val="single"/>
        </w:rPr>
        <w:t>Krátkodobé pohledávky</w:t>
      </w:r>
      <w:r>
        <w:rPr>
          <w:rFonts w:ascii="Tahoma" w:hAnsi="Tahoma" w:cs="Tahoma"/>
          <w:sz w:val="20"/>
          <w:szCs w:val="20"/>
        </w:rPr>
        <w:t xml:space="preserve"> </w:t>
      </w:r>
      <w:r w:rsidR="002C3256">
        <w:rPr>
          <w:rFonts w:ascii="Tahoma" w:hAnsi="Tahoma" w:cs="Tahoma"/>
          <w:sz w:val="20"/>
          <w:szCs w:val="20"/>
        </w:rPr>
        <w:t xml:space="preserve">obsahují </w:t>
      </w:r>
      <w:r>
        <w:rPr>
          <w:rFonts w:ascii="Tahoma" w:hAnsi="Tahoma" w:cs="Tahoma"/>
          <w:sz w:val="20"/>
          <w:szCs w:val="20"/>
        </w:rPr>
        <w:t>různé druhy pohledávek, např. pohledávky v oblasti soukromoprávních vztahů, pohledávky z hlavní činnosti, poskytnuté návratné finanční výpomoci, pohledávky v oblasti transferů, poskytnuté zálohy a dohadné (přechodné</w:t>
      </w:r>
      <w:r w:rsidR="00600242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účty aktivní. K vybraným druhům pohledávek se tvoří opravné položky (za každých 90 dnů po splatnosti se tvoří opravná položka ve výši 10 % z hodnoty pohledávky), výše opravných položek je vykázána v korekci. </w:t>
      </w:r>
      <w:r w:rsidR="0079108E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celkové</w:t>
      </w:r>
      <w:r w:rsidR="0079108E">
        <w:rPr>
          <w:rFonts w:ascii="Tahoma" w:hAnsi="Tahoma" w:cs="Tahoma"/>
          <w:sz w:val="20"/>
          <w:szCs w:val="20"/>
        </w:rPr>
        <w:t>mu</w:t>
      </w:r>
      <w:r>
        <w:rPr>
          <w:rFonts w:ascii="Tahoma" w:hAnsi="Tahoma" w:cs="Tahoma"/>
          <w:sz w:val="20"/>
          <w:szCs w:val="20"/>
        </w:rPr>
        <w:t xml:space="preserve"> objemu krátkodobých pohledávek ve výši </w:t>
      </w:r>
      <w:r w:rsidR="0079108E">
        <w:rPr>
          <w:rFonts w:ascii="Tahoma" w:hAnsi="Tahoma" w:cs="Tahoma"/>
          <w:sz w:val="20"/>
          <w:szCs w:val="20"/>
        </w:rPr>
        <w:t>2.110.636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byly vytvořeny opravné položky ve výši </w:t>
      </w:r>
      <w:r w:rsidR="0079108E">
        <w:rPr>
          <w:rFonts w:ascii="Tahoma" w:hAnsi="Tahoma" w:cs="Tahoma"/>
          <w:sz w:val="20"/>
          <w:szCs w:val="20"/>
        </w:rPr>
        <w:t>15.126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(jde zejména o opravné položky k pohledávkám za porušení rozpočtové kázně). Po splatnosti kraj eviduje pohledávky ve výši </w:t>
      </w:r>
      <w:r w:rsidR="0079108E">
        <w:rPr>
          <w:rFonts w:ascii="Tahoma" w:hAnsi="Tahoma" w:cs="Tahoma"/>
          <w:sz w:val="20"/>
          <w:szCs w:val="20"/>
        </w:rPr>
        <w:t>17.864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Kč; tyto pohledávky jsou vymáhány </w:t>
      </w:r>
      <w:r w:rsidR="0079108E">
        <w:rPr>
          <w:rFonts w:ascii="Tahoma" w:hAnsi="Tahoma" w:cs="Tahoma"/>
          <w:sz w:val="20"/>
          <w:szCs w:val="20"/>
        </w:rPr>
        <w:t xml:space="preserve">příslušnými odbory </w:t>
      </w:r>
      <w:r>
        <w:rPr>
          <w:rFonts w:ascii="Tahoma" w:hAnsi="Tahoma" w:cs="Tahoma"/>
          <w:sz w:val="20"/>
          <w:szCs w:val="20"/>
        </w:rPr>
        <w:t>v souladu s</w:t>
      </w:r>
      <w:r w:rsidR="0085211F">
        <w:rPr>
          <w:rFonts w:ascii="Tahoma" w:hAnsi="Tahoma" w:cs="Tahoma"/>
          <w:sz w:val="20"/>
          <w:szCs w:val="20"/>
        </w:rPr>
        <w:t xml:space="preserve"> vnitřní</w:t>
      </w:r>
      <w:r>
        <w:rPr>
          <w:rFonts w:ascii="Tahoma" w:hAnsi="Tahoma" w:cs="Tahoma"/>
          <w:sz w:val="20"/>
          <w:szCs w:val="20"/>
        </w:rPr>
        <w:t xml:space="preserve"> Směrnicí o správě pohledávek.</w:t>
      </w:r>
      <w:r w:rsidR="0085211F">
        <w:rPr>
          <w:rFonts w:ascii="Tahoma" w:hAnsi="Tahoma" w:cs="Tahoma"/>
          <w:sz w:val="20"/>
          <w:szCs w:val="20"/>
        </w:rPr>
        <w:t xml:space="preserve"> Krátkodobé pohledávky v netto hodnotě představují částku 2.095.510</w:t>
      </w:r>
      <w:r w:rsidR="0085211F">
        <w:rPr>
          <w:rFonts w:ascii="Tahoma" w:hAnsi="Tahoma" w:cs="Tahoma"/>
          <w:bCs/>
          <w:sz w:val="20"/>
          <w:szCs w:val="20"/>
        </w:rPr>
        <w:t> tis. Kč</w:t>
      </w:r>
      <w:r w:rsidR="007C6435">
        <w:rPr>
          <w:rFonts w:ascii="Tahoma" w:hAnsi="Tahoma" w:cs="Tahoma"/>
          <w:bCs/>
          <w:sz w:val="20"/>
          <w:szCs w:val="20"/>
        </w:rPr>
        <w:t>;</w:t>
      </w:r>
      <w:r w:rsidR="0085211F">
        <w:rPr>
          <w:rFonts w:ascii="Tahoma" w:hAnsi="Tahoma" w:cs="Tahoma"/>
          <w:bCs/>
          <w:sz w:val="20"/>
          <w:szCs w:val="20"/>
        </w:rPr>
        <w:t xml:space="preserve"> </w:t>
      </w:r>
      <w:r w:rsidR="007C6435">
        <w:rPr>
          <w:rFonts w:ascii="Tahoma" w:hAnsi="Tahoma" w:cs="Tahoma"/>
          <w:bCs/>
          <w:sz w:val="20"/>
          <w:szCs w:val="20"/>
        </w:rPr>
        <w:t>ve srovnání s r.</w:t>
      </w:r>
      <w:r w:rsidR="007C6435" w:rsidRPr="007C6435">
        <w:rPr>
          <w:rFonts w:ascii="Tahoma" w:hAnsi="Tahoma" w:cs="Tahoma"/>
          <w:bCs/>
          <w:sz w:val="20"/>
          <w:szCs w:val="20"/>
        </w:rPr>
        <w:t xml:space="preserve"> </w:t>
      </w:r>
      <w:r w:rsidR="007C6435">
        <w:rPr>
          <w:rFonts w:ascii="Tahoma" w:hAnsi="Tahoma" w:cs="Tahoma"/>
          <w:bCs/>
          <w:sz w:val="20"/>
          <w:szCs w:val="20"/>
        </w:rPr>
        <w:t> 2012 došlo k </w:t>
      </w:r>
      <w:r w:rsidR="007122A9">
        <w:rPr>
          <w:rFonts w:ascii="Tahoma" w:hAnsi="Tahoma" w:cs="Tahoma"/>
          <w:bCs/>
          <w:sz w:val="20"/>
          <w:szCs w:val="20"/>
        </w:rPr>
        <w:t>nárůstu</w:t>
      </w:r>
      <w:r w:rsidR="007C6435">
        <w:rPr>
          <w:rFonts w:ascii="Tahoma" w:hAnsi="Tahoma" w:cs="Tahoma"/>
          <w:bCs/>
          <w:sz w:val="20"/>
          <w:szCs w:val="20"/>
        </w:rPr>
        <w:t xml:space="preserve"> o 289.379 tis. Kč.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Odběratelé</w:t>
      </w:r>
      <w:r w:rsidRPr="001F1B7E">
        <w:t xml:space="preserve"> </w:t>
      </w:r>
      <w:r w:rsidRPr="00F13FBB">
        <w:t>– na účtu</w:t>
      </w:r>
      <w:r>
        <w:t xml:space="preserve"> 311 eviduje kraj pohledávky ze soukromoprávních vztahů. Z celkové výše pohledávek </w:t>
      </w:r>
      <w:r w:rsidR="009C2A83">
        <w:t>42.845</w:t>
      </w:r>
      <w:r w:rsidR="007C6435">
        <w:rPr>
          <w:bCs/>
          <w:szCs w:val="20"/>
        </w:rPr>
        <w:t> </w:t>
      </w:r>
      <w:r>
        <w:t>tis.</w:t>
      </w:r>
      <w:r w:rsidR="007C6435">
        <w:rPr>
          <w:bCs/>
          <w:szCs w:val="20"/>
        </w:rPr>
        <w:t> </w:t>
      </w:r>
      <w:r>
        <w:t xml:space="preserve">Kč tvoří největší objem pohledávky za </w:t>
      </w:r>
      <w:r w:rsidR="001436FF">
        <w:t xml:space="preserve">nájemné - </w:t>
      </w:r>
      <w:r w:rsidR="002D356A">
        <w:t>pronájem podnik</w:t>
      </w:r>
      <w:r w:rsidR="002C3256">
        <w:t>ů</w:t>
      </w:r>
      <w:r w:rsidR="002D356A">
        <w:t xml:space="preserve"> </w:t>
      </w:r>
      <w:r>
        <w:t xml:space="preserve">Letiště </w:t>
      </w:r>
      <w:r w:rsidR="002C3256" w:rsidRPr="00924627">
        <w:t>Ostrava-Mošnov</w:t>
      </w:r>
      <w:r w:rsidR="001F1B7E">
        <w:t>,</w:t>
      </w:r>
      <w:r w:rsidR="001436FF">
        <w:t xml:space="preserve"> </w:t>
      </w:r>
      <w:r>
        <w:t>Nemocnice Nový</w:t>
      </w:r>
      <w:r w:rsidR="002C3256">
        <w:t xml:space="preserve"> J</w:t>
      </w:r>
      <w:r>
        <w:t xml:space="preserve">ičín a ostatní pronájmy </w:t>
      </w:r>
      <w:r w:rsidR="001436FF">
        <w:t xml:space="preserve">v celkové </w:t>
      </w:r>
      <w:r>
        <w:t xml:space="preserve">výši </w:t>
      </w:r>
      <w:r w:rsidR="009C2A83">
        <w:t>41.822</w:t>
      </w:r>
      <w:r w:rsidR="00BC3E28">
        <w:rPr>
          <w:bCs/>
          <w:szCs w:val="20"/>
        </w:rPr>
        <w:t> </w:t>
      </w:r>
      <w:r w:rsidR="00BC3E28">
        <w:t>tis.</w:t>
      </w:r>
      <w:r w:rsidR="00BC3E28">
        <w:rPr>
          <w:bCs/>
          <w:szCs w:val="20"/>
        </w:rPr>
        <w:t> </w:t>
      </w:r>
      <w:r>
        <w:t>Kč. K tomuto účt</w:t>
      </w:r>
      <w:r w:rsidR="002D356A">
        <w:t>u</w:t>
      </w:r>
      <w:r>
        <w:t xml:space="preserve"> byly vytvořeny opravné položky </w:t>
      </w:r>
      <w:r w:rsidR="00924627">
        <w:t xml:space="preserve">u pohledávek po splatnosti </w:t>
      </w:r>
      <w:r>
        <w:t xml:space="preserve">ve výši </w:t>
      </w:r>
      <w:r w:rsidR="009C2A83">
        <w:t>595</w:t>
      </w:r>
      <w:r w:rsidR="00BC3E28">
        <w:rPr>
          <w:bCs/>
          <w:szCs w:val="20"/>
        </w:rPr>
        <w:t> </w:t>
      </w:r>
      <w:r>
        <w:t>tis.</w:t>
      </w:r>
      <w:r w:rsidR="00BC3E28">
        <w:rPr>
          <w:bCs/>
          <w:szCs w:val="20"/>
        </w:rPr>
        <w:t> </w:t>
      </w:r>
      <w:r>
        <w:t xml:space="preserve">Kč (jsou vykázány </w:t>
      </w:r>
      <w:r w:rsidR="001F1B7E">
        <w:t>v</w:t>
      </w:r>
      <w:r w:rsidR="00BC3E28">
        <w:rPr>
          <w:szCs w:val="20"/>
        </w:rPr>
        <w:t xml:space="preserve"> korekci), po </w:t>
      </w:r>
      <w:r w:rsidR="003F720D">
        <w:rPr>
          <w:szCs w:val="20"/>
        </w:rPr>
        <w:t>s</w:t>
      </w:r>
      <w:r w:rsidR="00BC3E28">
        <w:rPr>
          <w:szCs w:val="20"/>
        </w:rPr>
        <w:t>platnosti jsou evidovány pohledávky v celkové výši 936</w:t>
      </w:r>
      <w:r w:rsidR="00BC3E28">
        <w:rPr>
          <w:bCs/>
          <w:szCs w:val="20"/>
        </w:rPr>
        <w:t> tis. Kč a jsou vymáhány v s</w:t>
      </w:r>
      <w:r w:rsidR="00BC3E28">
        <w:rPr>
          <w:szCs w:val="20"/>
        </w:rPr>
        <w:t>ouladu s vnitřní</w:t>
      </w:r>
      <w:r w:rsidR="003F720D">
        <w:rPr>
          <w:szCs w:val="20"/>
        </w:rPr>
        <w:t xml:space="preserve"> Směrnicí o správě pohledávek.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Krátkodobé poskytnuté zálohy</w:t>
      </w:r>
      <w:r w:rsidRPr="001F1B7E">
        <w:t xml:space="preserve"> </w:t>
      </w:r>
      <w:r>
        <w:t>– na účtu 314 eviduje kraj pohledávky z poskytnutých záloh na</w:t>
      </w:r>
      <w:r w:rsidR="002C3256">
        <w:t> </w:t>
      </w:r>
      <w:r>
        <w:t xml:space="preserve">materiál, cestovné, služby a jistiny. Celková výše záloh činila </w:t>
      </w:r>
      <w:r w:rsidR="009C2A83">
        <w:t>994</w:t>
      </w:r>
      <w:r w:rsidR="007C6435">
        <w:rPr>
          <w:bCs/>
          <w:szCs w:val="20"/>
        </w:rPr>
        <w:t> </w:t>
      </w:r>
      <w:r>
        <w:t>tis.</w:t>
      </w:r>
      <w:r w:rsidR="007C6435">
        <w:rPr>
          <w:bCs/>
          <w:szCs w:val="20"/>
        </w:rPr>
        <w:t> </w:t>
      </w:r>
      <w:r>
        <w:t>Kč.</w:t>
      </w:r>
    </w:p>
    <w:p w:rsidR="00700BCB" w:rsidRPr="009072AA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Jiné pohledávky z</w:t>
      </w:r>
      <w:r w:rsidR="007122A9">
        <w:rPr>
          <w:u w:val="single"/>
        </w:rPr>
        <w:t xml:space="preserve"> hlavní </w:t>
      </w:r>
      <w:r>
        <w:rPr>
          <w:u w:val="single"/>
        </w:rPr>
        <w:t>činnosti</w:t>
      </w:r>
      <w:r w:rsidRPr="001F1B7E">
        <w:t xml:space="preserve"> </w:t>
      </w:r>
      <w:r>
        <w:t xml:space="preserve">– na účtu 315 eviduje kraj různé pohledávky z činnosti, jako jsou správní poplatky, pokuty, pohledávky za porušení rozpočtové kázně apod. Z celkové výše pohledávek </w:t>
      </w:r>
      <w:r w:rsidR="009C2A83">
        <w:t>19.967</w:t>
      </w:r>
      <w:r w:rsidR="007C6435">
        <w:rPr>
          <w:bCs/>
          <w:szCs w:val="20"/>
        </w:rPr>
        <w:t> </w:t>
      </w:r>
      <w:r>
        <w:t>tis.</w:t>
      </w:r>
      <w:r w:rsidR="00BC3E28">
        <w:rPr>
          <w:bCs/>
          <w:szCs w:val="20"/>
        </w:rPr>
        <w:t> </w:t>
      </w:r>
      <w:r>
        <w:t xml:space="preserve">Kč tvoří největší objem pohledávky za porušení rozpočtové kázně ve výši </w:t>
      </w:r>
      <w:r w:rsidR="009C2A83">
        <w:t>15.</w:t>
      </w:r>
      <w:r w:rsidR="00BC3E28">
        <w:t>662</w:t>
      </w:r>
      <w:r>
        <w:t> tis. Kč</w:t>
      </w:r>
      <w:r w:rsidR="009C2A83">
        <w:t xml:space="preserve">. K </w:t>
      </w:r>
      <w:r>
        <w:t xml:space="preserve">pohledávkám jsou podle platné metodiky vytvářeny opravné položky (korekce </w:t>
      </w:r>
      <w:r w:rsidR="009C2A83">
        <w:t>k účtu 315 činí 14.531</w:t>
      </w:r>
      <w:r w:rsidR="00EA19CD">
        <w:rPr>
          <w:bCs/>
          <w:szCs w:val="20"/>
        </w:rPr>
        <w:t> </w:t>
      </w:r>
      <w:r>
        <w:t>tis.</w:t>
      </w:r>
      <w:r w:rsidR="00EA19CD">
        <w:rPr>
          <w:bCs/>
          <w:szCs w:val="20"/>
        </w:rPr>
        <w:t> </w:t>
      </w:r>
      <w:r>
        <w:t>Kč</w:t>
      </w:r>
      <w:r w:rsidR="009C2A83">
        <w:t xml:space="preserve"> – jedná se zejména o opravné položky k poh</w:t>
      </w:r>
      <w:r w:rsidR="00C5629A">
        <w:t>ledávkám</w:t>
      </w:r>
      <w:r w:rsidR="009C2A83">
        <w:t xml:space="preserve"> za porušení rozpočtové kázně</w:t>
      </w:r>
      <w:r>
        <w:t>)</w:t>
      </w:r>
      <w:r w:rsidR="00C5629A">
        <w:t>.</w:t>
      </w:r>
      <w:r>
        <w:t xml:space="preserve"> Celkově jsou na tomto účtu </w:t>
      </w:r>
      <w:r w:rsidR="0019216A">
        <w:t xml:space="preserve">evidovány </w:t>
      </w:r>
      <w:r>
        <w:t xml:space="preserve">pohledávky po splatnosti ve výši </w:t>
      </w:r>
      <w:r w:rsidR="00C5629A">
        <w:t>16.928</w:t>
      </w:r>
      <w:r>
        <w:t> tis.</w:t>
      </w:r>
      <w:r w:rsidR="001539DE">
        <w:t> </w:t>
      </w:r>
      <w:r>
        <w:t>Kč a j</w:t>
      </w:r>
      <w:r w:rsidR="001436FF">
        <w:t>sou vymáhány příslušnými odbory dle Směrnice o správě pohledávek.</w:t>
      </w:r>
    </w:p>
    <w:p w:rsidR="00700BCB" w:rsidRPr="00EA19CD" w:rsidRDefault="00700BCB" w:rsidP="00EA19CD">
      <w:pPr>
        <w:pStyle w:val="Mjtext"/>
        <w:numPr>
          <w:ilvl w:val="0"/>
          <w:numId w:val="15"/>
        </w:numPr>
        <w:rPr>
          <w:szCs w:val="20"/>
        </w:rPr>
      </w:pPr>
      <w:r w:rsidRPr="00EA19CD">
        <w:rPr>
          <w:szCs w:val="20"/>
          <w:u w:val="single"/>
        </w:rPr>
        <w:t xml:space="preserve">Poskytnuté návratné finanční výpomoci </w:t>
      </w:r>
      <w:r w:rsidR="00C5629A" w:rsidRPr="00EA19CD">
        <w:rPr>
          <w:szCs w:val="20"/>
          <w:u w:val="single"/>
        </w:rPr>
        <w:t xml:space="preserve">(NFV) </w:t>
      </w:r>
      <w:r w:rsidRPr="00EA19CD">
        <w:rPr>
          <w:szCs w:val="20"/>
          <w:u w:val="single"/>
        </w:rPr>
        <w:t>krátkodobé</w:t>
      </w:r>
      <w:r w:rsidR="007122A9" w:rsidRPr="007122A9">
        <w:rPr>
          <w:szCs w:val="20"/>
        </w:rPr>
        <w:t xml:space="preserve"> </w:t>
      </w:r>
      <w:r w:rsidRPr="00EA19CD">
        <w:rPr>
          <w:szCs w:val="20"/>
        </w:rPr>
        <w:t xml:space="preserve">– na účtu 316 eviduje kraj </w:t>
      </w:r>
      <w:r w:rsidR="00907D51" w:rsidRPr="00EA19CD">
        <w:rPr>
          <w:szCs w:val="20"/>
        </w:rPr>
        <w:t xml:space="preserve">NFV </w:t>
      </w:r>
      <w:r w:rsidRPr="00EA19CD">
        <w:rPr>
          <w:szCs w:val="20"/>
        </w:rPr>
        <w:t>poskytnuté zřízeným příspěvkovým organizac</w:t>
      </w:r>
      <w:r w:rsidR="005E4390" w:rsidRPr="00EA19CD">
        <w:rPr>
          <w:szCs w:val="20"/>
        </w:rPr>
        <w:t xml:space="preserve">ím v celkové výši </w:t>
      </w:r>
      <w:r w:rsidR="00C5629A" w:rsidRPr="00EA19CD">
        <w:rPr>
          <w:szCs w:val="20"/>
        </w:rPr>
        <w:t>21.270</w:t>
      </w:r>
      <w:r w:rsidR="00EA19CD" w:rsidRPr="00EA19CD">
        <w:rPr>
          <w:bCs/>
          <w:szCs w:val="20"/>
        </w:rPr>
        <w:t> </w:t>
      </w:r>
      <w:r w:rsidR="005E4390" w:rsidRPr="00EA19CD">
        <w:rPr>
          <w:szCs w:val="20"/>
        </w:rPr>
        <w:t>tis.</w:t>
      </w:r>
      <w:r w:rsidR="00EA19CD" w:rsidRPr="00EA19CD">
        <w:rPr>
          <w:bCs/>
          <w:szCs w:val="20"/>
        </w:rPr>
        <w:t> </w:t>
      </w:r>
      <w:r w:rsidR="005E4390" w:rsidRPr="00EA19CD">
        <w:rPr>
          <w:szCs w:val="20"/>
        </w:rPr>
        <w:t>Kč</w:t>
      </w:r>
      <w:r w:rsidR="00907D51" w:rsidRPr="00EA19CD">
        <w:rPr>
          <w:szCs w:val="20"/>
        </w:rPr>
        <w:t xml:space="preserve"> (jedná se o</w:t>
      </w:r>
      <w:r w:rsidR="00EA19CD" w:rsidRPr="00EA19CD">
        <w:rPr>
          <w:bCs/>
          <w:szCs w:val="20"/>
        </w:rPr>
        <w:t> </w:t>
      </w:r>
      <w:r w:rsidR="00907D51" w:rsidRPr="00EA19CD">
        <w:rPr>
          <w:szCs w:val="20"/>
        </w:rPr>
        <w:t>NFV</w:t>
      </w:r>
      <w:r w:rsidR="005E4390" w:rsidRPr="00EA19CD">
        <w:rPr>
          <w:szCs w:val="20"/>
        </w:rPr>
        <w:t xml:space="preserve"> </w:t>
      </w:r>
      <w:r w:rsidR="00C5629A" w:rsidRPr="00EA19CD">
        <w:rPr>
          <w:szCs w:val="20"/>
        </w:rPr>
        <w:t xml:space="preserve">poskytnuté </w:t>
      </w:r>
      <w:r w:rsidR="007B3A7B" w:rsidRPr="00EA19CD">
        <w:rPr>
          <w:szCs w:val="20"/>
        </w:rPr>
        <w:t xml:space="preserve">zejména </w:t>
      </w:r>
      <w:r w:rsidR="00C5629A" w:rsidRPr="00EA19CD">
        <w:rPr>
          <w:szCs w:val="20"/>
        </w:rPr>
        <w:t xml:space="preserve">v rámci projektu </w:t>
      </w:r>
      <w:r w:rsidR="00EA19CD" w:rsidRPr="00EA19CD">
        <w:rPr>
          <w:szCs w:val="20"/>
        </w:rPr>
        <w:t>Podpora přírodovědného a technického vzdělávání v</w:t>
      </w:r>
      <w:r w:rsidR="00EA19CD">
        <w:rPr>
          <w:szCs w:val="20"/>
        </w:rPr>
        <w:t> MSK a</w:t>
      </w:r>
      <w:r w:rsidR="00EA19CD" w:rsidRPr="00EA19CD">
        <w:rPr>
          <w:szCs w:val="20"/>
        </w:rPr>
        <w:t xml:space="preserve">  </w:t>
      </w:r>
      <w:r w:rsidR="005E4390" w:rsidRPr="00EA19CD">
        <w:rPr>
          <w:szCs w:val="20"/>
        </w:rPr>
        <w:t>na zateplení vybraných objektů škol</w:t>
      </w:r>
      <w:r w:rsidR="00907D51" w:rsidRPr="00EA19CD">
        <w:rPr>
          <w:szCs w:val="20"/>
        </w:rPr>
        <w:t>)</w:t>
      </w:r>
      <w:r w:rsidR="005E4390" w:rsidRPr="00EA19CD">
        <w:rPr>
          <w:szCs w:val="20"/>
        </w:rPr>
        <w:t>.</w:t>
      </w:r>
    </w:p>
    <w:p w:rsidR="007814A6" w:rsidRPr="007814A6" w:rsidRDefault="007B3A7B" w:rsidP="00C16579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szCs w:val="20"/>
          <w:u w:val="single"/>
        </w:rPr>
        <w:t xml:space="preserve">Pohledávky za vybranými ústředními vládními institucemi </w:t>
      </w:r>
      <w:r w:rsidRPr="00EA19CD">
        <w:rPr>
          <w:szCs w:val="20"/>
        </w:rPr>
        <w:t>– na účtu 346 eviduje kraj pohledávku za Finančním úřadem Ostrava – jedná se o vratku uhrazené sankce za porušení rozpočtové kázně ve</w:t>
      </w:r>
      <w:r>
        <w:t> </w:t>
      </w:r>
      <w:r w:rsidR="007814A6">
        <w:rPr>
          <w:szCs w:val="20"/>
        </w:rPr>
        <w:t>výši 1.148</w:t>
      </w:r>
      <w:r w:rsidR="007814A6" w:rsidRPr="00EA19CD">
        <w:rPr>
          <w:szCs w:val="20"/>
        </w:rPr>
        <w:t> </w:t>
      </w:r>
      <w:r w:rsidR="007814A6">
        <w:rPr>
          <w:szCs w:val="20"/>
        </w:rPr>
        <w:t>t</w:t>
      </w:r>
      <w:r w:rsidRPr="00EA19CD">
        <w:rPr>
          <w:szCs w:val="20"/>
        </w:rPr>
        <w:t>is.</w:t>
      </w:r>
      <w:r w:rsidR="007814A6" w:rsidRPr="00EA19CD">
        <w:rPr>
          <w:szCs w:val="20"/>
        </w:rPr>
        <w:t> </w:t>
      </w:r>
      <w:r w:rsidRPr="00EA19CD">
        <w:rPr>
          <w:szCs w:val="20"/>
        </w:rPr>
        <w:t>Kč.</w:t>
      </w:r>
    </w:p>
    <w:p w:rsidR="00700BCB" w:rsidRPr="00EA19CD" w:rsidRDefault="00700BCB" w:rsidP="00C16579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u w:val="single"/>
        </w:rPr>
        <w:t>Pohledávky za vybranými místními vládními institucemi</w:t>
      </w:r>
      <w:r w:rsidRPr="009072AA">
        <w:t xml:space="preserve"> </w:t>
      </w:r>
      <w:r>
        <w:t>–</w:t>
      </w:r>
      <w:r w:rsidRPr="009072AA">
        <w:t xml:space="preserve"> na</w:t>
      </w:r>
      <w:r>
        <w:t xml:space="preserve"> účtu 348 eviduje kraj pohledávk</w:t>
      </w:r>
      <w:r w:rsidR="007B3A7B">
        <w:t>y</w:t>
      </w:r>
      <w:r>
        <w:t xml:space="preserve"> z</w:t>
      </w:r>
      <w:r w:rsidR="003F720D">
        <w:t> </w:t>
      </w:r>
      <w:r>
        <w:t>finančního vypořádání s</w:t>
      </w:r>
      <w:r w:rsidR="007B3A7B">
        <w:t xml:space="preserve"> příspěvkovými organizacemi kraje </w:t>
      </w:r>
      <w:r>
        <w:t xml:space="preserve">ve výši </w:t>
      </w:r>
      <w:r w:rsidR="007B3A7B">
        <w:t>5</w:t>
      </w:r>
      <w:r w:rsidR="000D79F6" w:rsidRPr="00EA19CD">
        <w:rPr>
          <w:szCs w:val="20"/>
        </w:rPr>
        <w:t> </w:t>
      </w:r>
      <w:r>
        <w:t>tis.</w:t>
      </w:r>
      <w:r w:rsidR="000D79F6" w:rsidRPr="00EA19CD">
        <w:rPr>
          <w:szCs w:val="20"/>
        </w:rPr>
        <w:t> </w:t>
      </w:r>
      <w:r>
        <w:t>Kč.</w:t>
      </w:r>
    </w:p>
    <w:p w:rsidR="00700BCB" w:rsidRPr="00435464" w:rsidRDefault="00700BCB" w:rsidP="00C16579">
      <w:pPr>
        <w:pStyle w:val="Mjtext"/>
        <w:numPr>
          <w:ilvl w:val="0"/>
          <w:numId w:val="15"/>
        </w:numPr>
        <w:rPr>
          <w:u w:val="single"/>
        </w:rPr>
      </w:pPr>
      <w:r>
        <w:rPr>
          <w:u w:val="single"/>
        </w:rPr>
        <w:t>Krátkodobé poskytnuté zálohy na transfery</w:t>
      </w:r>
      <w:r w:rsidRPr="00450DAF">
        <w:t xml:space="preserve"> – na účtu </w:t>
      </w:r>
      <w:r>
        <w:t>373 eviduje kraj poskytnuté zálohy na</w:t>
      </w:r>
      <w:r w:rsidR="00B2549B">
        <w:t> </w:t>
      </w:r>
      <w:r>
        <w:t xml:space="preserve">investiční a neinvestiční transfery v celkové výši </w:t>
      </w:r>
      <w:r w:rsidR="007B3A7B">
        <w:t>67.916</w:t>
      </w:r>
      <w:r w:rsidR="000D79F6" w:rsidRPr="00EA19CD">
        <w:rPr>
          <w:szCs w:val="20"/>
        </w:rPr>
        <w:t> </w:t>
      </w:r>
      <w:r>
        <w:t>tis.</w:t>
      </w:r>
      <w:r w:rsidR="000D79F6" w:rsidRPr="00EA19CD">
        <w:rPr>
          <w:szCs w:val="20"/>
        </w:rPr>
        <w:t> </w:t>
      </w:r>
      <w:r>
        <w:t>Kč. Jedná se zejména o zálohy poskytnuté z rozpočtu kraje, a to pro obce a</w:t>
      </w:r>
      <w:r w:rsidR="0019216A">
        <w:t> </w:t>
      </w:r>
      <w:r>
        <w:t>jejich příspěvkové organizace (</w:t>
      </w:r>
      <w:r w:rsidR="004B7082">
        <w:t>23.673</w:t>
      </w:r>
      <w:r w:rsidR="001E7BF2" w:rsidRPr="00EA19CD">
        <w:rPr>
          <w:szCs w:val="20"/>
        </w:rPr>
        <w:t> </w:t>
      </w:r>
      <w:r w:rsidR="004B7082">
        <w:t>tis.</w:t>
      </w:r>
      <w:r w:rsidR="001E7BF2" w:rsidRPr="00EA19CD">
        <w:rPr>
          <w:szCs w:val="20"/>
        </w:rPr>
        <w:t> </w:t>
      </w:r>
      <w:r>
        <w:t>Kč), dále pro příspěvkové organizace zřízené krajem</w:t>
      </w:r>
      <w:r w:rsidR="004B7082">
        <w:t xml:space="preserve"> (4.746</w:t>
      </w:r>
      <w:r w:rsidR="001E7BF2" w:rsidRPr="00EA19CD">
        <w:rPr>
          <w:szCs w:val="20"/>
        </w:rPr>
        <w:t> </w:t>
      </w:r>
      <w:r w:rsidR="001E7BF2">
        <w:t>t</w:t>
      </w:r>
      <w:r w:rsidR="004B7082">
        <w:t>is.</w:t>
      </w:r>
      <w:r w:rsidR="001E7BF2" w:rsidRPr="00EA19CD">
        <w:rPr>
          <w:szCs w:val="20"/>
        </w:rPr>
        <w:t> </w:t>
      </w:r>
      <w:r w:rsidR="004B7082">
        <w:t>Kč)</w:t>
      </w:r>
      <w:r>
        <w:t xml:space="preserve"> a</w:t>
      </w:r>
      <w:r w:rsidR="00B2549B">
        <w:t> </w:t>
      </w:r>
      <w:r w:rsidR="0019216A">
        <w:t xml:space="preserve">pro </w:t>
      </w:r>
      <w:r>
        <w:t>ostatní subjekty</w:t>
      </w:r>
      <w:r w:rsidR="004B7082">
        <w:t xml:space="preserve"> (39.497</w:t>
      </w:r>
      <w:r w:rsidR="001E7BF2" w:rsidRPr="00EA19CD">
        <w:rPr>
          <w:szCs w:val="20"/>
        </w:rPr>
        <w:t> </w:t>
      </w:r>
      <w:r w:rsidR="001E7BF2">
        <w:t>tis.</w:t>
      </w:r>
      <w:r w:rsidR="001E7BF2" w:rsidRPr="00EA19CD">
        <w:rPr>
          <w:szCs w:val="20"/>
        </w:rPr>
        <w:t> </w:t>
      </w:r>
      <w:r w:rsidR="004B7082">
        <w:t>Kč)</w:t>
      </w:r>
      <w:r>
        <w:t xml:space="preserve">. </w:t>
      </w:r>
      <w:r w:rsidR="004B7082">
        <w:t>Oproti r. 2012 došlo k poklesu poskytnutých záloh o 15.655</w:t>
      </w:r>
      <w:r w:rsidR="001E7BF2" w:rsidRPr="00EA19CD">
        <w:rPr>
          <w:szCs w:val="20"/>
        </w:rPr>
        <w:t> </w:t>
      </w:r>
      <w:r w:rsidR="004B7082">
        <w:t>tis.</w:t>
      </w:r>
      <w:r w:rsidR="001E7BF2" w:rsidRPr="00EA19CD">
        <w:rPr>
          <w:szCs w:val="20"/>
        </w:rPr>
        <w:t> </w:t>
      </w:r>
      <w:r w:rsidR="004B7082">
        <w:t>Kč.</w:t>
      </w:r>
    </w:p>
    <w:p w:rsidR="00700BCB" w:rsidRPr="001E7BF2" w:rsidRDefault="00700BCB" w:rsidP="00C16579">
      <w:pPr>
        <w:pStyle w:val="Mjtext"/>
        <w:numPr>
          <w:ilvl w:val="0"/>
          <w:numId w:val="15"/>
        </w:numPr>
      </w:pPr>
      <w:r w:rsidRPr="001E7BF2">
        <w:rPr>
          <w:u w:val="single"/>
        </w:rPr>
        <w:t>Náklady příštích období</w:t>
      </w:r>
      <w:r w:rsidRPr="001E7BF2">
        <w:t xml:space="preserve"> – na účtu 381 eviduje kraj</w:t>
      </w:r>
      <w:r w:rsidR="006B28C2" w:rsidRPr="001E7BF2">
        <w:t xml:space="preserve"> položky, </w:t>
      </w:r>
      <w:r w:rsidRPr="001E7BF2">
        <w:t xml:space="preserve">které představují náklad až v příštích účetních obdobích. Z celkové výše </w:t>
      </w:r>
      <w:r w:rsidR="004B7082" w:rsidRPr="001E7BF2">
        <w:t>66.073</w:t>
      </w:r>
      <w:r w:rsidR="001E7BF2" w:rsidRPr="00EA19CD">
        <w:rPr>
          <w:szCs w:val="20"/>
        </w:rPr>
        <w:t> </w:t>
      </w:r>
      <w:r w:rsidR="001E7BF2">
        <w:t>tis.</w:t>
      </w:r>
      <w:r w:rsidR="001E7BF2" w:rsidRPr="00EA19CD">
        <w:rPr>
          <w:szCs w:val="20"/>
        </w:rPr>
        <w:t> </w:t>
      </w:r>
      <w:r w:rsidRPr="001E7BF2">
        <w:t>Kč představuj</w:t>
      </w:r>
      <w:r w:rsidR="00907D51" w:rsidRPr="001E7BF2">
        <w:t>í</w:t>
      </w:r>
      <w:r w:rsidR="005556A1">
        <w:t xml:space="preserve"> nejvyšší položky</w:t>
      </w:r>
      <w:r w:rsidRPr="001E7BF2">
        <w:t xml:space="preserve"> </w:t>
      </w:r>
      <w:r w:rsidR="003F720D" w:rsidRPr="001E7BF2">
        <w:t>hrazené</w:t>
      </w:r>
      <w:r w:rsidRPr="001E7BF2">
        <w:t xml:space="preserve"> úroky </w:t>
      </w:r>
      <w:r w:rsidR="003F720D" w:rsidRPr="001E7BF2">
        <w:t>za</w:t>
      </w:r>
      <w:r w:rsidR="00B342FB" w:rsidRPr="00EA19CD">
        <w:rPr>
          <w:szCs w:val="20"/>
        </w:rPr>
        <w:t> </w:t>
      </w:r>
      <w:r w:rsidR="00907D51" w:rsidRPr="001E7BF2">
        <w:t xml:space="preserve">akce </w:t>
      </w:r>
      <w:r w:rsidR="003F720D" w:rsidRPr="001E7BF2">
        <w:t xml:space="preserve">realizované </w:t>
      </w:r>
      <w:r w:rsidRPr="001E7BF2">
        <w:t>v oblasti energetických úspor, které byly provedeny u příspěvkových organizací kraje (</w:t>
      </w:r>
      <w:r w:rsidR="00994C08" w:rsidRPr="001E7BF2">
        <w:t xml:space="preserve">40.192 </w:t>
      </w:r>
      <w:r w:rsidR="00466F00" w:rsidRPr="001E7BF2">
        <w:t>tis.</w:t>
      </w:r>
      <w:r w:rsidRPr="001E7BF2">
        <w:t> Kč)</w:t>
      </w:r>
      <w:r w:rsidR="00994C08" w:rsidRPr="001E7BF2">
        <w:t xml:space="preserve"> a příspěvek na M</w:t>
      </w:r>
      <w:r w:rsidR="001E7BF2">
        <w:t>S</w:t>
      </w:r>
      <w:r w:rsidR="00994C08" w:rsidRPr="001E7BF2">
        <w:t xml:space="preserve"> v</w:t>
      </w:r>
      <w:r w:rsidR="001E7BF2">
        <w:t> </w:t>
      </w:r>
      <w:r w:rsidR="00994C08" w:rsidRPr="001E7BF2">
        <w:t>ledním hokeji v</w:t>
      </w:r>
      <w:r w:rsidR="001E7BF2">
        <w:t> </w:t>
      </w:r>
      <w:r w:rsidR="00994C08" w:rsidRPr="001E7BF2">
        <w:t>r. 2015 (20.000</w:t>
      </w:r>
      <w:r w:rsidR="00B342FB" w:rsidRPr="00EA19CD">
        <w:rPr>
          <w:szCs w:val="20"/>
        </w:rPr>
        <w:t> </w:t>
      </w:r>
      <w:r w:rsidR="00B342FB">
        <w:rPr>
          <w:szCs w:val="20"/>
        </w:rPr>
        <w:t>tis.</w:t>
      </w:r>
      <w:r w:rsidR="00B342FB" w:rsidRPr="00EA19CD">
        <w:rPr>
          <w:szCs w:val="20"/>
        </w:rPr>
        <w:t> </w:t>
      </w:r>
      <w:r w:rsidR="00994C08" w:rsidRPr="001E7BF2">
        <w:t>Kč)</w:t>
      </w:r>
      <w:r w:rsidRPr="001E7BF2">
        <w:t>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lastRenderedPageBreak/>
        <w:t>Příjmy příštích období</w:t>
      </w:r>
      <w:r w:rsidRPr="00653FBE">
        <w:t xml:space="preserve"> </w:t>
      </w:r>
      <w:r>
        <w:t>– na účtu 385 eviduje kraj výnosy z</w:t>
      </w:r>
      <w:r w:rsidR="001E7BF2">
        <w:t> </w:t>
      </w:r>
      <w:r>
        <w:t>úroků u termínovaných vkladů a ostatních vkladů u bank, které se týk</w:t>
      </w:r>
      <w:r w:rsidR="00653FBE">
        <w:t xml:space="preserve">aly </w:t>
      </w:r>
      <w:r>
        <w:t>účetního období r. 201</w:t>
      </w:r>
      <w:r w:rsidR="00994C08">
        <w:t>3</w:t>
      </w:r>
      <w:r>
        <w:t xml:space="preserve">, ale na bankovní účty </w:t>
      </w:r>
      <w:r w:rsidR="00653FBE">
        <w:t xml:space="preserve">byly </w:t>
      </w:r>
      <w:r w:rsidR="003F720D">
        <w:t>připsány až v</w:t>
      </w:r>
      <w:r w:rsidR="001E7BF2">
        <w:t> </w:t>
      </w:r>
      <w:r w:rsidR="003F720D">
        <w:t>r. 201</w:t>
      </w:r>
      <w:r w:rsidR="00994C08">
        <w:t>4</w:t>
      </w:r>
      <w:r w:rsidR="003F720D">
        <w:t xml:space="preserve"> (</w:t>
      </w:r>
      <w:r w:rsidR="00994C08">
        <w:t>5.712</w:t>
      </w:r>
      <w:r w:rsidR="00B342FB" w:rsidRPr="00EA19CD">
        <w:rPr>
          <w:szCs w:val="20"/>
        </w:rPr>
        <w:t> </w:t>
      </w:r>
      <w:r w:rsidR="003F720D">
        <w:t>tis.</w:t>
      </w:r>
      <w:r w:rsidR="00B342FB" w:rsidRPr="00EA19CD">
        <w:rPr>
          <w:szCs w:val="20"/>
        </w:rPr>
        <w:t> </w:t>
      </w:r>
      <w:r w:rsidR="003F720D">
        <w:t>Kč).</w:t>
      </w:r>
    </w:p>
    <w:p w:rsidR="00700BCB" w:rsidRPr="00653FBE" w:rsidRDefault="00700BCB" w:rsidP="00C16579">
      <w:pPr>
        <w:pStyle w:val="Mjtext"/>
        <w:numPr>
          <w:ilvl w:val="0"/>
          <w:numId w:val="15"/>
        </w:numPr>
      </w:pPr>
      <w:r w:rsidRPr="005762F4">
        <w:rPr>
          <w:u w:val="single"/>
        </w:rPr>
        <w:t>Dohadné účty aktivní</w:t>
      </w:r>
      <w:r w:rsidRPr="00653FBE">
        <w:t xml:space="preserve"> </w:t>
      </w:r>
      <w:r w:rsidR="00466F00" w:rsidRPr="005762F4">
        <w:t xml:space="preserve">– na účtu 388 eviduje kraj </w:t>
      </w:r>
      <w:r w:rsidRPr="005762F4">
        <w:t>dohady investičních a neinvestičních transferů a</w:t>
      </w:r>
      <w:r w:rsidR="00466F00" w:rsidRPr="005762F4">
        <w:t> </w:t>
      </w:r>
      <w:r w:rsidRPr="005762F4">
        <w:t>dohad výnosu z</w:t>
      </w:r>
      <w:r w:rsidR="001E7BF2">
        <w:t> </w:t>
      </w:r>
      <w:r w:rsidRPr="005762F4">
        <w:t>daně z</w:t>
      </w:r>
      <w:r w:rsidR="001E7BF2">
        <w:t> </w:t>
      </w:r>
      <w:r w:rsidRPr="005762F4">
        <w:t>příjmu kraje. Z</w:t>
      </w:r>
      <w:r w:rsidR="001E7BF2">
        <w:t> </w:t>
      </w:r>
      <w:r w:rsidRPr="005762F4">
        <w:t>celkového objemu dohad</w:t>
      </w:r>
      <w:r w:rsidR="00466F00" w:rsidRPr="005762F4">
        <w:t>ů</w:t>
      </w:r>
      <w:r w:rsidRPr="005762F4">
        <w:t xml:space="preserve"> výnosů ve výši </w:t>
      </w:r>
      <w:r w:rsidR="00994C08">
        <w:t>1.876.890</w:t>
      </w:r>
      <w:r w:rsidR="00466F00" w:rsidRPr="005762F4">
        <w:t> </w:t>
      </w:r>
      <w:r w:rsidRPr="005762F4">
        <w:t>tis.</w:t>
      </w:r>
      <w:r w:rsidR="00466F00" w:rsidRPr="005762F4">
        <w:t> </w:t>
      </w:r>
      <w:r w:rsidRPr="005762F4">
        <w:t>Kč představují největší položk</w:t>
      </w:r>
      <w:r w:rsidR="00653FBE">
        <w:t>y</w:t>
      </w:r>
      <w:r w:rsidRPr="005762F4">
        <w:t xml:space="preserve"> dohady neinvestičních transferů </w:t>
      </w:r>
      <w:r w:rsidR="003F720D" w:rsidRPr="005762F4">
        <w:t>(</w:t>
      </w:r>
      <w:r w:rsidR="00994C08">
        <w:t>1.494.222</w:t>
      </w:r>
      <w:r w:rsidR="00814EED" w:rsidRPr="00EA19CD">
        <w:rPr>
          <w:szCs w:val="20"/>
        </w:rPr>
        <w:t> </w:t>
      </w:r>
      <w:r w:rsidRPr="005762F4">
        <w:t>tis.</w:t>
      </w:r>
      <w:r w:rsidR="00814EED" w:rsidRPr="00EA19CD">
        <w:rPr>
          <w:szCs w:val="20"/>
        </w:rPr>
        <w:t> </w:t>
      </w:r>
      <w:r w:rsidRPr="005762F4">
        <w:t>Kč</w:t>
      </w:r>
      <w:r w:rsidR="003F720D" w:rsidRPr="005762F4">
        <w:t>)</w:t>
      </w:r>
      <w:r w:rsidRPr="005762F4">
        <w:t xml:space="preserve"> </w:t>
      </w:r>
      <w:r w:rsidR="003F720D" w:rsidRPr="005762F4">
        <w:t>a</w:t>
      </w:r>
      <w:r w:rsidR="00994C08">
        <w:t> </w:t>
      </w:r>
      <w:r w:rsidRPr="005762F4">
        <w:t>dohady investičních transferů</w:t>
      </w:r>
      <w:r w:rsidR="003F720D" w:rsidRPr="005762F4">
        <w:t xml:space="preserve"> (</w:t>
      </w:r>
      <w:r w:rsidR="00994C08">
        <w:t>360.</w:t>
      </w:r>
      <w:r w:rsidR="002869A5">
        <w:t>7</w:t>
      </w:r>
      <w:r w:rsidR="00994C08">
        <w:t>80</w:t>
      </w:r>
      <w:r w:rsidR="00814EED" w:rsidRPr="00EA19CD">
        <w:rPr>
          <w:szCs w:val="20"/>
        </w:rPr>
        <w:t> </w:t>
      </w:r>
      <w:r w:rsidR="00814EED" w:rsidRPr="005762F4">
        <w:t xml:space="preserve"> </w:t>
      </w:r>
      <w:r w:rsidR="00814EED">
        <w:t>tis.</w:t>
      </w:r>
      <w:r w:rsidR="00814EED" w:rsidRPr="00EA19CD">
        <w:rPr>
          <w:szCs w:val="20"/>
        </w:rPr>
        <w:t> </w:t>
      </w:r>
      <w:r w:rsidRPr="005762F4">
        <w:t>Kč</w:t>
      </w:r>
      <w:r w:rsidR="003F720D" w:rsidRPr="005762F4">
        <w:t>)</w:t>
      </w:r>
      <w:r w:rsidRPr="005762F4">
        <w:t xml:space="preserve"> – v</w:t>
      </w:r>
      <w:r w:rsidR="001E7BF2">
        <w:t> </w:t>
      </w:r>
      <w:r w:rsidRPr="005762F4">
        <w:t>obou případech se jedná zejména o dohady transferů u</w:t>
      </w:r>
      <w:r w:rsidR="00653FBE">
        <w:t xml:space="preserve"> projektů spolufinancovaných EU;</w:t>
      </w:r>
      <w:r w:rsidRPr="005762F4">
        <w:t xml:space="preserve"> zbytek tvoří dohad výnos</w:t>
      </w:r>
      <w:r w:rsidR="003F720D" w:rsidRPr="005762F4">
        <w:t>ů</w:t>
      </w:r>
      <w:r w:rsidRPr="005762F4">
        <w:t xml:space="preserve"> z</w:t>
      </w:r>
      <w:r w:rsidR="001E7BF2">
        <w:t> </w:t>
      </w:r>
      <w:r w:rsidRPr="005762F4">
        <w:t>vlastní daně z</w:t>
      </w:r>
      <w:r w:rsidR="001E7BF2">
        <w:t> </w:t>
      </w:r>
      <w:r w:rsidRPr="005762F4">
        <w:t>příjmu kraje (</w:t>
      </w:r>
      <w:r w:rsidR="00994C08">
        <w:t>21.888</w:t>
      </w:r>
      <w:r w:rsidR="00814EED" w:rsidRPr="00EA19CD">
        <w:rPr>
          <w:szCs w:val="20"/>
        </w:rPr>
        <w:t> </w:t>
      </w:r>
      <w:r w:rsidRPr="005762F4">
        <w:t>tis.</w:t>
      </w:r>
      <w:r w:rsidR="00814EED" w:rsidRPr="00EA19CD">
        <w:rPr>
          <w:szCs w:val="20"/>
        </w:rPr>
        <w:t> </w:t>
      </w:r>
      <w:r w:rsidRPr="005762F4">
        <w:t xml:space="preserve">Kč). Dohady výnosů u transferů jsou tvořeny </w:t>
      </w:r>
      <w:r w:rsidR="00B8688D" w:rsidRPr="006B28C2">
        <w:t>na základě akruálního principu – tj. k</w:t>
      </w:r>
      <w:r w:rsidR="001E7BF2">
        <w:t> </w:t>
      </w:r>
      <w:r w:rsidR="00B8688D" w:rsidRPr="006B28C2">
        <w:t>vynaloženým nákladům u jednotlivých projektů daného účetního období (tj. r. 2013) se tvoří formou dohadů očekávané výnosy z</w:t>
      </w:r>
      <w:r w:rsidR="001E7BF2">
        <w:t> </w:t>
      </w:r>
      <w:r w:rsidR="00B8688D" w:rsidRPr="006B28C2">
        <w:t>transferů do téhož účetního obd</w:t>
      </w:r>
      <w:r w:rsidR="00814EED">
        <w:t>obí (tj. do r. 2013 – náklady a</w:t>
      </w:r>
      <w:r w:rsidR="00814EED" w:rsidRPr="00EA19CD">
        <w:rPr>
          <w:szCs w:val="20"/>
        </w:rPr>
        <w:t> </w:t>
      </w:r>
      <w:r w:rsidR="00B8688D" w:rsidRPr="006B28C2">
        <w:t>výnosy se vztahují k</w:t>
      </w:r>
      <w:r w:rsidR="001E7BF2">
        <w:t> </w:t>
      </w:r>
      <w:r w:rsidR="00B8688D" w:rsidRPr="006B28C2">
        <w:t xml:space="preserve">témuž účetnímu období). Dohady se tvoří </w:t>
      </w:r>
      <w:r w:rsidRPr="006B28C2">
        <w:t>v</w:t>
      </w:r>
      <w:r w:rsidR="001E7BF2">
        <w:t> </w:t>
      </w:r>
      <w:r w:rsidRPr="005762F4">
        <w:t xml:space="preserve">případě, že transfer je poskytován formou zálohy </w:t>
      </w:r>
      <w:r w:rsidRPr="00814EED">
        <w:t xml:space="preserve">(výše </w:t>
      </w:r>
      <w:r w:rsidRPr="005762F4">
        <w:t>dohadu se tvoří vzhledem k</w:t>
      </w:r>
      <w:r w:rsidR="001E7BF2">
        <w:t> </w:t>
      </w:r>
      <w:r w:rsidRPr="005762F4">
        <w:t>realizovaný</w:t>
      </w:r>
      <w:r w:rsidR="00CE5DC4">
        <w:t>m</w:t>
      </w:r>
      <w:r w:rsidRPr="005762F4">
        <w:t xml:space="preserve"> nákladům daného projektu v</w:t>
      </w:r>
      <w:r w:rsidR="001E7BF2">
        <w:t> </w:t>
      </w:r>
      <w:r w:rsidRPr="005762F4">
        <w:t>r. 201</w:t>
      </w:r>
      <w:r w:rsidR="002869A5">
        <w:t>3</w:t>
      </w:r>
      <w:r w:rsidRPr="005762F4">
        <w:t>) nebo v</w:t>
      </w:r>
      <w:r w:rsidR="001E7BF2">
        <w:t> </w:t>
      </w:r>
      <w:r w:rsidRPr="005762F4">
        <w:t>případě, že jsou transfery poskytovány ex-post, tj. proplácejí se náklady daného projektu zpětně po jeho realizaci (dohad</w:t>
      </w:r>
      <w:r w:rsidR="00466F00" w:rsidRPr="005762F4">
        <w:t xml:space="preserve"> </w:t>
      </w:r>
      <w:r w:rsidRPr="005762F4">
        <w:t>výnosů</w:t>
      </w:r>
      <w:r w:rsidR="00466F00" w:rsidRPr="005762F4">
        <w:t xml:space="preserve"> je</w:t>
      </w:r>
      <w:r w:rsidRPr="005762F4">
        <w:t xml:space="preserve"> ve výši realizovaných náklad</w:t>
      </w:r>
      <w:r w:rsidR="002869A5">
        <w:t>ů daného projektu v</w:t>
      </w:r>
      <w:r w:rsidR="001E7BF2">
        <w:t> </w:t>
      </w:r>
      <w:r w:rsidR="002869A5">
        <w:t>r. 2013</w:t>
      </w:r>
      <w:r w:rsidRPr="005762F4">
        <w:t>). Oproti roku 201</w:t>
      </w:r>
      <w:r w:rsidR="002869A5">
        <w:t>2</w:t>
      </w:r>
      <w:r w:rsidRPr="005762F4">
        <w:t xml:space="preserve"> došlo k</w:t>
      </w:r>
      <w:r w:rsidR="001E7BF2">
        <w:t> </w:t>
      </w:r>
      <w:r w:rsidRPr="005762F4">
        <w:t xml:space="preserve">výraznému zvýšení dohadů, a to zejména </w:t>
      </w:r>
      <w:r w:rsidR="00466F00" w:rsidRPr="005762F4">
        <w:t>v</w:t>
      </w:r>
      <w:r w:rsidR="001E7BF2">
        <w:t> </w:t>
      </w:r>
      <w:r w:rsidR="003F720D" w:rsidRPr="005762F4">
        <w:t>oblasti</w:t>
      </w:r>
      <w:r w:rsidRPr="005762F4">
        <w:t xml:space="preserve"> dohadů </w:t>
      </w:r>
      <w:r w:rsidR="002869A5">
        <w:t>ne</w:t>
      </w:r>
      <w:r w:rsidRPr="005762F4">
        <w:t xml:space="preserve">investičních </w:t>
      </w:r>
      <w:r w:rsidR="002869A5">
        <w:t>transferů (zvýšení o 386.539</w:t>
      </w:r>
      <w:r w:rsidR="00814EED" w:rsidRPr="00EA19CD">
        <w:rPr>
          <w:szCs w:val="20"/>
        </w:rPr>
        <w:t> </w:t>
      </w:r>
      <w:r w:rsidR="002869A5">
        <w:t>tis.</w:t>
      </w:r>
      <w:r w:rsidR="00814EED" w:rsidRPr="00EA19CD">
        <w:rPr>
          <w:szCs w:val="20"/>
        </w:rPr>
        <w:t> </w:t>
      </w:r>
      <w:r w:rsidR="002869A5">
        <w:t xml:space="preserve">Kč); celkově se dohady zvýšily oproti r. 2012 o </w:t>
      </w:r>
      <w:r w:rsidR="00B8688D">
        <w:t>284.828</w:t>
      </w:r>
      <w:r w:rsidR="00814EED" w:rsidRPr="00EA19CD">
        <w:rPr>
          <w:szCs w:val="20"/>
        </w:rPr>
        <w:t> </w:t>
      </w:r>
      <w:r w:rsidR="00B8688D">
        <w:t>tis.</w:t>
      </w:r>
      <w:r w:rsidR="00814EED" w:rsidRPr="00EA19CD">
        <w:rPr>
          <w:szCs w:val="20"/>
        </w:rPr>
        <w:t> </w:t>
      </w:r>
      <w:r w:rsidR="00B8688D">
        <w:t>Kč</w:t>
      </w:r>
      <w:r w:rsidR="00814EED">
        <w:t xml:space="preserve"> – většina transferů v oblasti globálních grantů je poskytována zálohově</w:t>
      </w:r>
      <w:r w:rsidR="00B8688D">
        <w:t>.</w:t>
      </w:r>
    </w:p>
    <w:p w:rsidR="00700BCB" w:rsidRPr="00653FBE" w:rsidRDefault="00700BCB" w:rsidP="00C16579">
      <w:pPr>
        <w:pStyle w:val="Mjtext"/>
        <w:numPr>
          <w:ilvl w:val="0"/>
          <w:numId w:val="15"/>
        </w:numPr>
      </w:pPr>
      <w:r w:rsidRPr="00653FBE">
        <w:rPr>
          <w:u w:val="single"/>
        </w:rPr>
        <w:t>Ostatní krátkodobé pohledávky</w:t>
      </w:r>
      <w:r w:rsidRPr="00653FBE">
        <w:t xml:space="preserve"> – na účtu 377 eviduje kraj ostatní pohledávky ve výši </w:t>
      </w:r>
      <w:r w:rsidR="00B8688D">
        <w:t xml:space="preserve">7.816 </w:t>
      </w:r>
      <w:r w:rsidRPr="00653FBE">
        <w:t xml:space="preserve">tis. Kč, </w:t>
      </w:r>
      <w:r w:rsidR="003F720D" w:rsidRPr="00653FBE">
        <w:t xml:space="preserve">a to </w:t>
      </w:r>
      <w:r w:rsidRPr="00653FBE">
        <w:t>zejména v</w:t>
      </w:r>
      <w:r w:rsidR="001E7BF2">
        <w:t> </w:t>
      </w:r>
      <w:r w:rsidRPr="00653FBE">
        <w:t>oblasti přefakturace nákladů</w:t>
      </w:r>
      <w:r w:rsidR="00B8688D">
        <w:t xml:space="preserve"> a dobropisů</w:t>
      </w:r>
      <w:r w:rsidRPr="00653FBE">
        <w:t>.</w:t>
      </w:r>
    </w:p>
    <w:p w:rsidR="00700BCB" w:rsidRPr="00653FBE" w:rsidRDefault="00700BCB" w:rsidP="00700BCB">
      <w:pPr>
        <w:pStyle w:val="Mjtext"/>
      </w:pPr>
      <w:r w:rsidRPr="00653FBE">
        <w:rPr>
          <w:u w:val="single"/>
        </w:rPr>
        <w:t>Krátkodobý finanční majetek</w:t>
      </w:r>
      <w:r w:rsidRPr="00653FBE">
        <w:t xml:space="preserve"> obsahuje finanční prostředky umístěné na krátkodobých termínovaných vkladech, běžných účtech, zákl</w:t>
      </w:r>
      <w:r w:rsidR="006353E1">
        <w:t>adních běžných účtech, depozitním účtu, účtu sdružených prostředků</w:t>
      </w:r>
      <w:r w:rsidR="003F720D" w:rsidRPr="00653FBE">
        <w:t xml:space="preserve"> a</w:t>
      </w:r>
      <w:r w:rsidR="006353E1">
        <w:t> běžných účtech fondů;</w:t>
      </w:r>
      <w:r w:rsidRPr="00653FBE">
        <w:t xml:space="preserve"> dále </w:t>
      </w:r>
      <w:r w:rsidR="006353E1">
        <w:t>zde patří</w:t>
      </w:r>
      <w:r w:rsidRPr="00653FBE">
        <w:t xml:space="preserve"> cenin</w:t>
      </w:r>
      <w:r w:rsidR="003F720D" w:rsidRPr="00653FBE">
        <w:t>y</w:t>
      </w:r>
      <w:r w:rsidRPr="00653FBE">
        <w:t xml:space="preserve">. Pokladny, korunové i </w:t>
      </w:r>
      <w:r w:rsidR="00F627DF">
        <w:t>valutové</w:t>
      </w:r>
      <w:r w:rsidRPr="00653FBE">
        <w:t>, musí být vzhledem k</w:t>
      </w:r>
      <w:r w:rsidR="001E7BF2">
        <w:t> </w:t>
      </w:r>
      <w:r w:rsidRPr="00653FBE">
        <w:t>rozpočtovému principu hospodaření k</w:t>
      </w:r>
      <w:r w:rsidR="001E7BF2">
        <w:t> </w:t>
      </w:r>
      <w:r w:rsidR="00F627DF">
        <w:t>termínu 31.</w:t>
      </w:r>
      <w:r w:rsidR="00F627DF" w:rsidRPr="00EA19CD">
        <w:rPr>
          <w:szCs w:val="20"/>
        </w:rPr>
        <w:t> </w:t>
      </w:r>
      <w:r w:rsidRPr="00653FBE">
        <w:t xml:space="preserve">12. </w:t>
      </w:r>
      <w:r w:rsidR="00F627DF">
        <w:t>d</w:t>
      </w:r>
      <w:r w:rsidRPr="00653FBE">
        <w:t>aného roku vynulovány – finanční prostředky jsou převedeny na bankovní účty kraje.</w:t>
      </w:r>
      <w:r w:rsidR="00F627DF">
        <w:t xml:space="preserve"> Oproti r. 2012 došlo ke snížení krátkodobého finančního majetku o</w:t>
      </w:r>
      <w:r w:rsidR="00F627DF" w:rsidRPr="00EA19CD">
        <w:rPr>
          <w:szCs w:val="20"/>
        </w:rPr>
        <w:t> </w:t>
      </w:r>
      <w:r w:rsidR="00F627DF">
        <w:t>153.918</w:t>
      </w:r>
      <w:r w:rsidR="00F627DF" w:rsidRPr="00EA19CD">
        <w:rPr>
          <w:szCs w:val="20"/>
        </w:rPr>
        <w:t> </w:t>
      </w:r>
      <w:r w:rsidR="00F627DF">
        <w:rPr>
          <w:szCs w:val="20"/>
        </w:rPr>
        <w:t>tis.</w:t>
      </w:r>
      <w:r w:rsidR="00F627DF" w:rsidRPr="00EA19CD">
        <w:rPr>
          <w:szCs w:val="20"/>
        </w:rPr>
        <w:t> </w:t>
      </w:r>
      <w:r w:rsidR="00F627DF">
        <w:rPr>
          <w:szCs w:val="20"/>
        </w:rPr>
        <w:t>Kč.</w:t>
      </w:r>
    </w:p>
    <w:p w:rsidR="00700BCB" w:rsidRPr="00653FBE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653FBE">
        <w:rPr>
          <w:u w:val="single"/>
        </w:rPr>
        <w:t>Termínované vklady krátkodobé</w:t>
      </w:r>
      <w:r w:rsidRPr="00653FBE">
        <w:t xml:space="preserve"> – na účtu 244 eviduje kraj</w:t>
      </w:r>
      <w:r w:rsidR="006353E1">
        <w:t xml:space="preserve"> </w:t>
      </w:r>
      <w:r w:rsidR="0083713E">
        <w:t xml:space="preserve">finanční prostředky na </w:t>
      </w:r>
      <w:r w:rsidR="006353E1">
        <w:t>3</w:t>
      </w:r>
      <w:r w:rsidRPr="00653FBE">
        <w:t xml:space="preserve"> </w:t>
      </w:r>
      <w:r w:rsidR="0083713E">
        <w:t xml:space="preserve">bankovních </w:t>
      </w:r>
      <w:r w:rsidR="00501D11">
        <w:t>účt</w:t>
      </w:r>
      <w:r w:rsidR="0083713E">
        <w:t>ech</w:t>
      </w:r>
      <w:r w:rsidR="00501D11">
        <w:t xml:space="preserve"> </w:t>
      </w:r>
      <w:r w:rsidR="0083713E" w:rsidRPr="00653FBE">
        <w:t xml:space="preserve">u J&amp;T Banky, a.s. </w:t>
      </w:r>
      <w:r w:rsidR="00501D11">
        <w:t xml:space="preserve">pro </w:t>
      </w:r>
      <w:r w:rsidRPr="00653FBE">
        <w:t>krátkodob</w:t>
      </w:r>
      <w:r w:rsidR="006353E1">
        <w:t>é</w:t>
      </w:r>
      <w:r w:rsidRPr="00653FBE">
        <w:t xml:space="preserve"> vklad</w:t>
      </w:r>
      <w:r w:rsidR="006353E1">
        <w:t>y</w:t>
      </w:r>
      <w:r w:rsidRPr="00653FBE">
        <w:t xml:space="preserve"> </w:t>
      </w:r>
      <w:r w:rsidR="0083713E">
        <w:t>(</w:t>
      </w:r>
      <w:r w:rsidR="006353E1">
        <w:t>369.000</w:t>
      </w:r>
      <w:r w:rsidR="00F627DF" w:rsidRPr="00EA19CD">
        <w:rPr>
          <w:szCs w:val="20"/>
        </w:rPr>
        <w:t> </w:t>
      </w:r>
      <w:r w:rsidR="00F627DF">
        <w:rPr>
          <w:szCs w:val="20"/>
        </w:rPr>
        <w:t>tis.</w:t>
      </w:r>
      <w:r w:rsidR="00F627DF" w:rsidRPr="00EA19CD">
        <w:rPr>
          <w:szCs w:val="20"/>
        </w:rPr>
        <w:t> </w:t>
      </w:r>
      <w:r w:rsidR="00F627DF">
        <w:rPr>
          <w:szCs w:val="20"/>
        </w:rPr>
        <w:t>K</w:t>
      </w:r>
      <w:r w:rsidRPr="00653FBE">
        <w:t>č</w:t>
      </w:r>
      <w:r w:rsidR="0083713E">
        <w:t>)</w:t>
      </w:r>
      <w:r w:rsidRPr="00653FBE">
        <w:t>. Vklad</w:t>
      </w:r>
      <w:r w:rsidR="006353E1">
        <w:t>y</w:t>
      </w:r>
      <w:r w:rsidRPr="00653FBE">
        <w:t xml:space="preserve"> </w:t>
      </w:r>
      <w:r w:rsidR="00671AFD" w:rsidRPr="00653FBE">
        <w:t>byl</w:t>
      </w:r>
      <w:r w:rsidR="006353E1">
        <w:t>y</w:t>
      </w:r>
      <w:r w:rsidR="00671AFD" w:rsidRPr="00653FBE">
        <w:t xml:space="preserve"> </w:t>
      </w:r>
      <w:r w:rsidRPr="00653FBE">
        <w:t>realizován</w:t>
      </w:r>
      <w:r w:rsidR="006353E1">
        <w:t>y</w:t>
      </w:r>
      <w:r w:rsidRPr="00653FBE">
        <w:t xml:space="preserve"> </w:t>
      </w:r>
      <w:r w:rsidR="00A82EBB" w:rsidRPr="00653FBE">
        <w:t>za</w:t>
      </w:r>
      <w:r w:rsidR="00CE67F4">
        <w:t> </w:t>
      </w:r>
      <w:r w:rsidR="00A82EBB" w:rsidRPr="00653FBE">
        <w:t>účelem vyššího zhodnocení finančních prostředků</w:t>
      </w:r>
      <w:r w:rsidR="00F627DF">
        <w:t>; vklady ve výši 350.000</w:t>
      </w:r>
      <w:r w:rsidR="0083713E" w:rsidRPr="00EA19CD">
        <w:rPr>
          <w:szCs w:val="20"/>
        </w:rPr>
        <w:t> </w:t>
      </w:r>
      <w:r w:rsidR="00F627DF">
        <w:t>tis.</w:t>
      </w:r>
      <w:r w:rsidR="0083713E" w:rsidRPr="00EA19CD">
        <w:rPr>
          <w:szCs w:val="20"/>
        </w:rPr>
        <w:t> </w:t>
      </w:r>
      <w:r w:rsidR="00F627DF">
        <w:t xml:space="preserve">Kč </w:t>
      </w:r>
      <w:r w:rsidR="00E0716C" w:rsidRPr="00F627DF">
        <w:t>j</w:t>
      </w:r>
      <w:r w:rsidR="006353E1" w:rsidRPr="00F627DF">
        <w:t>sou</w:t>
      </w:r>
      <w:r w:rsidR="00FE2D83" w:rsidRPr="00F627DF">
        <w:t xml:space="preserve"> s</w:t>
      </w:r>
      <w:r w:rsidR="001E7BF2" w:rsidRPr="00F627DF">
        <w:t> </w:t>
      </w:r>
      <w:r w:rsidR="00F627DF">
        <w:t>tříměsíční výpovědní lhůto</w:t>
      </w:r>
      <w:r w:rsidR="0083713E">
        <w:t>u</w:t>
      </w:r>
      <w:r w:rsidR="00F627DF">
        <w:t>, vklad ve výši 19.000</w:t>
      </w:r>
      <w:r w:rsidR="0083713E" w:rsidRPr="00EA19CD">
        <w:rPr>
          <w:szCs w:val="20"/>
        </w:rPr>
        <w:t> </w:t>
      </w:r>
      <w:r w:rsidR="00F627DF">
        <w:t>tis.</w:t>
      </w:r>
      <w:r w:rsidR="0083713E" w:rsidRPr="00EA19CD">
        <w:rPr>
          <w:szCs w:val="20"/>
        </w:rPr>
        <w:t> </w:t>
      </w:r>
      <w:r w:rsidR="00F627DF">
        <w:t>Kč je s výpovědní lhůtou 33 dnů</w:t>
      </w:r>
      <w:r w:rsidR="00FE2D83" w:rsidRPr="00F627DF">
        <w:t>.</w:t>
      </w:r>
      <w:r w:rsidR="008B7FAC">
        <w:t xml:space="preserve"> Oproti r.</w:t>
      </w:r>
      <w:r w:rsidR="00CE67F4">
        <w:t> </w:t>
      </w:r>
      <w:r w:rsidR="008B7FAC">
        <w:t>2012 došlo k</w:t>
      </w:r>
      <w:r w:rsidR="001E7BF2">
        <w:t> </w:t>
      </w:r>
      <w:r w:rsidR="008B7FAC">
        <w:t>navýšení termínovaných vkladů o 219.00</w:t>
      </w:r>
      <w:r w:rsidR="00F627DF">
        <w:t>0</w:t>
      </w:r>
      <w:r w:rsidR="0083713E" w:rsidRPr="00EA19CD">
        <w:rPr>
          <w:szCs w:val="20"/>
        </w:rPr>
        <w:t> </w:t>
      </w:r>
      <w:r w:rsidR="008B7FAC">
        <w:t>tis.</w:t>
      </w:r>
      <w:r w:rsidR="0083713E" w:rsidRPr="00EA19CD">
        <w:rPr>
          <w:szCs w:val="20"/>
        </w:rPr>
        <w:t> </w:t>
      </w:r>
      <w:r w:rsidR="008B7FAC">
        <w:t>Kč.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Jiné běžné účty</w:t>
      </w:r>
      <w:r w:rsidRPr="00653FBE">
        <w:t xml:space="preserve"> </w:t>
      </w:r>
      <w:r w:rsidRPr="005762F4">
        <w:t xml:space="preserve">– na účtu 245 eviduje kraj finanční prostředky ve výši </w:t>
      </w:r>
      <w:r w:rsidR="003E3C45">
        <w:t>14.749</w:t>
      </w:r>
      <w:r w:rsidR="003E3C45" w:rsidRPr="00653FBE">
        <w:t> </w:t>
      </w:r>
      <w:r w:rsidRPr="005762F4">
        <w:t>tis.</w:t>
      </w:r>
      <w:r w:rsidR="00F2087B" w:rsidRPr="00653FBE">
        <w:t> </w:t>
      </w:r>
      <w:r w:rsidRPr="005762F4">
        <w:t>Kč</w:t>
      </w:r>
      <w:r w:rsidR="00611624">
        <w:t>;</w:t>
      </w:r>
      <w:r w:rsidRPr="005762F4">
        <w:t xml:space="preserve"> jedná se </w:t>
      </w:r>
      <w:r w:rsidR="00611624">
        <w:t>o</w:t>
      </w:r>
      <w:r w:rsidR="0083713E" w:rsidRPr="00EA19CD">
        <w:rPr>
          <w:szCs w:val="20"/>
        </w:rPr>
        <w:t> </w:t>
      </w:r>
      <w:r w:rsidR="00611624">
        <w:t>cizí finanční prostředk</w:t>
      </w:r>
      <w:r w:rsidR="003E3C45">
        <w:t xml:space="preserve">y, vedené na 2 bankovních účtech: na </w:t>
      </w:r>
      <w:r w:rsidR="0083713E">
        <w:t xml:space="preserve">depozitním </w:t>
      </w:r>
      <w:r w:rsidR="003E3C45">
        <w:t>účtu 245.004</w:t>
      </w:r>
      <w:r w:rsidR="00C66114">
        <w:t>0</w:t>
      </w:r>
      <w:r w:rsidR="003E3C45">
        <w:t xml:space="preserve"> jsou uloženy </w:t>
      </w:r>
      <w:r w:rsidRPr="005762F4">
        <w:t xml:space="preserve">zejména </w:t>
      </w:r>
      <w:r w:rsidR="00653FBE">
        <w:t>složené</w:t>
      </w:r>
      <w:r w:rsidR="00C82193">
        <w:t xml:space="preserve"> </w:t>
      </w:r>
      <w:r w:rsidRPr="005762F4">
        <w:t xml:space="preserve">kauce zahraničních dopravců, které jsou zde </w:t>
      </w:r>
      <w:r w:rsidR="003E3C45">
        <w:t xml:space="preserve">evidovány </w:t>
      </w:r>
      <w:r w:rsidRPr="005762F4">
        <w:t>do konečnéh</w:t>
      </w:r>
      <w:r w:rsidR="003E3C45">
        <w:t>o vyřešení dopravních přestupků (celkový stav účtu 9.749 tis.</w:t>
      </w:r>
      <w:r w:rsidR="0083713E" w:rsidRPr="00EA19CD">
        <w:rPr>
          <w:szCs w:val="20"/>
        </w:rPr>
        <w:t> </w:t>
      </w:r>
      <w:r w:rsidR="0083713E">
        <w:t>K</w:t>
      </w:r>
      <w:r w:rsidR="003E3C45">
        <w:t>č</w:t>
      </w:r>
      <w:r w:rsidR="0083713E">
        <w:t>, z toho kauce 6.847</w:t>
      </w:r>
      <w:r w:rsidR="0083713E" w:rsidRPr="00EA19CD">
        <w:rPr>
          <w:szCs w:val="20"/>
        </w:rPr>
        <w:t> </w:t>
      </w:r>
      <w:r w:rsidR="0083713E">
        <w:rPr>
          <w:szCs w:val="20"/>
        </w:rPr>
        <w:t>tis.</w:t>
      </w:r>
      <w:r w:rsidR="0083713E" w:rsidRPr="00EA19CD">
        <w:rPr>
          <w:szCs w:val="20"/>
        </w:rPr>
        <w:t> </w:t>
      </w:r>
      <w:r w:rsidR="0083713E">
        <w:rPr>
          <w:szCs w:val="20"/>
        </w:rPr>
        <w:t>Kč</w:t>
      </w:r>
      <w:r w:rsidR="003E3C45">
        <w:t>); na</w:t>
      </w:r>
      <w:r w:rsidR="00CE67F4">
        <w:t> </w:t>
      </w:r>
      <w:r w:rsidR="003E3C45">
        <w:t xml:space="preserve">účtu 245.0100 jsou vedeny </w:t>
      </w:r>
      <w:r w:rsidR="00F2087B">
        <w:t>sdružen</w:t>
      </w:r>
      <w:r w:rsidR="008B7FAC">
        <w:t>é</w:t>
      </w:r>
      <w:r w:rsidR="00F2087B">
        <w:t xml:space="preserve"> prostředk</w:t>
      </w:r>
      <w:r w:rsidR="008B7FAC">
        <w:t>y pro poskytování</w:t>
      </w:r>
      <w:r w:rsidR="00F2087B">
        <w:t xml:space="preserve"> mikropůjček</w:t>
      </w:r>
      <w:r w:rsidR="008B7FAC">
        <w:t xml:space="preserve"> podnikatelům (účet byl založen v</w:t>
      </w:r>
      <w:r w:rsidR="001E7BF2">
        <w:t> </w:t>
      </w:r>
      <w:r w:rsidR="008B7FAC">
        <w:t>r. 2013, stav účtu je 5.000</w:t>
      </w:r>
      <w:r w:rsidR="008B7FAC" w:rsidRPr="00653FBE">
        <w:t> </w:t>
      </w:r>
      <w:r w:rsidR="0083713E">
        <w:t>tis.</w:t>
      </w:r>
      <w:r w:rsidR="0083713E" w:rsidRPr="00EA19CD">
        <w:rPr>
          <w:szCs w:val="20"/>
        </w:rPr>
        <w:t> </w:t>
      </w:r>
      <w:r w:rsidR="008B7FAC">
        <w:t>Kč)</w:t>
      </w:r>
      <w:r w:rsidR="003E3C45">
        <w:t>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Běžný účet</w:t>
      </w:r>
      <w:r w:rsidRPr="00653FBE">
        <w:t xml:space="preserve"> </w:t>
      </w:r>
      <w:r w:rsidRPr="005762F4">
        <w:t>– na účtu 241 eviduje kraj od r. 2012 finanční prostředky na úhradu své daňové povinnosti vůči finančnímu úřadu v</w:t>
      </w:r>
      <w:r w:rsidR="001E7BF2">
        <w:t> </w:t>
      </w:r>
      <w:r w:rsidRPr="005762F4">
        <w:t>oblasti DPH</w:t>
      </w:r>
      <w:r w:rsidR="00F9347A">
        <w:t>,</w:t>
      </w:r>
      <w:r w:rsidR="00600242">
        <w:t xml:space="preserve"> </w:t>
      </w:r>
      <w:r w:rsidRPr="005762F4">
        <w:t>a to v</w:t>
      </w:r>
      <w:r w:rsidR="001E7BF2">
        <w:t> </w:t>
      </w:r>
      <w:r w:rsidRPr="005762F4">
        <w:t>souvislosti se zavedením nového institutu přenesené daňové povinnosti.</w:t>
      </w:r>
      <w:r w:rsidR="00C82193">
        <w:t xml:space="preserve"> </w:t>
      </w:r>
      <w:r w:rsidR="008B7FAC">
        <w:t>Stav účtu je 53</w:t>
      </w:r>
      <w:r w:rsidR="0083713E" w:rsidRPr="00EA19CD">
        <w:rPr>
          <w:szCs w:val="20"/>
        </w:rPr>
        <w:t> </w:t>
      </w:r>
      <w:r w:rsidR="008B7FAC">
        <w:t>tis.</w:t>
      </w:r>
      <w:r w:rsidR="0083713E" w:rsidRPr="00EA19CD">
        <w:rPr>
          <w:szCs w:val="20"/>
        </w:rPr>
        <w:t> </w:t>
      </w:r>
      <w:r w:rsidR="008B7FAC">
        <w:t>Kč.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 xml:space="preserve">Základní běžný účet </w:t>
      </w:r>
      <w:r w:rsidR="00C82193">
        <w:rPr>
          <w:u w:val="single"/>
        </w:rPr>
        <w:t xml:space="preserve">(ZBÚ) </w:t>
      </w:r>
      <w:r w:rsidRPr="005762F4">
        <w:rPr>
          <w:u w:val="single"/>
        </w:rPr>
        <w:t>územních samosprávných celků</w:t>
      </w:r>
      <w:r w:rsidRPr="005762F4">
        <w:t xml:space="preserve"> </w:t>
      </w:r>
      <w:r w:rsidR="001E7BF2">
        <w:t>–</w:t>
      </w:r>
      <w:r w:rsidRPr="005762F4">
        <w:t xml:space="preserve"> na účtu 231 eviduje kraj finanční prostředky na bankovních účtech</w:t>
      </w:r>
      <w:r w:rsidR="00F9347A">
        <w:t>,</w:t>
      </w:r>
      <w:r w:rsidRPr="005762F4">
        <w:t xml:space="preserve"> které má založeny v</w:t>
      </w:r>
      <w:r w:rsidR="001E7BF2">
        <w:t> </w:t>
      </w:r>
      <w:r w:rsidRPr="005762F4">
        <w:t>rámci svého rozpočtového hospodaření</w:t>
      </w:r>
      <w:r w:rsidR="00F9347A">
        <w:t xml:space="preserve"> </w:t>
      </w:r>
      <w:r w:rsidR="00B43743" w:rsidRPr="005762F4">
        <w:t>u</w:t>
      </w:r>
      <w:r w:rsidR="00C82193">
        <w:t> </w:t>
      </w:r>
      <w:r w:rsidR="00B43743" w:rsidRPr="005762F4">
        <w:t>několika bank</w:t>
      </w:r>
      <w:r w:rsidRPr="005762F4">
        <w:t xml:space="preserve"> </w:t>
      </w:r>
      <w:r w:rsidR="00630475" w:rsidRPr="005762F4">
        <w:t xml:space="preserve">(Česká spořitelna, a.s., Komerční banka, a.s., PPF </w:t>
      </w:r>
      <w:r w:rsidR="00C82193">
        <w:t>B</w:t>
      </w:r>
      <w:r w:rsidR="00630475" w:rsidRPr="005762F4">
        <w:t xml:space="preserve">anka, a.s., </w:t>
      </w:r>
      <w:r w:rsidR="00F9347A">
        <w:t>UCB</w:t>
      </w:r>
      <w:r w:rsidR="00630475" w:rsidRPr="005762F4">
        <w:t xml:space="preserve">, a.s., </w:t>
      </w:r>
      <w:r w:rsidR="00A47680" w:rsidRPr="005762F4">
        <w:t>ČSOB, a.</w:t>
      </w:r>
      <w:r w:rsidR="00C82193">
        <w:t xml:space="preserve">s., </w:t>
      </w:r>
      <w:r w:rsidR="00A47680" w:rsidRPr="005762F4">
        <w:t>ČNB</w:t>
      </w:r>
      <w:r w:rsidR="00C82193">
        <w:t xml:space="preserve"> a Raiffeisenbank, a.s.</w:t>
      </w:r>
      <w:r w:rsidR="00630475" w:rsidRPr="005762F4">
        <w:t xml:space="preserve">) </w:t>
      </w:r>
      <w:r w:rsidRPr="005762F4">
        <w:t>v</w:t>
      </w:r>
      <w:r w:rsidR="001E7BF2">
        <w:t> </w:t>
      </w:r>
      <w:r w:rsidRPr="005762F4">
        <w:t xml:space="preserve">celkovém objemu </w:t>
      </w:r>
      <w:r w:rsidR="008B7FAC">
        <w:t>1.139.412</w:t>
      </w:r>
      <w:r w:rsidR="00C82193">
        <w:t> </w:t>
      </w:r>
      <w:r w:rsidRPr="005762F4">
        <w:t>tis.</w:t>
      </w:r>
      <w:r w:rsidR="00C82193">
        <w:t> </w:t>
      </w:r>
      <w:r w:rsidRPr="005762F4">
        <w:t xml:space="preserve">Kč. Kraj </w:t>
      </w:r>
      <w:r w:rsidR="00C82193">
        <w:t>v</w:t>
      </w:r>
      <w:r w:rsidR="001E7BF2">
        <w:t> </w:t>
      </w:r>
      <w:r w:rsidR="00C82193">
        <w:t>roce 201</w:t>
      </w:r>
      <w:r w:rsidR="008B7FAC">
        <w:t>3</w:t>
      </w:r>
      <w:r w:rsidR="00C82193">
        <w:t xml:space="preserve"> </w:t>
      </w:r>
      <w:r w:rsidR="00C82193" w:rsidRPr="001B4831">
        <w:t>prováděl bankovní operace</w:t>
      </w:r>
      <w:r w:rsidRPr="001B4831">
        <w:t xml:space="preserve"> celkem</w:t>
      </w:r>
      <w:r w:rsidR="00C82193" w:rsidRPr="001B4831">
        <w:t xml:space="preserve"> na </w:t>
      </w:r>
      <w:r w:rsidR="001B4831">
        <w:t>9</w:t>
      </w:r>
      <w:r w:rsidR="008B7FAC">
        <w:t>7</w:t>
      </w:r>
      <w:r w:rsidR="00C82193" w:rsidRPr="001B4831">
        <w:t xml:space="preserve"> ZBÚ</w:t>
      </w:r>
      <w:r w:rsidRPr="001B4831">
        <w:t>,</w:t>
      </w:r>
      <w:r w:rsidRPr="005762F4">
        <w:t xml:space="preserve"> které byly zřízeny především na základě požadavku poskytovatelů dotací na samostatné vykazování finančních prostředků u projektů spolufinancovaných z</w:t>
      </w:r>
      <w:r w:rsidR="001E7BF2">
        <w:t> </w:t>
      </w:r>
      <w:r w:rsidRPr="005762F4">
        <w:t>EU.</w:t>
      </w:r>
      <w:r w:rsidR="00501D11">
        <w:t xml:space="preserve"> Oproti r. 2012 došlo k</w:t>
      </w:r>
      <w:r w:rsidR="001E7BF2">
        <w:t> </w:t>
      </w:r>
      <w:r w:rsidR="00501D11">
        <w:t>poklesu</w:t>
      </w:r>
      <w:r w:rsidR="00E00639">
        <w:t xml:space="preserve"> finančních prostředků o 384.583</w:t>
      </w:r>
      <w:r w:rsidR="00B6191A" w:rsidRPr="00EA19CD">
        <w:rPr>
          <w:szCs w:val="20"/>
        </w:rPr>
        <w:t> </w:t>
      </w:r>
      <w:r w:rsidR="00E00639">
        <w:t>tis.</w:t>
      </w:r>
      <w:r w:rsidR="00B6191A" w:rsidRPr="00EA19CD">
        <w:rPr>
          <w:szCs w:val="20"/>
        </w:rPr>
        <w:t> </w:t>
      </w:r>
      <w:r w:rsidR="00E00639">
        <w:t>Kč (z</w:t>
      </w:r>
      <w:r w:rsidR="001E7BF2">
        <w:t> </w:t>
      </w:r>
      <w:r w:rsidR="00E00639">
        <w:t>důvodu převodu na termínované vklady</w:t>
      </w:r>
      <w:r w:rsidR="00B6191A">
        <w:t xml:space="preserve"> pokles o 219.000</w:t>
      </w:r>
      <w:r w:rsidR="00B6191A" w:rsidRPr="00EA19CD">
        <w:rPr>
          <w:szCs w:val="20"/>
        </w:rPr>
        <w:t> </w:t>
      </w:r>
      <w:r w:rsidR="00B6191A">
        <w:t>tis.</w:t>
      </w:r>
      <w:r w:rsidR="00B6191A" w:rsidRPr="00EA19CD">
        <w:rPr>
          <w:szCs w:val="20"/>
        </w:rPr>
        <w:t> </w:t>
      </w:r>
      <w:r w:rsidR="00B6191A">
        <w:rPr>
          <w:szCs w:val="20"/>
        </w:rPr>
        <w:t>Kč</w:t>
      </w:r>
      <w:r w:rsidR="00E00639">
        <w:t>).</w:t>
      </w:r>
    </w:p>
    <w:p w:rsidR="00700BCB" w:rsidRPr="00084387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Běžné účty fondů územních samosprávných celků</w:t>
      </w:r>
      <w:r w:rsidRPr="00F9347A">
        <w:t xml:space="preserve"> </w:t>
      </w:r>
      <w:r>
        <w:t xml:space="preserve">– na účtu 236 eviduje kraj finanční prostředky </w:t>
      </w:r>
      <w:r w:rsidR="008B7FAC">
        <w:t>na</w:t>
      </w:r>
      <w:r>
        <w:t> 4 bankovních účt</w:t>
      </w:r>
      <w:r w:rsidR="008B7FAC">
        <w:t>ech</w:t>
      </w:r>
      <w:r>
        <w:t xml:space="preserve"> účelových fondů v</w:t>
      </w:r>
      <w:r w:rsidR="001E7BF2">
        <w:t> </w:t>
      </w:r>
      <w:r>
        <w:t>celkové výši 156.</w:t>
      </w:r>
      <w:r w:rsidR="008B7FAC">
        <w:t>771</w:t>
      </w:r>
      <w:r w:rsidR="00766195" w:rsidRPr="00EA19CD">
        <w:rPr>
          <w:szCs w:val="20"/>
        </w:rPr>
        <w:t> </w:t>
      </w:r>
      <w:r>
        <w:t>tis.</w:t>
      </w:r>
      <w:r w:rsidR="00766195" w:rsidRPr="00EA19CD">
        <w:rPr>
          <w:szCs w:val="20"/>
        </w:rPr>
        <w:t> </w:t>
      </w:r>
      <w:r>
        <w:t xml:space="preserve">Kč. Pro každý fond má kraj </w:t>
      </w:r>
      <w:r>
        <w:lastRenderedPageBreak/>
        <w:t xml:space="preserve">zřízen samostatný bankovní účet </w:t>
      </w:r>
      <w:r w:rsidR="001E7BF2">
        <w:t>–</w:t>
      </w:r>
      <w:r>
        <w:t xml:space="preserve"> jsou to bankovní účty</w:t>
      </w:r>
      <w:r w:rsidR="00F9347A">
        <w:t xml:space="preserve"> u České spořitelny, a.s. </w:t>
      </w:r>
      <w:r>
        <w:t xml:space="preserve">pro </w:t>
      </w:r>
      <w:r w:rsidR="00766195">
        <w:t>S</w:t>
      </w:r>
      <w:r>
        <w:t>ociální fond (</w:t>
      </w:r>
      <w:r w:rsidR="00766195">
        <w:t>102</w:t>
      </w:r>
      <w:r w:rsidR="00F9347A">
        <w:t> </w:t>
      </w:r>
      <w:r>
        <w:t>tis.</w:t>
      </w:r>
      <w:r w:rsidR="00766195" w:rsidRPr="00EA19CD">
        <w:rPr>
          <w:szCs w:val="20"/>
        </w:rPr>
        <w:t> </w:t>
      </w:r>
      <w:r>
        <w:t>Kč)</w:t>
      </w:r>
      <w:r w:rsidR="00F9347A">
        <w:t xml:space="preserve"> a </w:t>
      </w:r>
      <w:r w:rsidR="00766195">
        <w:t>R</w:t>
      </w:r>
      <w:r w:rsidR="00F9347A">
        <w:t xml:space="preserve">egionální rozvojový fond </w:t>
      </w:r>
      <w:r w:rsidR="00D117E6">
        <w:t>(</w:t>
      </w:r>
      <w:r w:rsidR="00766195">
        <w:t>1.367</w:t>
      </w:r>
      <w:r w:rsidR="00766195" w:rsidRPr="00EA19CD">
        <w:rPr>
          <w:szCs w:val="20"/>
        </w:rPr>
        <w:t> </w:t>
      </w:r>
      <w:r w:rsidR="00F9347A">
        <w:t>tis.</w:t>
      </w:r>
      <w:r w:rsidR="00766195" w:rsidRPr="00EA19CD">
        <w:rPr>
          <w:szCs w:val="20"/>
        </w:rPr>
        <w:t> </w:t>
      </w:r>
      <w:r w:rsidR="00F9347A">
        <w:t xml:space="preserve">Kč), bankovní účet u PPF Banky a.s. pro </w:t>
      </w:r>
      <w:r w:rsidR="00766195">
        <w:t>Z</w:t>
      </w:r>
      <w:r>
        <w:t>aji</w:t>
      </w:r>
      <w:r w:rsidR="00F9347A">
        <w:t>šťovací fond (</w:t>
      </w:r>
      <w:r w:rsidR="00766195">
        <w:t>102.792</w:t>
      </w:r>
      <w:r w:rsidR="00766195" w:rsidRPr="00EA19CD">
        <w:rPr>
          <w:szCs w:val="20"/>
        </w:rPr>
        <w:t> </w:t>
      </w:r>
      <w:r w:rsidR="00F9347A">
        <w:t>tis.</w:t>
      </w:r>
      <w:r w:rsidR="00766195" w:rsidRPr="00EA19CD">
        <w:rPr>
          <w:szCs w:val="20"/>
        </w:rPr>
        <w:t> </w:t>
      </w:r>
      <w:r w:rsidR="00F9347A">
        <w:t xml:space="preserve">Kč) </w:t>
      </w:r>
      <w:r>
        <w:t xml:space="preserve">a </w:t>
      </w:r>
      <w:r w:rsidR="00F9347A">
        <w:t xml:space="preserve">bankovní účet u UCB, a.s. pro </w:t>
      </w:r>
      <w:r w:rsidR="00766195">
        <w:t>F</w:t>
      </w:r>
      <w:r>
        <w:t>ond životního prostředí MSK (</w:t>
      </w:r>
      <w:r w:rsidR="00766195">
        <w:t>52.510</w:t>
      </w:r>
      <w:r>
        <w:t> tis.</w:t>
      </w:r>
      <w:r w:rsidR="00766195" w:rsidRPr="00EA19CD">
        <w:rPr>
          <w:szCs w:val="20"/>
        </w:rPr>
        <w:t> </w:t>
      </w:r>
      <w:r>
        <w:t>Kč).</w:t>
      </w:r>
      <w:r w:rsidR="00C82193">
        <w:t xml:space="preserve"> </w:t>
      </w:r>
    </w:p>
    <w:p w:rsidR="00700BCB" w:rsidRPr="007770F1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Ceniny</w:t>
      </w:r>
      <w:r>
        <w:t xml:space="preserve"> – </w:t>
      </w:r>
      <w:r w:rsidR="003F720D">
        <w:t>na účtu 263 eviduje kraj ceniny, a to</w:t>
      </w:r>
      <w:r>
        <w:t xml:space="preserve"> kolky a jízdenky DPO ve výši 2</w:t>
      </w:r>
      <w:r w:rsidR="00E00639">
        <w:t>5</w:t>
      </w:r>
      <w:r w:rsidR="00BA1648" w:rsidRPr="00EA19CD">
        <w:rPr>
          <w:szCs w:val="20"/>
        </w:rPr>
        <w:t> </w:t>
      </w:r>
      <w:r>
        <w:t>tis.</w:t>
      </w:r>
      <w:r w:rsidR="00BA1648" w:rsidRPr="00EA19CD">
        <w:rPr>
          <w:szCs w:val="20"/>
        </w:rPr>
        <w:t> </w:t>
      </w:r>
      <w:r>
        <w:t>Kč.</w:t>
      </w:r>
    </w:p>
    <w:p w:rsidR="00700BCB" w:rsidRDefault="00700BCB" w:rsidP="00FB3163">
      <w:pPr>
        <w:pStyle w:val="Nadpis2"/>
      </w:pPr>
      <w:bookmarkStart w:id="20" w:name="_Toc388005069"/>
      <w:r>
        <w:t>Pasiva</w:t>
      </w:r>
      <w:bookmarkEnd w:id="20"/>
    </w:p>
    <w:p w:rsidR="00700BCB" w:rsidRDefault="00700BCB" w:rsidP="00700BCB">
      <w:pPr>
        <w:pStyle w:val="Mjtext"/>
      </w:pPr>
      <w:r w:rsidRPr="00692B4A">
        <w:rPr>
          <w:u w:val="single"/>
        </w:rPr>
        <w:t>Pasiva</w:t>
      </w:r>
      <w:r w:rsidRPr="00AE7759">
        <w:t xml:space="preserve"> </w:t>
      </w:r>
      <w:r>
        <w:t>se dělí na vlastní kapitál a cizí zdroje. Mezi vlastní kapitál patří jmění účetní jednotky a upravující položky, fondy účetní jednotky a výsledek hospodaření. Mezi cizí zdroje patří rezervy, dlouhodobé závazky (sjednaná doba splatnosti je delší než jeden rok) a krátkodobé závazky (doba splatnosti je do jednoho roku). K</w:t>
      </w:r>
      <w:r w:rsidR="001E7BF2">
        <w:t> </w:t>
      </w:r>
      <w:r>
        <w:t>těmto účtům se korekce nevytváří, a proto jsou pasiva vykázána jen ve 2 sloupcích, a to za běžné období (tj. ve stavu k</w:t>
      </w:r>
      <w:r w:rsidR="001E7BF2">
        <w:t> </w:t>
      </w:r>
      <w:r>
        <w:t>31.</w:t>
      </w:r>
      <w:r w:rsidR="00F125F2" w:rsidRPr="00EA19CD">
        <w:rPr>
          <w:szCs w:val="20"/>
        </w:rPr>
        <w:t> </w:t>
      </w:r>
      <w:r>
        <w:t>12. 201</w:t>
      </w:r>
      <w:r w:rsidR="00F125F2">
        <w:t>3</w:t>
      </w:r>
      <w:r>
        <w:t>) a za minulé období (tj. ve stavu k</w:t>
      </w:r>
      <w:r w:rsidR="001E7BF2">
        <w:t> </w:t>
      </w:r>
      <w:r w:rsidR="00F125F2">
        <w:t>31. 12.</w:t>
      </w:r>
      <w:r w:rsidR="00F125F2" w:rsidRPr="00EA19CD">
        <w:rPr>
          <w:szCs w:val="20"/>
        </w:rPr>
        <w:t> </w:t>
      </w:r>
      <w:r w:rsidR="00F125F2">
        <w:rPr>
          <w:szCs w:val="20"/>
        </w:rPr>
        <w:t>2</w:t>
      </w:r>
      <w:r>
        <w:t>01</w:t>
      </w:r>
      <w:r w:rsidR="00F125F2">
        <w:t>2</w:t>
      </w:r>
      <w:r>
        <w:t>).</w:t>
      </w:r>
    </w:p>
    <w:p w:rsidR="00700BCB" w:rsidRDefault="00700BCB" w:rsidP="00CD11C6">
      <w:pPr>
        <w:pStyle w:val="Nadpis3"/>
      </w:pPr>
      <w:bookmarkStart w:id="21" w:name="_Toc388005070"/>
      <w:r>
        <w:t>Vlastní kapitál</w:t>
      </w:r>
      <w:bookmarkEnd w:id="21"/>
    </w:p>
    <w:p w:rsidR="00700BCB" w:rsidRPr="00267BAE" w:rsidRDefault="00700BCB" w:rsidP="00700BCB">
      <w:pPr>
        <w:pStyle w:val="Mjtext"/>
      </w:pPr>
      <w:r w:rsidRPr="00AE7759">
        <w:rPr>
          <w:u w:val="single"/>
        </w:rPr>
        <w:t>Vlastní kapitál</w:t>
      </w:r>
      <w:r>
        <w:t xml:space="preserve"> obsahuje jmění účetní jednotky</w:t>
      </w:r>
      <w:r w:rsidR="007122A9">
        <w:t xml:space="preserve"> a upravující položky</w:t>
      </w:r>
      <w:r>
        <w:t>, fondy a výsledek hospodaření.</w:t>
      </w:r>
      <w:r w:rsidRPr="001A0A77">
        <w:t xml:space="preserve"> </w:t>
      </w:r>
      <w:r>
        <w:t xml:space="preserve">Základní informace </w:t>
      </w:r>
      <w:r w:rsidR="00F125F2">
        <w:t>o</w:t>
      </w:r>
      <w:r w:rsidR="00F125F2" w:rsidRPr="00EA19CD">
        <w:rPr>
          <w:szCs w:val="20"/>
        </w:rPr>
        <w:t> </w:t>
      </w:r>
      <w:r w:rsidR="00F125F2">
        <w:t xml:space="preserve">přírůstcích a úbytcích jednotlivých položek vlastního kapitálu </w:t>
      </w:r>
      <w:r w:rsidRPr="00372D09">
        <w:t xml:space="preserve">jsou uvedeny </w:t>
      </w:r>
      <w:r w:rsidR="003F720D" w:rsidRPr="00372D09">
        <w:t xml:space="preserve">také </w:t>
      </w:r>
      <w:r w:rsidRPr="002C14AA">
        <w:t>ve</w:t>
      </w:r>
      <w:r w:rsidRPr="002C14AA">
        <w:rPr>
          <w:color w:val="0000FF"/>
        </w:rPr>
        <w:t xml:space="preserve"> </w:t>
      </w:r>
      <w:r w:rsidRPr="002C14AA">
        <w:t>výkazu Přehled o</w:t>
      </w:r>
      <w:r w:rsidR="00F125F2" w:rsidRPr="00EA19CD">
        <w:rPr>
          <w:szCs w:val="20"/>
        </w:rPr>
        <w:t> </w:t>
      </w:r>
      <w:r w:rsidRPr="002C14AA">
        <w:t xml:space="preserve">změnách vlastního kapitálu, který </w:t>
      </w:r>
      <w:r w:rsidR="00267BAE" w:rsidRPr="002C14AA">
        <w:rPr>
          <w:szCs w:val="20"/>
        </w:rPr>
        <w:t xml:space="preserve">je </w:t>
      </w:r>
      <w:r w:rsidR="00267BAE" w:rsidRPr="000F19D7">
        <w:rPr>
          <w:szCs w:val="20"/>
        </w:rPr>
        <w:t>součástí přílohy č. 2 materiálu – Účetní závěrka Moravskoslezského kraje k</w:t>
      </w:r>
      <w:r w:rsidR="001E7BF2" w:rsidRPr="000F19D7">
        <w:rPr>
          <w:szCs w:val="20"/>
        </w:rPr>
        <w:t> </w:t>
      </w:r>
      <w:r w:rsidR="00267BAE" w:rsidRPr="000F19D7">
        <w:rPr>
          <w:szCs w:val="20"/>
        </w:rPr>
        <w:t>rozvahovému dni 31. 12. 201</w:t>
      </w:r>
      <w:r w:rsidR="00F125F2" w:rsidRPr="000F19D7">
        <w:rPr>
          <w:szCs w:val="20"/>
        </w:rPr>
        <w:t>3</w:t>
      </w:r>
      <w:r w:rsidRPr="000F19D7">
        <w:t>.</w:t>
      </w:r>
      <w:r w:rsidR="003F720D" w:rsidRPr="000F19D7">
        <w:rPr>
          <w:szCs w:val="20"/>
        </w:rPr>
        <w:t xml:space="preserve"> V</w:t>
      </w:r>
      <w:r w:rsidR="001E7BF2" w:rsidRPr="000F19D7">
        <w:rPr>
          <w:szCs w:val="20"/>
        </w:rPr>
        <w:t> </w:t>
      </w:r>
      <w:r w:rsidR="003F720D" w:rsidRPr="000F19D7">
        <w:rPr>
          <w:szCs w:val="20"/>
        </w:rPr>
        <w:t>tabulce 1.4 jsou uvedeny údaje z</w:t>
      </w:r>
      <w:r w:rsidR="001E7BF2" w:rsidRPr="000F19D7">
        <w:rPr>
          <w:szCs w:val="20"/>
        </w:rPr>
        <w:t> </w:t>
      </w:r>
      <w:r w:rsidR="003F720D" w:rsidRPr="000F19D7">
        <w:rPr>
          <w:szCs w:val="20"/>
        </w:rPr>
        <w:t>rozvahy</w:t>
      </w:r>
      <w:r w:rsidR="00374310" w:rsidRPr="000F19D7">
        <w:rPr>
          <w:szCs w:val="20"/>
        </w:rPr>
        <w:t xml:space="preserve"> </w:t>
      </w:r>
      <w:r w:rsidR="00B43743" w:rsidRPr="000F19D7">
        <w:rPr>
          <w:szCs w:val="20"/>
        </w:rPr>
        <w:t>v</w:t>
      </w:r>
      <w:r w:rsidR="001E7BF2" w:rsidRPr="000F19D7">
        <w:rPr>
          <w:szCs w:val="20"/>
        </w:rPr>
        <w:t> </w:t>
      </w:r>
      <w:r w:rsidR="00F125F2" w:rsidRPr="000F19D7">
        <w:rPr>
          <w:szCs w:val="20"/>
        </w:rPr>
        <w:t>tis. </w:t>
      </w:r>
      <w:r w:rsidR="00B43743" w:rsidRPr="000F19D7">
        <w:rPr>
          <w:szCs w:val="20"/>
        </w:rPr>
        <w:t xml:space="preserve">Kč </w:t>
      </w:r>
      <w:r w:rsidR="003F720D" w:rsidRPr="000F19D7">
        <w:rPr>
          <w:szCs w:val="20"/>
        </w:rPr>
        <w:t>s</w:t>
      </w:r>
      <w:r w:rsidR="001E7BF2" w:rsidRPr="000F19D7">
        <w:rPr>
          <w:szCs w:val="20"/>
        </w:rPr>
        <w:t> </w:t>
      </w:r>
      <w:r w:rsidR="003F720D" w:rsidRPr="000F19D7">
        <w:rPr>
          <w:szCs w:val="20"/>
        </w:rPr>
        <w:t>vyčíslením rozdílů u jednotlivých položek</w:t>
      </w:r>
      <w:r w:rsidR="003F720D" w:rsidRPr="002C14AA">
        <w:rPr>
          <w:szCs w:val="20"/>
        </w:rPr>
        <w:t xml:space="preserve"> </w:t>
      </w:r>
      <w:r w:rsidR="00B43743" w:rsidRPr="002C14AA">
        <w:rPr>
          <w:szCs w:val="20"/>
        </w:rPr>
        <w:t xml:space="preserve">vlastního kapitálu </w:t>
      </w:r>
      <w:r w:rsidR="003F720D" w:rsidRPr="002C14AA">
        <w:rPr>
          <w:szCs w:val="20"/>
        </w:rPr>
        <w:t>za období 201</w:t>
      </w:r>
      <w:r w:rsidR="00795603">
        <w:rPr>
          <w:szCs w:val="20"/>
        </w:rPr>
        <w:t>3 a</w:t>
      </w:r>
      <w:r w:rsidR="004F56E4" w:rsidRPr="004F56E4">
        <w:t> </w:t>
      </w:r>
      <w:r w:rsidR="00795603">
        <w:rPr>
          <w:szCs w:val="20"/>
        </w:rPr>
        <w:t>2012</w:t>
      </w:r>
      <w:r w:rsidR="003F720D" w:rsidRPr="00267BAE">
        <w:rPr>
          <w:szCs w:val="20"/>
        </w:rPr>
        <w:t>.</w:t>
      </w:r>
    </w:p>
    <w:p w:rsidR="00700BCB" w:rsidRPr="007370DC" w:rsidRDefault="00700BCB" w:rsidP="003C4183">
      <w:pPr>
        <w:pStyle w:val="Styltab"/>
        <w:rPr>
          <w:rFonts w:ascii="Arial" w:hAnsi="Arial" w:cs="Arial"/>
        </w:rPr>
      </w:pPr>
      <w:r>
        <w:t>Vlastní kapitál</w:t>
      </w:r>
      <w:r w:rsidRPr="007370DC">
        <w:t xml:space="preserve"> k</w:t>
      </w:r>
      <w:r w:rsidR="001E7BF2">
        <w:t> </w:t>
      </w:r>
      <w:r w:rsidRPr="007370DC">
        <w:t>31. 12. 201</w:t>
      </w:r>
      <w:r w:rsidR="00156236">
        <w:t>3</w:t>
      </w:r>
      <w:r w:rsidR="003C4183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96"/>
        <w:gridCol w:w="1545"/>
        <w:gridCol w:w="1169"/>
      </w:tblGrid>
      <w:tr w:rsidR="00C51503" w:rsidRPr="003C4183" w:rsidTr="00FA48C7">
        <w:trPr>
          <w:trHeight w:val="52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503" w:rsidRPr="003C4183" w:rsidRDefault="00C51503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3C4183" w:rsidRDefault="00C51503" w:rsidP="00FA48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(2013)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3C4183" w:rsidRDefault="00C51503" w:rsidP="00FA48C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(2012)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F125F2" w:rsidRDefault="00FA48C7" w:rsidP="00FA48C7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F125F2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</w:t>
            </w:r>
            <w:r w:rsidRPr="00F125F2">
              <w:rPr>
                <w:rFonts w:ascii="Tahoma" w:hAnsi="Tahoma" w:cs="Tahoma"/>
                <w:bCs/>
                <w:i/>
                <w:sz w:val="16"/>
                <w:szCs w:val="16"/>
              </w:rPr>
              <w:t>(2013-2012)</w:t>
            </w:r>
          </w:p>
        </w:tc>
      </w:tr>
      <w:tr w:rsidR="00C728C3" w:rsidRPr="003C4183" w:rsidTr="00FA48C7">
        <w:trPr>
          <w:trHeight w:val="51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4 504 744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6 098 753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-1 594 009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2 823 818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4 819 947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-1 996 129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401-jmění účetní jednotky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2 559 100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3 624 977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-1 065 877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403-transfery na pořízení dlouhodobého majetku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1 472 233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2 395 999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-923 766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406-oceňovací rozdíly při prvotním použití metody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-1 201 233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-1 201 233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728C3" w:rsidRPr="003C4183" w:rsidTr="00FA48C7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408-opravy minulých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-6 282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-6 486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156 822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156 215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607</w:t>
            </w:r>
          </w:p>
        </w:tc>
      </w:tr>
      <w:tr w:rsidR="00C728C3" w:rsidRPr="003C4183" w:rsidTr="00FA48C7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419-ostatní fondy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156 822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156 215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607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1 524 104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1 122 591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401 513</w:t>
            </w:r>
          </w:p>
        </w:tc>
      </w:tr>
      <w:tr w:rsidR="00C728C3" w:rsidRPr="003C4183" w:rsidTr="00FA48C7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493-výsledek hospodaření běžného účetního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401 513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188 810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212 703</w:t>
            </w:r>
          </w:p>
        </w:tc>
      </w:tr>
      <w:tr w:rsidR="00C728C3" w:rsidRPr="003C4183" w:rsidTr="00FA48C7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28C3" w:rsidRPr="003C4183" w:rsidRDefault="00C728C3" w:rsidP="00FF0A0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432-</w:t>
            </w:r>
            <w:r w:rsidR="00FF0A0F">
              <w:rPr>
                <w:rFonts w:ascii="Tahoma" w:hAnsi="Tahoma" w:cs="Tahoma"/>
                <w:sz w:val="16"/>
                <w:szCs w:val="16"/>
              </w:rPr>
              <w:t>výsledek hospodaření minulých účetních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1 122 591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C3" w:rsidRDefault="00C728C3" w:rsidP="00C72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933 781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8C3" w:rsidRDefault="00C728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188 810</w:t>
            </w:r>
          </w:p>
        </w:tc>
      </w:tr>
    </w:tbl>
    <w:p w:rsidR="00700BCB" w:rsidRDefault="00700BCB" w:rsidP="00700BCB">
      <w:pPr>
        <w:pStyle w:val="Mjtext"/>
      </w:pPr>
      <w:r w:rsidRPr="00E01906">
        <w:rPr>
          <w:u w:val="single"/>
        </w:rPr>
        <w:t>Jmění účetní jednotky a upravující položky</w:t>
      </w:r>
      <w:r w:rsidRPr="00B43743">
        <w:t xml:space="preserve"> </w:t>
      </w:r>
      <w:r>
        <w:t>obsahuje zejména jmění, transfery</w:t>
      </w:r>
      <w:r w:rsidR="00B43743">
        <w:t xml:space="preserve"> na pořízení dlouhodobého majetku</w:t>
      </w:r>
      <w:r>
        <w:t xml:space="preserve"> a ostatní upravující položky. </w:t>
      </w:r>
      <w:r w:rsidR="007A765A">
        <w:t>Jmění a upravující položky se oproti r.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2012 snížily o</w:t>
      </w:r>
      <w:r w:rsidR="007A765A" w:rsidRPr="00EA19CD">
        <w:rPr>
          <w:szCs w:val="20"/>
        </w:rPr>
        <w:t> </w:t>
      </w:r>
      <w:r w:rsidR="007A765A">
        <w:rPr>
          <w:szCs w:val="20"/>
        </w:rPr>
        <w:t>1.996.129</w:t>
      </w:r>
      <w:r w:rsidR="007A765A" w:rsidRPr="00EA19CD">
        <w:rPr>
          <w:szCs w:val="20"/>
        </w:rPr>
        <w:t> </w:t>
      </w:r>
      <w:r w:rsidR="007A765A">
        <w:rPr>
          <w:szCs w:val="20"/>
        </w:rPr>
        <w:t>tis. Kč a představují k 31.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12.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2013 částku 2.823.818</w:t>
      </w:r>
      <w:r w:rsidR="007A765A" w:rsidRPr="00EA19CD">
        <w:rPr>
          <w:szCs w:val="20"/>
        </w:rPr>
        <w:t> </w:t>
      </w:r>
      <w:r w:rsidR="007A765A">
        <w:rPr>
          <w:szCs w:val="20"/>
        </w:rPr>
        <w:t>tis.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Kč.</w:t>
      </w:r>
    </w:p>
    <w:p w:rsidR="00700BCB" w:rsidRDefault="00700BCB" w:rsidP="00C16579">
      <w:pPr>
        <w:pStyle w:val="Mjtext"/>
        <w:numPr>
          <w:ilvl w:val="0"/>
          <w:numId w:val="17"/>
        </w:numPr>
      </w:pPr>
      <w:r w:rsidRPr="005A1EDB">
        <w:rPr>
          <w:u w:val="single"/>
        </w:rPr>
        <w:t>Jmění účetní jednotky</w:t>
      </w:r>
      <w:r w:rsidRPr="00F9347A">
        <w:t xml:space="preserve"> </w:t>
      </w:r>
      <w:r w:rsidRPr="005A1EDB">
        <w:t>– na úč</w:t>
      </w:r>
      <w:r>
        <w:t>e</w:t>
      </w:r>
      <w:r w:rsidRPr="005A1EDB">
        <w:t xml:space="preserve">t 401 </w:t>
      </w:r>
      <w:r>
        <w:t xml:space="preserve">byly převedeny </w:t>
      </w:r>
      <w:r w:rsidR="00F125F2">
        <w:t xml:space="preserve">určené </w:t>
      </w:r>
      <w:r>
        <w:t>pasivní účty v</w:t>
      </w:r>
      <w:r w:rsidR="001E7BF2">
        <w:t> </w:t>
      </w:r>
      <w:r>
        <w:t>rámci transformace účetnictví, které nebyly převedeny do jiných položek vlastních zdrojů</w:t>
      </w:r>
      <w:r w:rsidR="00F9347A">
        <w:t>,</w:t>
      </w:r>
      <w:r>
        <w:t xml:space="preserve"> dále se </w:t>
      </w:r>
      <w:r w:rsidR="00F76C89">
        <w:t xml:space="preserve">na účtu 401 vykazují především operace </w:t>
      </w:r>
      <w:r>
        <w:t>v</w:t>
      </w:r>
      <w:r w:rsidR="001E7BF2">
        <w:t> </w:t>
      </w:r>
      <w:r>
        <w:t xml:space="preserve">oblasti dlouhodobého majetku. </w:t>
      </w:r>
      <w:r w:rsidRPr="00F9347A">
        <w:t>V</w:t>
      </w:r>
      <w:r w:rsidR="001E7BF2">
        <w:t> </w:t>
      </w:r>
      <w:r w:rsidRPr="00F9347A">
        <w:t xml:space="preserve">rámci účetní reformy byly na účet 401 </w:t>
      </w:r>
      <w:r w:rsidR="007A765A">
        <w:t>k 1.</w:t>
      </w:r>
      <w:r w:rsidR="007A765A" w:rsidRPr="00EA19CD">
        <w:rPr>
          <w:szCs w:val="20"/>
        </w:rPr>
        <w:t> </w:t>
      </w:r>
      <w:r w:rsidR="007A765A">
        <w:t xml:space="preserve">1.2010 </w:t>
      </w:r>
      <w:r w:rsidRPr="00F9347A">
        <w:t>převedeny tyto syntetické účty: 901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fond dlouhodobého majetku, 90</w:t>
      </w:r>
      <w:r w:rsidR="007122A9">
        <w:t>2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fond oběžných aktiv, 933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převod zúčtování příjmů a výdajů minulých let, 964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saldo výdajů a nákladů a 965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saldo příjmů a výnosů</w:t>
      </w:r>
      <w:r w:rsidRPr="009874CE">
        <w:rPr>
          <w:color w:val="800080"/>
        </w:rPr>
        <w:t>.</w:t>
      </w:r>
      <w:r>
        <w:t xml:space="preserve"> Stav účtu 401 byl k</w:t>
      </w:r>
      <w:r w:rsidR="001E7BF2">
        <w:t> </w:t>
      </w:r>
      <w:r>
        <w:t>31.</w:t>
      </w:r>
      <w:r w:rsidR="00F125F2" w:rsidRPr="00EA19CD">
        <w:rPr>
          <w:szCs w:val="20"/>
        </w:rPr>
        <w:t> </w:t>
      </w:r>
      <w:r>
        <w:t>12.</w:t>
      </w:r>
      <w:r w:rsidR="00F125F2" w:rsidRPr="00EA19CD">
        <w:rPr>
          <w:szCs w:val="20"/>
        </w:rPr>
        <w:t> </w:t>
      </w:r>
      <w:r>
        <w:t>201</w:t>
      </w:r>
      <w:r w:rsidR="00795603">
        <w:t>3</w:t>
      </w:r>
      <w:r>
        <w:t xml:space="preserve"> ve výši </w:t>
      </w:r>
      <w:r w:rsidR="00795603">
        <w:t>2.</w:t>
      </w:r>
      <w:r w:rsidR="007A765A">
        <w:t>559.100</w:t>
      </w:r>
      <w:r w:rsidR="007A765A" w:rsidRPr="00EA19CD">
        <w:rPr>
          <w:szCs w:val="20"/>
        </w:rPr>
        <w:t> </w:t>
      </w:r>
      <w:r>
        <w:t>tis.</w:t>
      </w:r>
      <w:r w:rsidR="007A765A" w:rsidRPr="00EA19CD">
        <w:rPr>
          <w:szCs w:val="20"/>
        </w:rPr>
        <w:t> </w:t>
      </w:r>
      <w:r>
        <w:t>Kč, ve</w:t>
      </w:r>
      <w:r w:rsidR="00CE67F4">
        <w:t> </w:t>
      </w:r>
      <w:r>
        <w:t>srovnání s</w:t>
      </w:r>
      <w:r w:rsidR="001E7BF2">
        <w:t> </w:t>
      </w:r>
      <w:r>
        <w:t>r. 201</w:t>
      </w:r>
      <w:r w:rsidR="00795603">
        <w:t>2</w:t>
      </w:r>
      <w:r>
        <w:t xml:space="preserve"> došlo k</w:t>
      </w:r>
      <w:r w:rsidR="001E7BF2">
        <w:t> </w:t>
      </w:r>
      <w:r>
        <w:t>úbytku jmění o </w:t>
      </w:r>
      <w:r w:rsidR="00795603">
        <w:t>1.065.877</w:t>
      </w:r>
      <w:r>
        <w:t> tis. Kč, což bylo způsobeno především poskytnutím investičních dotací vlastním příspěvkovým organizacím</w:t>
      </w:r>
      <w:r w:rsidR="00B642DF">
        <w:t xml:space="preserve"> vč.</w:t>
      </w:r>
      <w:r w:rsidR="00795603">
        <w:t xml:space="preserve"> vlivu odvodů z</w:t>
      </w:r>
      <w:r w:rsidR="001E7BF2">
        <w:t> </w:t>
      </w:r>
      <w:r w:rsidR="00795603">
        <w:t>investičních fondů</w:t>
      </w:r>
      <w:r>
        <w:t xml:space="preserve"> </w:t>
      </w:r>
      <w:r w:rsidR="00795603">
        <w:t>(</w:t>
      </w:r>
      <w:r w:rsidR="00605F00">
        <w:t xml:space="preserve">úbytek jmění </w:t>
      </w:r>
      <w:r w:rsidR="00FA01BD">
        <w:t xml:space="preserve">po zohlednění vlivů odvodů z investičních fondů p.o. </w:t>
      </w:r>
      <w:r w:rsidR="00605F00">
        <w:t>o 355.175</w:t>
      </w:r>
      <w:r w:rsidR="007A765A" w:rsidRPr="00EA19CD">
        <w:rPr>
          <w:szCs w:val="20"/>
        </w:rPr>
        <w:t> </w:t>
      </w:r>
      <w:r w:rsidR="00795603">
        <w:t>tis.</w:t>
      </w:r>
      <w:r w:rsidR="007A765A" w:rsidRPr="00EA19CD">
        <w:rPr>
          <w:szCs w:val="20"/>
        </w:rPr>
        <w:t> </w:t>
      </w:r>
      <w:r w:rsidR="00795603">
        <w:t>Kč</w:t>
      </w:r>
      <w:r w:rsidR="007A765A">
        <w:t>; poskytování investičních dotací vlastním příspěvkovým organizacím se účtuje proti účtu 401 a</w:t>
      </w:r>
      <w:r w:rsidR="00FA01BD" w:rsidRPr="00EA19CD">
        <w:rPr>
          <w:szCs w:val="20"/>
        </w:rPr>
        <w:t> </w:t>
      </w:r>
      <w:r w:rsidR="007A765A">
        <w:t>nikoliv do nákladů</w:t>
      </w:r>
      <w:r w:rsidR="00605F00">
        <w:t>)</w:t>
      </w:r>
      <w:r w:rsidR="00795603">
        <w:t>. D</w:t>
      </w:r>
      <w:r>
        <w:t xml:space="preserve">ále se </w:t>
      </w:r>
      <w:r w:rsidR="00F76C89">
        <w:t xml:space="preserve">na účtu </w:t>
      </w:r>
      <w:r w:rsidR="00795603">
        <w:t xml:space="preserve">401 </w:t>
      </w:r>
      <w:r>
        <w:t xml:space="preserve">zobrazuje pohyb dlouhodobého majetku </w:t>
      </w:r>
      <w:r w:rsidR="00605F00">
        <w:t xml:space="preserve">(bezúplatné </w:t>
      </w:r>
      <w:r w:rsidR="00605F00">
        <w:lastRenderedPageBreak/>
        <w:t xml:space="preserve">převody a dary) </w:t>
      </w:r>
      <w:r>
        <w:t>mezi krajem a ostatními vybranými účetními jednotkami</w:t>
      </w:r>
      <w:r w:rsidR="00605F00">
        <w:t xml:space="preserve">, zejména pak </w:t>
      </w:r>
      <w:r>
        <w:t>převody majetku mezi krajem a</w:t>
      </w:r>
      <w:r w:rsidR="00605F00" w:rsidRPr="00F9347A">
        <w:t> </w:t>
      </w:r>
      <w:r>
        <w:t>jeho příspěvkovými organizacemi</w:t>
      </w:r>
      <w:r w:rsidR="00795603">
        <w:t xml:space="preserve"> </w:t>
      </w:r>
      <w:r w:rsidR="00605F00">
        <w:t>(úbytek jmění o</w:t>
      </w:r>
      <w:r w:rsidR="007A765A" w:rsidRPr="00EA19CD">
        <w:rPr>
          <w:szCs w:val="20"/>
        </w:rPr>
        <w:t> </w:t>
      </w:r>
      <w:r w:rsidR="00605F00">
        <w:t>586.70</w:t>
      </w:r>
      <w:r w:rsidR="007A765A">
        <w:t>5</w:t>
      </w:r>
      <w:r w:rsidR="007A765A" w:rsidRPr="00EA19CD">
        <w:rPr>
          <w:szCs w:val="20"/>
        </w:rPr>
        <w:t> </w:t>
      </w:r>
      <w:r w:rsidR="00605F00">
        <w:t>tis.</w:t>
      </w:r>
      <w:r w:rsidR="007A765A" w:rsidRPr="00EA19CD">
        <w:rPr>
          <w:szCs w:val="20"/>
        </w:rPr>
        <w:t> </w:t>
      </w:r>
      <w:r w:rsidR="00605F00">
        <w:t>Kč) a d</w:t>
      </w:r>
      <w:r>
        <w:t xml:space="preserve">alší účetní operace, definované pro tento účet. </w:t>
      </w:r>
    </w:p>
    <w:p w:rsidR="00700BCB" w:rsidRPr="00DC51B9" w:rsidRDefault="00700BCB" w:rsidP="00C16579">
      <w:pPr>
        <w:pStyle w:val="Mjtext"/>
        <w:numPr>
          <w:ilvl w:val="0"/>
          <w:numId w:val="17"/>
        </w:numPr>
      </w:pPr>
      <w:r>
        <w:rPr>
          <w:u w:val="single"/>
        </w:rPr>
        <w:t>Transfery na pořízení dlouhodobého majetku</w:t>
      </w:r>
      <w:r w:rsidRPr="001B4831">
        <w:t xml:space="preserve"> </w:t>
      </w:r>
      <w:r>
        <w:t>– na účtu 403 kraj eviduje</w:t>
      </w:r>
      <w:r w:rsidR="000F6083">
        <w:t xml:space="preserve"> přijaté investiční transfery, </w:t>
      </w:r>
      <w:r>
        <w:t>dohady těchto transferů (vzhledem k</w:t>
      </w:r>
      <w:r w:rsidR="001E7BF2">
        <w:t> </w:t>
      </w:r>
      <w:r>
        <w:t>vynaloženým investičním nákladů</w:t>
      </w:r>
      <w:r w:rsidR="00CA1E6A">
        <w:t>m</w:t>
      </w:r>
      <w:r>
        <w:t xml:space="preserve"> daných akcí)</w:t>
      </w:r>
      <w:r w:rsidR="000F6083">
        <w:t xml:space="preserve"> a časové rozlišení investičních transferů</w:t>
      </w:r>
      <w:r w:rsidR="001C69EB">
        <w:t>. Na celkovém stavu účtu 403</w:t>
      </w:r>
      <w:r>
        <w:t xml:space="preserve"> </w:t>
      </w:r>
      <w:r w:rsidR="001C69EB">
        <w:t xml:space="preserve">v </w:t>
      </w:r>
      <w:r>
        <w:t xml:space="preserve">objemu </w:t>
      </w:r>
      <w:r w:rsidR="000F6083">
        <w:t>1.472.233</w:t>
      </w:r>
      <w:r w:rsidR="001C69EB" w:rsidRPr="00EA19CD">
        <w:rPr>
          <w:szCs w:val="20"/>
        </w:rPr>
        <w:t> </w:t>
      </w:r>
      <w:r w:rsidR="001C69EB">
        <w:t>tis.</w:t>
      </w:r>
      <w:r w:rsidR="001C69EB" w:rsidRPr="00EA19CD">
        <w:rPr>
          <w:szCs w:val="20"/>
        </w:rPr>
        <w:t> </w:t>
      </w:r>
      <w:r w:rsidR="001C69EB">
        <w:t>Kč</w:t>
      </w:r>
      <w:r>
        <w:t xml:space="preserve"> </w:t>
      </w:r>
      <w:r w:rsidR="001C69EB">
        <w:t xml:space="preserve">se nejvíce </w:t>
      </w:r>
      <w:r>
        <w:t>podíl</w:t>
      </w:r>
      <w:r w:rsidR="001C69EB">
        <w:t>í</w:t>
      </w:r>
      <w:r>
        <w:t xml:space="preserve"> investiční transfery poskytnuté z</w:t>
      </w:r>
      <w:r w:rsidR="001E7BF2">
        <w:t> </w:t>
      </w:r>
      <w:r w:rsidR="00EB3285">
        <w:t xml:space="preserve">RRRS MSK </w:t>
      </w:r>
      <w:r>
        <w:t xml:space="preserve">a ostatních územních rozpočtů </w:t>
      </w:r>
      <w:r w:rsidR="000F6083">
        <w:t xml:space="preserve">(zůstatek je </w:t>
      </w:r>
      <w:r>
        <w:t xml:space="preserve">ve výši </w:t>
      </w:r>
      <w:r w:rsidR="000F6083">
        <w:t>1.104.515</w:t>
      </w:r>
      <w:r>
        <w:t> tis.</w:t>
      </w:r>
      <w:r w:rsidR="0056473B">
        <w:t> </w:t>
      </w:r>
      <w:r w:rsidR="000F6083">
        <w:t>Kč), dále</w:t>
      </w:r>
      <w:r w:rsidR="001C69EB">
        <w:t xml:space="preserve"> transfery</w:t>
      </w:r>
      <w:r w:rsidR="000F6083">
        <w:t xml:space="preserve"> z</w:t>
      </w:r>
      <w:r w:rsidR="001E7BF2">
        <w:t> </w:t>
      </w:r>
      <w:r w:rsidR="000F6083">
        <w:t>ministerstev a ostatních organizačních složek státu (330.587</w:t>
      </w:r>
      <w:r w:rsidR="00FA01BD" w:rsidRPr="00EA19CD">
        <w:rPr>
          <w:szCs w:val="20"/>
        </w:rPr>
        <w:t> </w:t>
      </w:r>
      <w:r w:rsidR="000F6083">
        <w:t>tis.</w:t>
      </w:r>
      <w:r w:rsidR="00FA01BD" w:rsidRPr="00EA19CD">
        <w:rPr>
          <w:szCs w:val="20"/>
        </w:rPr>
        <w:t> </w:t>
      </w:r>
      <w:r w:rsidR="000F6083">
        <w:t xml:space="preserve">Kč) a </w:t>
      </w:r>
      <w:r w:rsidR="00EA0EC6">
        <w:t>státních fondů (37.131</w:t>
      </w:r>
      <w:r w:rsidR="00FA01BD" w:rsidRPr="00EA19CD">
        <w:rPr>
          <w:szCs w:val="20"/>
        </w:rPr>
        <w:t> </w:t>
      </w:r>
      <w:r w:rsidR="00EA0EC6">
        <w:t>tis.</w:t>
      </w:r>
      <w:r w:rsidR="00FA01BD" w:rsidRPr="00EA19CD">
        <w:rPr>
          <w:szCs w:val="20"/>
        </w:rPr>
        <w:t> </w:t>
      </w:r>
      <w:r w:rsidR="00EA0EC6">
        <w:t>Kč). Oproti r. 2012 došlo v</w:t>
      </w:r>
      <w:r w:rsidR="001E7BF2">
        <w:t> </w:t>
      </w:r>
      <w:r w:rsidR="00EA0EC6">
        <w:t>r. 2013 k</w:t>
      </w:r>
      <w:r w:rsidR="001E7BF2">
        <w:t> </w:t>
      </w:r>
      <w:r w:rsidR="00FA01BD">
        <w:t>poklesu účtu 403 o 923.766</w:t>
      </w:r>
      <w:r w:rsidR="00FA01BD" w:rsidRPr="00EA19CD">
        <w:rPr>
          <w:szCs w:val="20"/>
        </w:rPr>
        <w:t> </w:t>
      </w:r>
      <w:r w:rsidR="00EA0EC6">
        <w:t>tis.</w:t>
      </w:r>
      <w:r w:rsidR="00FA01BD" w:rsidRPr="00EA19CD">
        <w:rPr>
          <w:szCs w:val="20"/>
        </w:rPr>
        <w:t> </w:t>
      </w:r>
      <w:r w:rsidR="00EA0EC6">
        <w:t>Kč, zejména z</w:t>
      </w:r>
      <w:r w:rsidR="001E7BF2">
        <w:t> </w:t>
      </w:r>
      <w:r w:rsidR="00EA0EC6">
        <w:t>důvodu předání majetku</w:t>
      </w:r>
      <w:r w:rsidR="00FA01BD">
        <w:t>,</w:t>
      </w:r>
      <w:r w:rsidR="00EA0EC6">
        <w:t xml:space="preserve"> </w:t>
      </w:r>
      <w:r w:rsidR="00FA01BD">
        <w:t>který byl financován nebo spolufinancován z investičních dotací</w:t>
      </w:r>
      <w:r w:rsidR="001C69EB">
        <w:t>,</w:t>
      </w:r>
      <w:r w:rsidR="00FA01BD">
        <w:t xml:space="preserve"> </w:t>
      </w:r>
      <w:r w:rsidR="00EA0EC6">
        <w:t>k</w:t>
      </w:r>
      <w:r w:rsidR="001E7BF2">
        <w:t> </w:t>
      </w:r>
      <w:r w:rsidR="00EA0EC6">
        <w:t>hospodaření příspěvkovým organizacím kraje.</w:t>
      </w:r>
    </w:p>
    <w:p w:rsidR="00700BCB" w:rsidRPr="00FE6A45" w:rsidRDefault="00700BCB" w:rsidP="00C16579">
      <w:pPr>
        <w:pStyle w:val="Mjtext"/>
        <w:numPr>
          <w:ilvl w:val="0"/>
          <w:numId w:val="17"/>
        </w:numPr>
      </w:pPr>
      <w:r w:rsidRPr="00FE6A45">
        <w:rPr>
          <w:u w:val="single"/>
        </w:rPr>
        <w:t>Oceňovací rozdíly při prvotním použití metody</w:t>
      </w:r>
      <w:r w:rsidRPr="00FE6A45">
        <w:t xml:space="preserve"> – na účtu 406 kraj eviduje </w:t>
      </w:r>
      <w:r w:rsidR="00790661" w:rsidRPr="00FE6A45">
        <w:t xml:space="preserve">skutečnosti </w:t>
      </w:r>
      <w:r w:rsidRPr="00FE6A45">
        <w:t>z</w:t>
      </w:r>
      <w:r w:rsidR="001E7BF2" w:rsidRPr="00FE6A45">
        <w:t> </w:t>
      </w:r>
      <w:r w:rsidRPr="00FE6A45">
        <w:t>prvotního použití a změny účetní metody</w:t>
      </w:r>
      <w:r w:rsidR="00903432" w:rsidRPr="00FE6A45">
        <w:t>, které nastaly</w:t>
      </w:r>
      <w:r w:rsidRPr="00FE6A45">
        <w:t xml:space="preserve"> v</w:t>
      </w:r>
      <w:r w:rsidR="001E7BF2" w:rsidRPr="00FE6A45">
        <w:t> </w:t>
      </w:r>
      <w:r w:rsidRPr="00FE6A45">
        <w:t>důsledku změny právních předpisů</w:t>
      </w:r>
      <w:r w:rsidR="00903432" w:rsidRPr="00FE6A45">
        <w:t>,</w:t>
      </w:r>
      <w:r w:rsidRPr="00FE6A45">
        <w:t xml:space="preserve"> v</w:t>
      </w:r>
      <w:r w:rsidR="001E7BF2" w:rsidRPr="00FE6A45">
        <w:t> </w:t>
      </w:r>
      <w:r w:rsidRPr="00FE6A45">
        <w:t xml:space="preserve">celkové výši </w:t>
      </w:r>
      <w:r w:rsidR="00CE67F4">
        <w:t xml:space="preserve"> </w:t>
      </w:r>
      <w:r w:rsidR="00903432" w:rsidRPr="00FE6A45">
        <w:t>-</w:t>
      </w:r>
      <w:r w:rsidR="0055505B" w:rsidRPr="00FE6A45">
        <w:t>1.</w:t>
      </w:r>
      <w:r w:rsidRPr="00FE6A45">
        <w:t>201.233 tis. Kč. Evidují se zde např. oceňovací rozdíly při dooprávkování dlouhodobého majetku (</w:t>
      </w:r>
      <w:r w:rsidR="0055505B" w:rsidRPr="00FE6A45">
        <w:t>-</w:t>
      </w:r>
      <w:r w:rsidRPr="00FE6A45">
        <w:t>655.135 tis. Kč), při prvotní tvorbě opravných položek k</w:t>
      </w:r>
      <w:r w:rsidR="001E7BF2" w:rsidRPr="00FE6A45">
        <w:t> </w:t>
      </w:r>
      <w:r w:rsidRPr="00FE6A45">
        <w:t>pohledávkám (</w:t>
      </w:r>
      <w:r w:rsidR="0055505B" w:rsidRPr="00FE6A45">
        <w:t>-</w:t>
      </w:r>
      <w:r w:rsidRPr="00FE6A45">
        <w:t>35.51</w:t>
      </w:r>
      <w:r w:rsidR="00FE6A45" w:rsidRPr="00FE6A45">
        <w:t>8</w:t>
      </w:r>
      <w:r w:rsidRPr="00FE6A45">
        <w:t> tis. Kč)</w:t>
      </w:r>
      <w:r w:rsidR="00FE6A45" w:rsidRPr="00FE6A45">
        <w:t>, opravné položky k dlouhodobému finančnímu majetku (-118.398</w:t>
      </w:r>
      <w:r w:rsidR="00FE6A45" w:rsidRPr="00FE6A45">
        <w:rPr>
          <w:szCs w:val="20"/>
        </w:rPr>
        <w:t> tis. Kč)</w:t>
      </w:r>
      <w:r w:rsidRPr="00FE6A45">
        <w:t xml:space="preserve"> a ostatní změny (např. časové rozlišení nákladů a výnosů před transformací účetnictví).</w:t>
      </w:r>
      <w:r w:rsidR="00B43743" w:rsidRPr="00FE6A45">
        <w:t xml:space="preserve"> Smyslem použití účtu 406 je</w:t>
      </w:r>
      <w:r w:rsidRPr="00FE6A45">
        <w:t>, aby v</w:t>
      </w:r>
      <w:r w:rsidR="001E7BF2" w:rsidRPr="00FE6A45">
        <w:t> </w:t>
      </w:r>
      <w:r w:rsidRPr="00FE6A45">
        <w:t>případě první aplikace určité metody nedošlo k</w:t>
      </w:r>
      <w:r w:rsidR="001E7BF2" w:rsidRPr="00FE6A45">
        <w:t> </w:t>
      </w:r>
      <w:r w:rsidRPr="00FE6A45">
        <w:t>ovlivnění výsledku hospodaření běžného roku o</w:t>
      </w:r>
      <w:r w:rsidR="00FE6A45" w:rsidRPr="00EA19CD">
        <w:rPr>
          <w:szCs w:val="20"/>
        </w:rPr>
        <w:t> </w:t>
      </w:r>
      <w:r w:rsidRPr="00FE6A45">
        <w:t>dopočty do</w:t>
      </w:r>
      <w:r w:rsidR="00F76C89" w:rsidRPr="00FE6A45">
        <w:t>pad</w:t>
      </w:r>
      <w:r w:rsidR="00DC51B9" w:rsidRPr="00FE6A45">
        <w:t>ů</w:t>
      </w:r>
      <w:r w:rsidR="00F76C89" w:rsidRPr="00FE6A45">
        <w:t xml:space="preserve"> za minulá období.</w:t>
      </w:r>
      <w:r w:rsidR="00EA0EC6" w:rsidRPr="00FE6A45">
        <w:t xml:space="preserve"> Stav účtu </w:t>
      </w:r>
      <w:r w:rsidR="00903432" w:rsidRPr="00FE6A45">
        <w:t xml:space="preserve">406 </w:t>
      </w:r>
      <w:r w:rsidR="00FE6A45">
        <w:t>se oproti r. 2012 nezměnil (v r.</w:t>
      </w:r>
      <w:r w:rsidR="00FE6A45" w:rsidRPr="00EA19CD">
        <w:rPr>
          <w:szCs w:val="20"/>
        </w:rPr>
        <w:t> </w:t>
      </w:r>
      <w:r w:rsidR="00FE6A45">
        <w:rPr>
          <w:szCs w:val="20"/>
        </w:rPr>
        <w:t>2013 nebylo na tomto účtu účtováno).</w:t>
      </w:r>
    </w:p>
    <w:p w:rsidR="00700BCB" w:rsidRPr="00FE6A45" w:rsidRDefault="00700BCB" w:rsidP="00C16579">
      <w:pPr>
        <w:pStyle w:val="Mjtext"/>
        <w:numPr>
          <w:ilvl w:val="0"/>
          <w:numId w:val="17"/>
        </w:numPr>
      </w:pPr>
      <w:r w:rsidRPr="00FE6A45">
        <w:rPr>
          <w:u w:val="single"/>
        </w:rPr>
        <w:t>Opravy minulých období</w:t>
      </w:r>
      <w:r w:rsidRPr="00FE6A45">
        <w:t xml:space="preserve"> – na účtu 408 eviduje kraj opravy minulých účetních období, které jsou významné a ovlivnily by výsled</w:t>
      </w:r>
      <w:r w:rsidR="00F76C89" w:rsidRPr="00FE6A45">
        <w:t>e</w:t>
      </w:r>
      <w:r w:rsidRPr="00FE6A45">
        <w:t>k</w:t>
      </w:r>
      <w:r w:rsidR="00F76C89" w:rsidRPr="00FE6A45">
        <w:t xml:space="preserve"> hospodaření</w:t>
      </w:r>
      <w:r w:rsidR="00903432" w:rsidRPr="00FE6A45">
        <w:t xml:space="preserve"> daného účetního období</w:t>
      </w:r>
      <w:r w:rsidR="00F76C89" w:rsidRPr="00FE6A45">
        <w:t>;</w:t>
      </w:r>
      <w:r w:rsidRPr="00FE6A45">
        <w:t xml:space="preserve"> v</w:t>
      </w:r>
      <w:r w:rsidR="001E7BF2" w:rsidRPr="00FE6A45">
        <w:t> </w:t>
      </w:r>
      <w:r w:rsidRPr="00FE6A45">
        <w:t>případě kraje se za</w:t>
      </w:r>
      <w:r w:rsidR="00CE67F4">
        <w:t> </w:t>
      </w:r>
      <w:r w:rsidRPr="00FE6A45">
        <w:t>významnou</w:t>
      </w:r>
      <w:r w:rsidR="00F76C89" w:rsidRPr="00FE6A45">
        <w:t xml:space="preserve"> opravu</w:t>
      </w:r>
      <w:r w:rsidRPr="00FE6A45">
        <w:t xml:space="preserve"> považuje podle vyhlášky č. 410/2009 Sb. každá oprava, která dosahuje částky 260</w:t>
      </w:r>
      <w:r w:rsidR="00903432" w:rsidRPr="00FE6A45">
        <w:t> </w:t>
      </w:r>
      <w:r w:rsidRPr="00FE6A45">
        <w:t>tis.</w:t>
      </w:r>
      <w:r w:rsidR="00903432" w:rsidRPr="00FE6A45">
        <w:t> </w:t>
      </w:r>
      <w:r w:rsidRPr="00FE6A45">
        <w:t>Kč</w:t>
      </w:r>
      <w:r w:rsidR="00F76C89" w:rsidRPr="00FE6A45">
        <w:t xml:space="preserve"> a vyšší.</w:t>
      </w:r>
      <w:r w:rsidRPr="00FE6A45">
        <w:t xml:space="preserve"> U kraje byly opravy </w:t>
      </w:r>
      <w:r w:rsidR="00F76C89" w:rsidRPr="00FE6A45">
        <w:t>v</w:t>
      </w:r>
      <w:r w:rsidR="001E7BF2" w:rsidRPr="00FE6A45">
        <w:t> </w:t>
      </w:r>
      <w:r w:rsidR="00F76C89" w:rsidRPr="00FE6A45">
        <w:t>celkové</w:t>
      </w:r>
      <w:r w:rsidRPr="00FE6A45">
        <w:t xml:space="preserve"> výši </w:t>
      </w:r>
      <w:r w:rsidR="00EA0EC6" w:rsidRPr="00FE6A45">
        <w:t>-6.282</w:t>
      </w:r>
      <w:r w:rsidR="00903432" w:rsidRPr="00FE6A45">
        <w:t> </w:t>
      </w:r>
      <w:r w:rsidRPr="00FE6A45">
        <w:t>tis.</w:t>
      </w:r>
      <w:r w:rsidR="00903432" w:rsidRPr="00FE6A45">
        <w:t> </w:t>
      </w:r>
      <w:r w:rsidRPr="00FE6A45">
        <w:t>Kč (kumulovaná částka všech oprav</w:t>
      </w:r>
      <w:r w:rsidR="00F76C89" w:rsidRPr="00FE6A45">
        <w:t xml:space="preserve"> – saldo str. MD a D</w:t>
      </w:r>
      <w:r w:rsidRPr="00FE6A45">
        <w:t xml:space="preserve">), jednalo se </w:t>
      </w:r>
      <w:r w:rsidR="00556FC9" w:rsidRPr="00FE6A45">
        <w:t>zejména</w:t>
      </w:r>
      <w:r w:rsidR="005B7B68" w:rsidRPr="00FE6A45">
        <w:t xml:space="preserve"> </w:t>
      </w:r>
      <w:r w:rsidRPr="00FE6A45">
        <w:t>o převody mezi neinvestičními a i</w:t>
      </w:r>
      <w:r w:rsidR="00556FC9" w:rsidRPr="00FE6A45">
        <w:t xml:space="preserve">nvestičními </w:t>
      </w:r>
      <w:r w:rsidR="00345B39">
        <w:t>náklady</w:t>
      </w:r>
      <w:r w:rsidR="00556FC9" w:rsidRPr="00FE6A45">
        <w:t xml:space="preserve"> minulých let</w:t>
      </w:r>
      <w:r w:rsidR="00345B39">
        <w:t>, vykázanými u akcí spolufinancovaných EU</w:t>
      </w:r>
      <w:r w:rsidR="00556FC9" w:rsidRPr="00FE6A45">
        <w:t xml:space="preserve"> a </w:t>
      </w:r>
      <w:r w:rsidR="00345B39">
        <w:t xml:space="preserve">dále o </w:t>
      </w:r>
      <w:r w:rsidR="00556FC9" w:rsidRPr="00FE6A45">
        <w:t>promítnutí pronájmu přístrojů z</w:t>
      </w:r>
      <w:r w:rsidR="001E7BF2" w:rsidRPr="00FE6A45">
        <w:t> </w:t>
      </w:r>
      <w:r w:rsidR="00634E86">
        <w:t>r. 2012 (</w:t>
      </w:r>
      <w:r w:rsidR="00345B39">
        <w:t>na základě dohody o narovnání mezi kra</w:t>
      </w:r>
      <w:r w:rsidR="00634E86">
        <w:t>jem a Nemocnicí Nový Jičín, a.s.).</w:t>
      </w:r>
    </w:p>
    <w:p w:rsidR="00700BCB" w:rsidRPr="00951DED" w:rsidRDefault="00700BCB" w:rsidP="00700BCB">
      <w:pPr>
        <w:pStyle w:val="Mjtext"/>
      </w:pPr>
      <w:r w:rsidRPr="007E05C9">
        <w:rPr>
          <w:u w:val="single"/>
        </w:rPr>
        <w:t>Fondy účetní jednotky</w:t>
      </w:r>
      <w:r>
        <w:t xml:space="preserve"> – </w:t>
      </w:r>
      <w:r w:rsidR="00A32616">
        <w:t xml:space="preserve">se vykazují u územních samosprávných celků </w:t>
      </w:r>
      <w:r>
        <w:t xml:space="preserve">na účtu 419 </w:t>
      </w:r>
      <w:r w:rsidR="00A32616">
        <w:t xml:space="preserve">– ostatní fondy. Kraj </w:t>
      </w:r>
      <w:r w:rsidR="001C5D9D">
        <w:t>zřídil v minulých letech 4 účelové fondy,</w:t>
      </w:r>
      <w:r w:rsidR="00594F20">
        <w:t xml:space="preserve"> jejichž</w:t>
      </w:r>
      <w:r w:rsidR="001C5D9D">
        <w:t xml:space="preserve"> </w:t>
      </w:r>
      <w:r w:rsidR="00594F20">
        <w:t xml:space="preserve">hospodaření </w:t>
      </w:r>
      <w:r w:rsidR="001C5D9D">
        <w:t>se řídí schválenými statuty. J</w:t>
      </w:r>
      <w:r>
        <w:t xml:space="preserve">edná se </w:t>
      </w:r>
      <w:r w:rsidR="00903432">
        <w:t>o</w:t>
      </w:r>
      <w:r w:rsidR="00594F20" w:rsidRPr="00EA19CD">
        <w:rPr>
          <w:szCs w:val="20"/>
        </w:rPr>
        <w:t> </w:t>
      </w:r>
      <w:r>
        <w:t>Sociální fond, Zajišťovací fond, Regionální rozvojový fond a Fond životního prostředí MSK</w:t>
      </w:r>
      <w:r w:rsidR="00903432">
        <w:t xml:space="preserve"> </w:t>
      </w:r>
      <w:r>
        <w:t>v</w:t>
      </w:r>
      <w:r w:rsidR="001E7BF2">
        <w:t> </w:t>
      </w:r>
      <w:r>
        <w:t>celkovém objemu 156.</w:t>
      </w:r>
      <w:r w:rsidR="00556FC9">
        <w:t>822</w:t>
      </w:r>
      <w:r w:rsidR="00903432" w:rsidRPr="00DC51B9">
        <w:t> </w:t>
      </w:r>
      <w:r>
        <w:t>tis.</w:t>
      </w:r>
      <w:r w:rsidR="00903432" w:rsidRPr="00DC51B9">
        <w:t> </w:t>
      </w:r>
      <w:r>
        <w:t>Kč. Kraj účtuje o fondech výsledkovým způsobem</w:t>
      </w:r>
      <w:r w:rsidR="00633002">
        <w:t xml:space="preserve">, </w:t>
      </w:r>
      <w:r w:rsidR="00633002" w:rsidRPr="00DC51B9">
        <w:t>tj. prostřednictvím nákladových a</w:t>
      </w:r>
      <w:r w:rsidR="00CB74A3" w:rsidRPr="00DC51B9">
        <w:t> </w:t>
      </w:r>
      <w:r w:rsidR="00633002" w:rsidRPr="00DC51B9">
        <w:t>výnosových účtů</w:t>
      </w:r>
      <w:r w:rsidRPr="00DC51B9">
        <w:t>; fondy jsou zdrojem krytí peněžních prostředků účelových fondů (po</w:t>
      </w:r>
      <w:r w:rsidR="00CE67F4">
        <w:t> </w:t>
      </w:r>
      <w:r w:rsidRPr="00DC51B9">
        <w:t>zohlednění pohledávek a závazků k</w:t>
      </w:r>
      <w:r w:rsidR="001E7BF2">
        <w:t> </w:t>
      </w:r>
      <w:r w:rsidRPr="00DC51B9">
        <w:t>jednotlivým fondům). Největší podíl z</w:t>
      </w:r>
      <w:r w:rsidR="001E7BF2">
        <w:t> </w:t>
      </w:r>
      <w:r w:rsidRPr="00DC51B9">
        <w:t>fondů kraj</w:t>
      </w:r>
      <w:r>
        <w:t>e připadá na</w:t>
      </w:r>
      <w:r w:rsidR="00CE67F4">
        <w:t> </w:t>
      </w:r>
      <w:r>
        <w:t xml:space="preserve">Zajišťovací fond – </w:t>
      </w:r>
      <w:r w:rsidR="00556FC9">
        <w:t>102.79</w:t>
      </w:r>
      <w:r w:rsidR="00B6004D">
        <w:t>2</w:t>
      </w:r>
      <w:r w:rsidR="00903432" w:rsidRPr="00DC51B9">
        <w:t> </w:t>
      </w:r>
      <w:r w:rsidR="00556FC9">
        <w:t>tis.</w:t>
      </w:r>
      <w:r w:rsidR="00903432" w:rsidRPr="00DC51B9">
        <w:t> </w:t>
      </w:r>
      <w:r w:rsidR="00594F20">
        <w:t>Kč; s</w:t>
      </w:r>
      <w:r>
        <w:t xml:space="preserve">tav ostatních fondů je následující: Fond životního prostředí MSK – </w:t>
      </w:r>
      <w:r w:rsidR="00556FC9">
        <w:t>52.566</w:t>
      </w:r>
      <w:r w:rsidR="00594F20" w:rsidRPr="00EA19CD">
        <w:rPr>
          <w:szCs w:val="20"/>
        </w:rPr>
        <w:t> </w:t>
      </w:r>
      <w:r>
        <w:t>tis.</w:t>
      </w:r>
      <w:r w:rsidR="00594F20" w:rsidRPr="00EA19CD">
        <w:rPr>
          <w:szCs w:val="20"/>
        </w:rPr>
        <w:t> </w:t>
      </w:r>
      <w:r>
        <w:t xml:space="preserve">Kč, Regionální rozvojový fond – </w:t>
      </w:r>
      <w:r w:rsidR="00556FC9">
        <w:t>1.36</w:t>
      </w:r>
      <w:r w:rsidR="00B6004D">
        <w:t>2</w:t>
      </w:r>
      <w:r w:rsidR="00594F20" w:rsidRPr="00EA19CD">
        <w:rPr>
          <w:szCs w:val="20"/>
        </w:rPr>
        <w:t> </w:t>
      </w:r>
      <w:r>
        <w:t>tis.</w:t>
      </w:r>
      <w:r w:rsidR="00594F20" w:rsidRPr="00EA19CD">
        <w:rPr>
          <w:szCs w:val="20"/>
        </w:rPr>
        <w:t> </w:t>
      </w:r>
      <w:r>
        <w:t xml:space="preserve">Kč, Sociální fond – </w:t>
      </w:r>
      <w:r w:rsidR="00556FC9">
        <w:t>102</w:t>
      </w:r>
      <w:r w:rsidR="00594F20" w:rsidRPr="00EA19CD">
        <w:rPr>
          <w:szCs w:val="20"/>
        </w:rPr>
        <w:t> </w:t>
      </w:r>
      <w:r w:rsidR="00594F20">
        <w:t>tis.</w:t>
      </w:r>
      <w:r w:rsidR="00594F20" w:rsidRPr="00EA19CD">
        <w:rPr>
          <w:szCs w:val="20"/>
        </w:rPr>
        <w:t> </w:t>
      </w:r>
      <w:r>
        <w:t>Kč.</w:t>
      </w:r>
      <w:r w:rsidR="00594F20">
        <w:t xml:space="preserve"> Stav fondů se oproti r. 2012 zvýšil o 607</w:t>
      </w:r>
      <w:r w:rsidR="00594F20" w:rsidRPr="00EA19CD">
        <w:rPr>
          <w:szCs w:val="20"/>
        </w:rPr>
        <w:t> </w:t>
      </w:r>
      <w:r w:rsidR="00594F20">
        <w:rPr>
          <w:szCs w:val="20"/>
        </w:rPr>
        <w:t>tis.</w:t>
      </w:r>
      <w:r w:rsidR="00594F20" w:rsidRPr="00EA19CD">
        <w:rPr>
          <w:szCs w:val="20"/>
        </w:rPr>
        <w:t> </w:t>
      </w:r>
      <w:r w:rsidR="00594F20">
        <w:rPr>
          <w:szCs w:val="20"/>
        </w:rPr>
        <w:t>Kč.</w:t>
      </w:r>
    </w:p>
    <w:p w:rsidR="00700BCB" w:rsidRDefault="00700BCB" w:rsidP="00700BCB">
      <w:pPr>
        <w:pStyle w:val="Mjtext"/>
      </w:pPr>
      <w:r w:rsidRPr="00C54476">
        <w:rPr>
          <w:u w:val="single"/>
        </w:rPr>
        <w:t>Výsledek hospodaření</w:t>
      </w:r>
      <w:r w:rsidRPr="00BC6064">
        <w:t xml:space="preserve"> </w:t>
      </w:r>
      <w:r>
        <w:t xml:space="preserve">představuje hodnotu výsledku hospodaření běžného účetního období vykázaného ve </w:t>
      </w:r>
      <w:r w:rsidR="00600242">
        <w:t>V</w:t>
      </w:r>
      <w:r>
        <w:t>ýkazu zisku a ztráty (rozdíl mezi částk</w:t>
      </w:r>
      <w:r w:rsidR="00D4443E">
        <w:t>ami</w:t>
      </w:r>
      <w:r>
        <w:t xml:space="preserve"> výnosy celkem a náklady celkem)</w:t>
      </w:r>
      <w:r w:rsidR="004F56E4">
        <w:t xml:space="preserve"> a</w:t>
      </w:r>
      <w:r w:rsidR="004F56E4" w:rsidRPr="004F56E4">
        <w:t> </w:t>
      </w:r>
      <w:r w:rsidR="004F56E4">
        <w:t>dále hodnotu výsledku hospodaření minulých účetních období (tj. součet výsledku hospodaření za období 2010 až 2012)</w:t>
      </w:r>
      <w:r>
        <w:t>. Pokud je částka kladná, jedná se o zisk, pokud je záporná, jedná se o ztrátu.</w:t>
      </w:r>
      <w:r w:rsidR="00594F20">
        <w:t xml:space="preserve"> </w:t>
      </w:r>
    </w:p>
    <w:p w:rsidR="00700BCB" w:rsidRDefault="00700BCB" w:rsidP="00C16579">
      <w:pPr>
        <w:pStyle w:val="Mjtext"/>
        <w:numPr>
          <w:ilvl w:val="0"/>
          <w:numId w:val="18"/>
        </w:numPr>
      </w:pPr>
      <w:r w:rsidRPr="00FA2FDD">
        <w:rPr>
          <w:u w:val="single"/>
        </w:rPr>
        <w:t>Výsledek hospodaření běžného účetního období</w:t>
      </w:r>
      <w:r>
        <w:t xml:space="preserve"> – na účtu 493 eviduje kraj výsledek hospodaření (po zdanění) za rok 201</w:t>
      </w:r>
      <w:r w:rsidR="00D4443E">
        <w:t>3</w:t>
      </w:r>
      <w:r>
        <w:t xml:space="preserve"> ve výši </w:t>
      </w:r>
      <w:r w:rsidR="00D4443E">
        <w:t>401.513</w:t>
      </w:r>
      <w:r>
        <w:t> tis. Kč; výsledek hospodaření před zdaněním byl ve výši</w:t>
      </w:r>
      <w:r w:rsidR="007C0010">
        <w:t xml:space="preserve"> 428.198</w:t>
      </w:r>
      <w:r w:rsidR="007C0010" w:rsidRPr="00DC51B9">
        <w:t> </w:t>
      </w:r>
      <w:r w:rsidR="007C0010">
        <w:t>tis.</w:t>
      </w:r>
      <w:r w:rsidR="007C0010" w:rsidRPr="00DC51B9">
        <w:t> </w:t>
      </w:r>
      <w:r w:rsidR="007C0010">
        <w:t>Kč (daň z</w:t>
      </w:r>
      <w:r w:rsidR="001E7BF2">
        <w:t> </w:t>
      </w:r>
      <w:r w:rsidR="007C0010">
        <w:t>příjmů byla 26.685</w:t>
      </w:r>
      <w:r w:rsidR="007C0010" w:rsidRPr="00DC51B9">
        <w:t> </w:t>
      </w:r>
      <w:r w:rsidR="007C0010">
        <w:t>tis.</w:t>
      </w:r>
      <w:r w:rsidR="007C0010" w:rsidRPr="00DC51B9">
        <w:t> </w:t>
      </w:r>
      <w:r w:rsidR="007C0010">
        <w:t>Kč).</w:t>
      </w:r>
      <w:r w:rsidR="00296FA1">
        <w:t xml:space="preserve"> Výsledek hospodaření ve výši 401.513</w:t>
      </w:r>
      <w:r w:rsidR="00296FA1" w:rsidRPr="00DC51B9">
        <w:t> </w:t>
      </w:r>
      <w:r w:rsidR="00296FA1">
        <w:t>tis.</w:t>
      </w:r>
      <w:r w:rsidR="00296FA1" w:rsidRPr="00DC51B9">
        <w:t> </w:t>
      </w:r>
      <w:r w:rsidR="00296FA1">
        <w:t xml:space="preserve">Kč se </w:t>
      </w:r>
      <w:r>
        <w:t>k</w:t>
      </w:r>
      <w:r w:rsidR="001E7BF2">
        <w:t> </w:t>
      </w:r>
      <w:r>
        <w:t>1.</w:t>
      </w:r>
      <w:r w:rsidR="00D2578B" w:rsidRPr="00EA19CD">
        <w:rPr>
          <w:szCs w:val="20"/>
        </w:rPr>
        <w:t> </w:t>
      </w:r>
      <w:r>
        <w:t>1.</w:t>
      </w:r>
      <w:r w:rsidR="00D2578B" w:rsidRPr="00EA19CD">
        <w:rPr>
          <w:szCs w:val="20"/>
        </w:rPr>
        <w:t> </w:t>
      </w:r>
      <w:r w:rsidR="00D2578B">
        <w:t>2</w:t>
      </w:r>
      <w:r>
        <w:t>01</w:t>
      </w:r>
      <w:r w:rsidR="00D4443E">
        <w:t>4</w:t>
      </w:r>
      <w:r>
        <w:t xml:space="preserve"> převed</w:t>
      </w:r>
      <w:r w:rsidR="00296FA1">
        <w:t>l</w:t>
      </w:r>
      <w:r w:rsidR="00D4443E">
        <w:t xml:space="preserve"> z</w:t>
      </w:r>
      <w:r w:rsidR="001E7BF2">
        <w:t> </w:t>
      </w:r>
      <w:r w:rsidR="00D4443E">
        <w:t>účtu 493</w:t>
      </w:r>
      <w:r>
        <w:t xml:space="preserve"> na účet 431 – Výsledek hospodaření ve schvalovacím řízení; po</w:t>
      </w:r>
      <w:r w:rsidR="00CE67F4">
        <w:t> </w:t>
      </w:r>
      <w:r>
        <w:t xml:space="preserve">schválení výsledku hospodaření zastupitelstvem kraje se výsledek hospodaření převede </w:t>
      </w:r>
      <w:r w:rsidR="00296FA1">
        <w:t>z</w:t>
      </w:r>
      <w:r w:rsidR="001E7BF2">
        <w:t> </w:t>
      </w:r>
      <w:r w:rsidR="00296FA1">
        <w:t xml:space="preserve">účtu 431 </w:t>
      </w:r>
      <w:r>
        <w:t xml:space="preserve">na účet 432 – Výsledek hospodaření </w:t>
      </w:r>
      <w:r w:rsidR="00311134">
        <w:t>předcházejících</w:t>
      </w:r>
      <w:r>
        <w:t xml:space="preserve"> účetních období</w:t>
      </w:r>
      <w:r w:rsidR="00D4443E">
        <w:t>. Výsledek hospodaření za r.</w:t>
      </w:r>
      <w:r w:rsidR="00311134">
        <w:t> </w:t>
      </w:r>
      <w:r w:rsidR="00D4443E">
        <w:t>2013 byl ve srovnání s</w:t>
      </w:r>
      <w:r w:rsidR="001E7BF2">
        <w:t> </w:t>
      </w:r>
      <w:r w:rsidR="00D4443E">
        <w:t>r. 2012 vyšší o 212.703</w:t>
      </w:r>
      <w:r w:rsidR="00296FA1" w:rsidRPr="00DC51B9">
        <w:t> </w:t>
      </w:r>
      <w:r w:rsidR="00D4443E">
        <w:t>tis.</w:t>
      </w:r>
      <w:r w:rsidR="00296FA1" w:rsidRPr="00DC51B9">
        <w:t> </w:t>
      </w:r>
      <w:r w:rsidR="00D4443E">
        <w:t>Kč.</w:t>
      </w:r>
    </w:p>
    <w:p w:rsidR="00700BCB" w:rsidRPr="00DC51B9" w:rsidRDefault="00296FA1" w:rsidP="00C16579">
      <w:pPr>
        <w:pStyle w:val="Mjtext"/>
        <w:numPr>
          <w:ilvl w:val="0"/>
          <w:numId w:val="18"/>
        </w:numPr>
      </w:pPr>
      <w:r>
        <w:rPr>
          <w:u w:val="single"/>
        </w:rPr>
        <w:t>Výsledek hospodaření minulých účetních období</w:t>
      </w:r>
      <w:r w:rsidR="00700BCB" w:rsidRPr="00BB6792">
        <w:t xml:space="preserve"> </w:t>
      </w:r>
      <w:r w:rsidR="00700BCB">
        <w:t xml:space="preserve">– na účtu 432 eviduje kraj kumulované výsledky hospodaření (po zdanění) za období </w:t>
      </w:r>
      <w:smartTag w:uri="urn:schemas-microsoft-com:office:smarttags" w:element="metricconverter">
        <w:smartTagPr>
          <w:attr w:name="ProductID" w:val="2010 a"/>
        </w:smartTagPr>
        <w:r w:rsidR="00700BCB">
          <w:t>2010 a</w:t>
        </w:r>
        <w:r w:rsidR="00D4443E">
          <w:t>ž</w:t>
        </w:r>
      </w:smartTag>
      <w:r w:rsidR="00700BCB">
        <w:t xml:space="preserve"> 201</w:t>
      </w:r>
      <w:r w:rsidR="00D4443E">
        <w:t>2</w:t>
      </w:r>
      <w:r w:rsidR="00700BCB">
        <w:t xml:space="preserve"> (tj. za období probíhající účetní reformy). V</w:t>
      </w:r>
      <w:r w:rsidR="001E7BF2">
        <w:t> </w:t>
      </w:r>
      <w:r w:rsidR="00700BCB">
        <w:t>r. 2010 dosáhl kraj výsledku hospodaření ve výši 491.874 tis. Kč, v</w:t>
      </w:r>
      <w:r w:rsidR="001E7BF2">
        <w:t> </w:t>
      </w:r>
      <w:r w:rsidR="00700BCB">
        <w:t>r. 2011 441.907</w:t>
      </w:r>
      <w:r w:rsidR="00FF0A0F" w:rsidRPr="00DC51B9">
        <w:t> </w:t>
      </w:r>
      <w:r w:rsidR="00700BCB">
        <w:t>tis.</w:t>
      </w:r>
      <w:r w:rsidR="00FF0A0F" w:rsidRPr="00DC51B9">
        <w:t> </w:t>
      </w:r>
      <w:r w:rsidR="00700BCB">
        <w:t>Kč.,</w:t>
      </w:r>
      <w:r w:rsidR="00D4443E">
        <w:t xml:space="preserve"> v</w:t>
      </w:r>
      <w:r w:rsidR="001E7BF2">
        <w:t> </w:t>
      </w:r>
      <w:r w:rsidR="00D4443E">
        <w:t>r. 2012 188.810</w:t>
      </w:r>
      <w:r w:rsidR="00FF0A0F" w:rsidRPr="00DC51B9">
        <w:t> </w:t>
      </w:r>
      <w:r w:rsidR="00D4443E">
        <w:t>tis.</w:t>
      </w:r>
      <w:r w:rsidR="00FF0A0F" w:rsidRPr="00DC51B9">
        <w:t> </w:t>
      </w:r>
      <w:r w:rsidR="00D4443E">
        <w:t xml:space="preserve">Kč </w:t>
      </w:r>
      <w:r w:rsidR="001E7BF2">
        <w:t>–</w:t>
      </w:r>
      <w:r w:rsidR="00D4443E">
        <w:t xml:space="preserve"> </w:t>
      </w:r>
      <w:r w:rsidR="00700BCB">
        <w:t>tj.</w:t>
      </w:r>
      <w:r w:rsidR="00B2549B">
        <w:t> </w:t>
      </w:r>
      <w:r w:rsidR="00700BCB">
        <w:t>stav účtu 432 je k</w:t>
      </w:r>
      <w:r w:rsidR="001E7BF2">
        <w:t> </w:t>
      </w:r>
      <w:r w:rsidR="00700BCB">
        <w:t>31.</w:t>
      </w:r>
      <w:r w:rsidR="00FF0A0F" w:rsidRPr="00DC51B9">
        <w:t> </w:t>
      </w:r>
      <w:r w:rsidR="00700BCB">
        <w:t>12.</w:t>
      </w:r>
      <w:r w:rsidR="00FF0A0F" w:rsidRPr="00DC51B9">
        <w:t> </w:t>
      </w:r>
      <w:r w:rsidR="00700BCB">
        <w:t>201</w:t>
      </w:r>
      <w:r w:rsidR="00D4443E">
        <w:t>3</w:t>
      </w:r>
      <w:r w:rsidR="00700BCB">
        <w:t xml:space="preserve"> ve výši </w:t>
      </w:r>
      <w:r w:rsidR="00D4443E">
        <w:t>1.122.591</w:t>
      </w:r>
      <w:r w:rsidR="00FF0A0F" w:rsidRPr="00DC51B9">
        <w:t> </w:t>
      </w:r>
      <w:r w:rsidR="00700BCB">
        <w:t>tis.</w:t>
      </w:r>
      <w:r w:rsidR="00FF0A0F" w:rsidRPr="00DC51B9">
        <w:t> </w:t>
      </w:r>
      <w:r w:rsidR="00700BCB">
        <w:t xml:space="preserve">Kč. </w:t>
      </w:r>
      <w:r w:rsidR="00D4443E">
        <w:t>Na </w:t>
      </w:r>
      <w:r w:rsidR="00700BCB" w:rsidRPr="00DC51B9">
        <w:t>výsledcích hospodaření v</w:t>
      </w:r>
      <w:r w:rsidR="001E7BF2">
        <w:t> </w:t>
      </w:r>
      <w:r w:rsidR="00700BCB" w:rsidRPr="00DC51B9">
        <w:t xml:space="preserve">jednotlivých letech </w:t>
      </w:r>
      <w:r w:rsidR="005965A8" w:rsidRPr="00DC51B9">
        <w:t xml:space="preserve">se </w:t>
      </w:r>
      <w:r w:rsidR="00700BCB" w:rsidRPr="00DC51B9">
        <w:t xml:space="preserve">kromě výše nákladů a výnosů </w:t>
      </w:r>
      <w:r w:rsidR="005965A8" w:rsidRPr="00DC51B9">
        <w:t xml:space="preserve">podílely </w:t>
      </w:r>
      <w:r w:rsidR="00700BCB" w:rsidRPr="00DC51B9">
        <w:t xml:space="preserve">také </w:t>
      </w:r>
      <w:r w:rsidR="00700BCB" w:rsidRPr="00DC51B9">
        <w:lastRenderedPageBreak/>
        <w:t xml:space="preserve">změny účetních metod a postupů, takže hospodářské výsledky jsou </w:t>
      </w:r>
      <w:r w:rsidR="00D4443E">
        <w:t>v</w:t>
      </w:r>
      <w:r w:rsidR="001E7BF2">
        <w:t> </w:t>
      </w:r>
      <w:r w:rsidR="00D4443E">
        <w:t xml:space="preserve">jednotlivých letech obtížně </w:t>
      </w:r>
      <w:r w:rsidR="00CB74A3" w:rsidRPr="00DC51B9">
        <w:t>srovnatelné</w:t>
      </w:r>
      <w:r w:rsidR="00700BCB" w:rsidRPr="00DC51B9">
        <w:t>.</w:t>
      </w:r>
    </w:p>
    <w:p w:rsidR="00700BCB" w:rsidRDefault="00347D42" w:rsidP="00CD11C6">
      <w:pPr>
        <w:pStyle w:val="Nadpis3"/>
      </w:pPr>
      <w:bookmarkStart w:id="22" w:name="_Toc388005071"/>
      <w:r w:rsidRPr="00332F1E">
        <w:t>Cizí zdroje</w:t>
      </w:r>
      <w:bookmarkEnd w:id="22"/>
    </w:p>
    <w:p w:rsidR="00406EB0" w:rsidRDefault="00347D42" w:rsidP="00347D42">
      <w:pPr>
        <w:pStyle w:val="Mjtext"/>
        <w:rPr>
          <w:szCs w:val="20"/>
        </w:rPr>
      </w:pPr>
      <w:r>
        <w:rPr>
          <w:u w:val="single"/>
        </w:rPr>
        <w:t>Cizí zdroje</w:t>
      </w:r>
      <w:r>
        <w:t xml:space="preserve"> obsahují rezervy (kraj na tomto účtu dosud neúčtoval), dlouhodobé závazky (splatnost je delší než 1 rok) a krátkodobé závazky (splatnost do 1 roku). Mezi krátkodobé závazky se řadí také účty časového rozlišení. K</w:t>
      </w:r>
      <w:r w:rsidR="001E7BF2">
        <w:t> </w:t>
      </w:r>
      <w:r>
        <w:t xml:space="preserve">jednotlivým položkám se korekce nevytváří, a proto jsou cizí zdroje </w:t>
      </w:r>
      <w:r w:rsidR="00B76C3C">
        <w:t xml:space="preserve">vykázány </w:t>
      </w:r>
      <w:r>
        <w:t>v</w:t>
      </w:r>
      <w:r w:rsidR="001E7BF2">
        <w:t> </w:t>
      </w:r>
      <w:r>
        <w:t xml:space="preserve">rozvaze jen ve dvou sloupcích – za běžné období a minulé </w:t>
      </w:r>
      <w:r w:rsidRPr="002C14AA">
        <w:t>období</w:t>
      </w:r>
      <w:r w:rsidR="00374310" w:rsidRPr="002C14AA">
        <w:t xml:space="preserve">. </w:t>
      </w:r>
      <w:r w:rsidR="00F76C89" w:rsidRPr="002C14AA">
        <w:rPr>
          <w:szCs w:val="20"/>
        </w:rPr>
        <w:t>V</w:t>
      </w:r>
      <w:r w:rsidR="001E7BF2">
        <w:rPr>
          <w:szCs w:val="20"/>
        </w:rPr>
        <w:t> </w:t>
      </w:r>
      <w:r w:rsidR="00F76C89" w:rsidRPr="002C14AA">
        <w:rPr>
          <w:szCs w:val="20"/>
        </w:rPr>
        <w:t>tabulce 1.5 jsou uvedeny</w:t>
      </w:r>
      <w:r w:rsidR="00F76C89">
        <w:rPr>
          <w:szCs w:val="20"/>
        </w:rPr>
        <w:t xml:space="preserve"> údaje z</w:t>
      </w:r>
      <w:r w:rsidR="001E7BF2">
        <w:rPr>
          <w:szCs w:val="20"/>
        </w:rPr>
        <w:t> </w:t>
      </w:r>
      <w:r w:rsidR="00F76C89">
        <w:rPr>
          <w:szCs w:val="20"/>
        </w:rPr>
        <w:t xml:space="preserve">rozvahy </w:t>
      </w:r>
      <w:r w:rsidR="00CB74A3">
        <w:rPr>
          <w:szCs w:val="20"/>
        </w:rPr>
        <w:t>v</w:t>
      </w:r>
      <w:r w:rsidR="001E7BF2">
        <w:rPr>
          <w:szCs w:val="20"/>
        </w:rPr>
        <w:t> </w:t>
      </w:r>
      <w:r w:rsidR="00CB74A3">
        <w:rPr>
          <w:szCs w:val="20"/>
        </w:rPr>
        <w:t>tis.</w:t>
      </w:r>
      <w:r w:rsidR="00AE6C41" w:rsidRPr="00EA19CD">
        <w:rPr>
          <w:szCs w:val="20"/>
        </w:rPr>
        <w:t> </w:t>
      </w:r>
      <w:r w:rsidR="00CB74A3">
        <w:rPr>
          <w:szCs w:val="20"/>
        </w:rPr>
        <w:t xml:space="preserve">Kč </w:t>
      </w:r>
      <w:r w:rsidR="00F76C89">
        <w:rPr>
          <w:szCs w:val="20"/>
        </w:rPr>
        <w:t>s</w:t>
      </w:r>
      <w:r w:rsidR="001E7BF2">
        <w:rPr>
          <w:szCs w:val="20"/>
        </w:rPr>
        <w:t> </w:t>
      </w:r>
      <w:r w:rsidR="00F76C89">
        <w:rPr>
          <w:szCs w:val="20"/>
        </w:rPr>
        <w:t xml:space="preserve">vyčíslením rozdílů u jednotlivých položek </w:t>
      </w:r>
      <w:r w:rsidR="00CB74A3">
        <w:rPr>
          <w:szCs w:val="20"/>
        </w:rPr>
        <w:t xml:space="preserve">cizích zdrojů </w:t>
      </w:r>
      <w:r w:rsidR="00F76C89">
        <w:rPr>
          <w:szCs w:val="20"/>
        </w:rPr>
        <w:t>za období 201</w:t>
      </w:r>
      <w:r w:rsidR="00B76C3C">
        <w:rPr>
          <w:szCs w:val="20"/>
        </w:rPr>
        <w:t>3</w:t>
      </w:r>
      <w:r w:rsidR="00F76C89">
        <w:rPr>
          <w:szCs w:val="20"/>
        </w:rPr>
        <w:t xml:space="preserve"> a 201</w:t>
      </w:r>
      <w:r w:rsidR="00B76C3C">
        <w:rPr>
          <w:szCs w:val="20"/>
        </w:rPr>
        <w:t>2</w:t>
      </w:r>
      <w:r w:rsidR="00F76C89">
        <w:rPr>
          <w:szCs w:val="20"/>
        </w:rPr>
        <w:t>.</w:t>
      </w:r>
    </w:p>
    <w:p w:rsidR="005965A8" w:rsidRDefault="005965A8">
      <w:pPr>
        <w:rPr>
          <w:rFonts w:ascii="Tahoma" w:hAnsi="Tahoma" w:cs="Tahoma"/>
          <w:sz w:val="20"/>
          <w:szCs w:val="20"/>
        </w:rPr>
      </w:pPr>
    </w:p>
    <w:p w:rsidR="00347D42" w:rsidRPr="007370DC" w:rsidRDefault="00347D42" w:rsidP="00D949DA">
      <w:pPr>
        <w:pStyle w:val="Styltab"/>
        <w:rPr>
          <w:rFonts w:ascii="Arial" w:hAnsi="Arial" w:cs="Arial"/>
        </w:rPr>
      </w:pPr>
      <w:r w:rsidRPr="0005595A">
        <w:t>Cizí zdroje</w:t>
      </w:r>
      <w:r>
        <w:t xml:space="preserve"> </w:t>
      </w:r>
      <w:r w:rsidRPr="007370DC">
        <w:t>k</w:t>
      </w:r>
      <w:r w:rsidR="001E7BF2">
        <w:t> </w:t>
      </w:r>
      <w:r w:rsidRPr="007370DC">
        <w:t xml:space="preserve">31. 12. </w:t>
      </w:r>
      <w:r w:rsidRPr="003B0018">
        <w:t>201</w:t>
      </w:r>
      <w:r w:rsidR="00790661">
        <w:t>3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1309"/>
        <w:gridCol w:w="1309"/>
        <w:gridCol w:w="1218"/>
      </w:tblGrid>
      <w:tr w:rsidR="00347D42" w:rsidRPr="003C4183" w:rsidTr="00FA48C7">
        <w:trPr>
          <w:trHeight w:val="52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7D42" w:rsidRPr="003C4183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C515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(2013)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(2012)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  </w:t>
            </w:r>
            <w:r w:rsidR="00FA48C7"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(2013-2012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481A53" w:rsidRPr="003C4183" w:rsidTr="00FA48C7">
        <w:trPr>
          <w:trHeight w:val="51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5 477 228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4 997 921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479 307</w:t>
            </w:r>
          </w:p>
        </w:tc>
      </w:tr>
      <w:tr w:rsidR="00481A53" w:rsidRPr="003C4183" w:rsidTr="00FA48C7">
        <w:trPr>
          <w:trHeight w:val="27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81A53" w:rsidRPr="003C4183" w:rsidTr="00FA48C7">
        <w:trPr>
          <w:trHeight w:val="25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4 430 715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3 752 436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678 279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451-dlouhodobé úvěry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2 187 179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1 804 295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382 884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452-přijaté návratné finanční výpomoci dlouhodobé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-1 423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459-ostatní dlouhodobé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445 176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533 184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-88 008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472-dlouhodobé přijaté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1 798 360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1 413 534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384 826</w:t>
            </w:r>
          </w:p>
        </w:tc>
      </w:tr>
      <w:tr w:rsidR="00481A53" w:rsidRPr="003C4183" w:rsidTr="00FA48C7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1 046 513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1 245 485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-198 972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321-dodavatelé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157 587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396 868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-239 281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324-krátkodobé přijaté zálohy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-446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331-zaměstnanci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333-jiné závazky vůči zaměstnancům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393</w:t>
            </w:r>
          </w:p>
        </w:tc>
      </w:tr>
      <w:tr w:rsidR="00481A53" w:rsidRPr="003C4183" w:rsidTr="00FA48C7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336-zúčtování s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institucemi sociálního zabezpečení a zdravotního pojištění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460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342-jiné přímé daně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343-daň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4 892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DF56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344-</w:t>
            </w:r>
            <w:r w:rsidR="00DF56C4"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z w:val="16"/>
                <w:szCs w:val="16"/>
              </w:rPr>
              <w:t>iné daně a poplatky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345-závazky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osobám mimo vybrané vládní instituce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42 048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347-závazky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ústředním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2 980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349-závazky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místním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3 070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3C4183">
              <w:rPr>
                <w:rFonts w:ascii="Tahoma" w:hAnsi="Tahoma" w:cs="Tahoma"/>
                <w:sz w:val="16"/>
                <w:szCs w:val="16"/>
              </w:rPr>
              <w:t>-závazky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účastníkům sdružení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2 500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363-pevné termínové operace a opce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1 782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374-krátkodobé př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3C4183">
              <w:rPr>
                <w:rFonts w:ascii="Tahoma" w:hAnsi="Tahoma" w:cs="Tahoma"/>
                <w:sz w:val="16"/>
                <w:szCs w:val="16"/>
              </w:rPr>
              <w:t>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233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383-výdaje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-4 286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384-výnosy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618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389-dohadné účty pasivní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767 457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793 940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-26 483</w:t>
            </w:r>
          </w:p>
        </w:tc>
      </w:tr>
      <w:tr w:rsidR="00481A53" w:rsidRPr="003C4183" w:rsidTr="00FA48C7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81A53" w:rsidRPr="003C4183" w:rsidRDefault="00481A53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378-ostatní 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53" w:rsidRDefault="00481A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12 369</w:t>
            </w:r>
          </w:p>
        </w:tc>
      </w:tr>
    </w:tbl>
    <w:p w:rsidR="00347D42" w:rsidRDefault="00347D42" w:rsidP="00FD15C6">
      <w:pPr>
        <w:pStyle w:val="Mjtext"/>
        <w:tabs>
          <w:tab w:val="left" w:pos="5220"/>
        </w:tabs>
        <w:spacing w:before="240"/>
      </w:pPr>
      <w:r w:rsidRPr="00FA58DC">
        <w:rPr>
          <w:u w:val="single"/>
        </w:rPr>
        <w:t>Dlouhodobé závazky</w:t>
      </w:r>
      <w:r>
        <w:t xml:space="preserve"> obsahují zejména přijaté úvěry, návratné finanční výpomoci, přijaté dlouhodobé zálohy na transfery a ostatní dlouhodobé závazky. Žádné dlouhodobé závazky nejsou po době splatnosti.</w:t>
      </w:r>
      <w:r w:rsidR="00AE3AE5">
        <w:t xml:space="preserve"> Oproti r. 2012 došlo k nárůstu dlouhodobých závazků o 678.279</w:t>
      </w:r>
      <w:r w:rsidR="00AE3AE5" w:rsidRPr="00EA19CD">
        <w:rPr>
          <w:szCs w:val="20"/>
        </w:rPr>
        <w:t> </w:t>
      </w:r>
      <w:r w:rsidR="00AE3AE5">
        <w:t>tis.</w:t>
      </w:r>
      <w:r w:rsidR="00AE3AE5" w:rsidRPr="00EA19CD">
        <w:rPr>
          <w:szCs w:val="20"/>
        </w:rPr>
        <w:t> </w:t>
      </w:r>
      <w:r w:rsidR="00AE3AE5">
        <w:t>Kč a jejich výše představuje částku 4.430.715</w:t>
      </w:r>
      <w:r w:rsidR="00AE3AE5" w:rsidRPr="00EA19CD">
        <w:rPr>
          <w:szCs w:val="20"/>
        </w:rPr>
        <w:t> </w:t>
      </w:r>
      <w:r w:rsidR="00AE3AE5">
        <w:rPr>
          <w:szCs w:val="20"/>
        </w:rPr>
        <w:t>tis.</w:t>
      </w:r>
      <w:r w:rsidR="00AE3AE5" w:rsidRPr="00EA19CD">
        <w:rPr>
          <w:szCs w:val="20"/>
        </w:rPr>
        <w:t> </w:t>
      </w:r>
      <w:r w:rsidR="00AE3AE5">
        <w:rPr>
          <w:szCs w:val="20"/>
        </w:rPr>
        <w:t>Kč.</w:t>
      </w:r>
    </w:p>
    <w:p w:rsidR="00347D42" w:rsidRDefault="00347D42" w:rsidP="00C16579">
      <w:pPr>
        <w:pStyle w:val="Mjtext"/>
        <w:numPr>
          <w:ilvl w:val="0"/>
          <w:numId w:val="19"/>
        </w:numPr>
        <w:tabs>
          <w:tab w:val="left" w:pos="5220"/>
        </w:tabs>
      </w:pPr>
      <w:r w:rsidRPr="00FA58DC">
        <w:rPr>
          <w:u w:val="single"/>
        </w:rPr>
        <w:t>Dlouhodobé úvěry</w:t>
      </w:r>
      <w:r>
        <w:t xml:space="preserve"> – na účtu 451 eviduje kraj dva dlouhodobé úvěry od EIB v</w:t>
      </w:r>
      <w:r w:rsidR="001E7BF2">
        <w:t> </w:t>
      </w:r>
      <w:r>
        <w:t>celkové výši 1.</w:t>
      </w:r>
      <w:r w:rsidR="00B76C3C">
        <w:t>866</w:t>
      </w:r>
      <w:r>
        <w:t>.000</w:t>
      </w:r>
      <w:r w:rsidR="00AE6C41" w:rsidRPr="00EA19CD">
        <w:rPr>
          <w:szCs w:val="20"/>
        </w:rPr>
        <w:t> </w:t>
      </w:r>
      <w:r w:rsidR="00CA1E6A">
        <w:t>tis.</w:t>
      </w:r>
      <w:r w:rsidR="00AE6C41" w:rsidRPr="00EA19CD">
        <w:rPr>
          <w:szCs w:val="20"/>
        </w:rPr>
        <w:t> </w:t>
      </w:r>
      <w:r>
        <w:t xml:space="preserve">Kč a dále úvěr od ČSOB, a.s. ve výši </w:t>
      </w:r>
      <w:r w:rsidR="00B76C3C">
        <w:t>321.179</w:t>
      </w:r>
      <w:r w:rsidR="00AE6C41" w:rsidRPr="00EA19CD">
        <w:rPr>
          <w:szCs w:val="20"/>
        </w:rPr>
        <w:t> </w:t>
      </w:r>
      <w:r>
        <w:t>tis.</w:t>
      </w:r>
      <w:r w:rsidR="00AE6C41" w:rsidRPr="00EA19CD">
        <w:rPr>
          <w:szCs w:val="20"/>
        </w:rPr>
        <w:t> </w:t>
      </w:r>
      <w:r>
        <w:t xml:space="preserve">Kč – celková výše úvěrového zatížení je </w:t>
      </w:r>
      <w:r w:rsidR="00B76C3C">
        <w:t>2.187.179</w:t>
      </w:r>
      <w:r>
        <w:t> tis.</w:t>
      </w:r>
      <w:r w:rsidR="00AE3AE5" w:rsidRPr="00EA19CD">
        <w:rPr>
          <w:szCs w:val="20"/>
        </w:rPr>
        <w:t> </w:t>
      </w:r>
      <w:r>
        <w:t>Kč (výše nesplacených úvěrů). První úvěr od EIB byl poskytnut na</w:t>
      </w:r>
      <w:r w:rsidR="00B2549B">
        <w:t> </w:t>
      </w:r>
      <w:r>
        <w:t>financování infrastruktury v</w:t>
      </w:r>
      <w:r w:rsidR="001E7BF2">
        <w:t> </w:t>
      </w:r>
      <w:r>
        <w:t>Moravskoslezském kraji</w:t>
      </w:r>
      <w:r w:rsidR="00F76C89">
        <w:t>,</w:t>
      </w:r>
      <w:r>
        <w:t xml:space="preserve"> </w:t>
      </w:r>
      <w:r w:rsidR="00CA1E6A">
        <w:t>s</w:t>
      </w:r>
      <w:r w:rsidR="00F76C89">
        <w:t xml:space="preserve">platnost </w:t>
      </w:r>
      <w:r>
        <w:t>zůstatk</w:t>
      </w:r>
      <w:r w:rsidR="00F76C89">
        <w:t>u</w:t>
      </w:r>
      <w:r>
        <w:t xml:space="preserve"> úvěru ve výši </w:t>
      </w:r>
      <w:r w:rsidR="00B76C3C">
        <w:t>550</w:t>
      </w:r>
      <w:r>
        <w:t>.000</w:t>
      </w:r>
      <w:r w:rsidR="00CA1E6A">
        <w:t> tis. </w:t>
      </w:r>
      <w:r>
        <w:t xml:space="preserve">Kč </w:t>
      </w:r>
      <w:r w:rsidR="00F76C89">
        <w:t>je do</w:t>
      </w:r>
      <w:r>
        <w:t> r. 2018, druhý úvěr od EIB byl poskytnut</w:t>
      </w:r>
      <w:r w:rsidR="00406EB0">
        <w:t xml:space="preserve"> zejména </w:t>
      </w:r>
      <w:r>
        <w:t>na úhradu vlastního podílu u</w:t>
      </w:r>
      <w:r w:rsidR="00AE3AE5" w:rsidRPr="00EA19CD">
        <w:rPr>
          <w:szCs w:val="20"/>
        </w:rPr>
        <w:t> </w:t>
      </w:r>
      <w:r w:rsidR="00AE3AE5">
        <w:t>a</w:t>
      </w:r>
      <w:r>
        <w:t>kcí spolufinancovaných z</w:t>
      </w:r>
      <w:r w:rsidR="001E7BF2">
        <w:t> </w:t>
      </w:r>
      <w:r>
        <w:t xml:space="preserve">EU, </w:t>
      </w:r>
      <w:r w:rsidR="00406EB0">
        <w:t>splatnost dosud načerpaných tranší</w:t>
      </w:r>
      <w:r>
        <w:t xml:space="preserve"> ve výši </w:t>
      </w:r>
      <w:r w:rsidR="00B76C3C">
        <w:t>1.316.000</w:t>
      </w:r>
      <w:r w:rsidR="00AE3AE5" w:rsidRPr="00EA19CD">
        <w:rPr>
          <w:szCs w:val="20"/>
        </w:rPr>
        <w:t> </w:t>
      </w:r>
      <w:r>
        <w:t>tis.</w:t>
      </w:r>
      <w:r w:rsidR="00AE3AE5" w:rsidRPr="00EA19CD">
        <w:rPr>
          <w:szCs w:val="20"/>
        </w:rPr>
        <w:t> </w:t>
      </w:r>
      <w:r>
        <w:t xml:space="preserve">Kč </w:t>
      </w:r>
      <w:r w:rsidR="00406EB0">
        <w:t xml:space="preserve">je stanovena </w:t>
      </w:r>
      <w:r>
        <w:t>do r. 2025. Úvěr od</w:t>
      </w:r>
      <w:r w:rsidR="00406EB0">
        <w:t> </w:t>
      </w:r>
      <w:r>
        <w:t>ČSOB, a.s. byl poskytnut na předfinancování výdajů u projektů spolufinancovaných EU a</w:t>
      </w:r>
      <w:r w:rsidR="00406EB0">
        <w:t> </w:t>
      </w:r>
      <w:r>
        <w:t xml:space="preserve">event. vlastního podílu kraje, zůstatek úvěru má splatnost </w:t>
      </w:r>
      <w:r w:rsidR="00AE3AE5">
        <w:t>do</w:t>
      </w:r>
      <w:r w:rsidR="001E7BF2">
        <w:t> </w:t>
      </w:r>
      <w:r>
        <w:t>r.</w:t>
      </w:r>
      <w:r w:rsidR="00AE3AE5" w:rsidRPr="00EA19CD">
        <w:rPr>
          <w:szCs w:val="20"/>
        </w:rPr>
        <w:t> </w:t>
      </w:r>
      <w:r>
        <w:t xml:space="preserve">2015. </w:t>
      </w:r>
      <w:r>
        <w:lastRenderedPageBreak/>
        <w:t>Nárůst úvěrů oproti r. 201</w:t>
      </w:r>
      <w:r w:rsidR="00B76C3C">
        <w:t>2</w:t>
      </w:r>
      <w:r>
        <w:t xml:space="preserve"> byl způsoben</w:t>
      </w:r>
      <w:r w:rsidR="00406EB0">
        <w:t xml:space="preserve"> zejména</w:t>
      </w:r>
      <w:r>
        <w:t xml:space="preserve"> přijetím dalš</w:t>
      </w:r>
      <w:r w:rsidR="00406EB0">
        <w:t>í tranše</w:t>
      </w:r>
      <w:r>
        <w:t xml:space="preserve"> úvěr</w:t>
      </w:r>
      <w:r w:rsidR="00406EB0">
        <w:t>u</w:t>
      </w:r>
      <w:r>
        <w:t xml:space="preserve"> od EIB</w:t>
      </w:r>
      <w:r w:rsidR="00CB74A3">
        <w:t xml:space="preserve"> (</w:t>
      </w:r>
      <w:r w:rsidR="00406EB0">
        <w:t xml:space="preserve">celkový </w:t>
      </w:r>
      <w:r w:rsidR="00CB74A3">
        <w:t xml:space="preserve">nárůst </w:t>
      </w:r>
      <w:r w:rsidR="00AE3AE5">
        <w:t xml:space="preserve">je </w:t>
      </w:r>
      <w:r w:rsidR="00CB74A3">
        <w:t xml:space="preserve">o </w:t>
      </w:r>
      <w:r w:rsidR="00B76C3C">
        <w:t>382.884</w:t>
      </w:r>
      <w:r w:rsidR="00AE3AE5" w:rsidRPr="00EA19CD">
        <w:rPr>
          <w:szCs w:val="20"/>
        </w:rPr>
        <w:t> </w:t>
      </w:r>
      <w:r w:rsidR="00CB74A3">
        <w:t>tis.</w:t>
      </w:r>
      <w:r w:rsidR="00AE3AE5" w:rsidRPr="00EA19CD">
        <w:rPr>
          <w:szCs w:val="20"/>
        </w:rPr>
        <w:t> </w:t>
      </w:r>
      <w:r w:rsidR="00CB74A3">
        <w:t>Kč)</w:t>
      </w:r>
      <w:r>
        <w:t xml:space="preserve">. </w:t>
      </w:r>
    </w:p>
    <w:p w:rsidR="00347D42" w:rsidRPr="00DC51B9" w:rsidRDefault="00347D42" w:rsidP="00C16579">
      <w:pPr>
        <w:pStyle w:val="Mjtext"/>
        <w:numPr>
          <w:ilvl w:val="0"/>
          <w:numId w:val="19"/>
        </w:numPr>
        <w:tabs>
          <w:tab w:val="left" w:pos="5220"/>
        </w:tabs>
      </w:pPr>
      <w:r w:rsidRPr="00CA0D0F">
        <w:rPr>
          <w:u w:val="single"/>
        </w:rPr>
        <w:t>Přijaté návratné finanční výpomoci</w:t>
      </w:r>
      <w:r>
        <w:rPr>
          <w:u w:val="single"/>
        </w:rPr>
        <w:t xml:space="preserve"> dlouhodobé</w:t>
      </w:r>
      <w:r w:rsidRPr="00DC51B9">
        <w:t xml:space="preserve"> </w:t>
      </w:r>
      <w:r>
        <w:t>– na účtu 452 evid</w:t>
      </w:r>
      <w:r w:rsidR="00B76C3C">
        <w:t>oval</w:t>
      </w:r>
      <w:r>
        <w:t xml:space="preserve"> kraj </w:t>
      </w:r>
      <w:r w:rsidR="00B76C3C">
        <w:t>v</w:t>
      </w:r>
      <w:r w:rsidR="001E7BF2">
        <w:t> </w:t>
      </w:r>
      <w:r w:rsidR="00B76C3C">
        <w:t xml:space="preserve">r. 2012 </w:t>
      </w:r>
      <w:r>
        <w:t>dlouhodobou návratnou finanční výpomoc od Státního fondu dopravní infrastruktury</w:t>
      </w:r>
      <w:r w:rsidR="00DC51B9">
        <w:t xml:space="preserve"> (SFDI), která </w:t>
      </w:r>
      <w:r>
        <w:t>byla poskytnuta na</w:t>
      </w:r>
      <w:r w:rsidR="00B2549B">
        <w:t> </w:t>
      </w:r>
      <w:r>
        <w:t>předfinancování výstavby, modernizac</w:t>
      </w:r>
      <w:r w:rsidR="00DC51B9">
        <w:t>i</w:t>
      </w:r>
      <w:r>
        <w:t xml:space="preserve"> a oprav</w:t>
      </w:r>
      <w:r w:rsidR="00D43B83">
        <w:t>y</w:t>
      </w:r>
      <w:r>
        <w:t xml:space="preserve"> silnic</w:t>
      </w:r>
      <w:r w:rsidR="00DC51B9">
        <w:t>. Z</w:t>
      </w:r>
      <w:r>
        <w:t>ůstatek této finanční výpomoci ve výši 1.423</w:t>
      </w:r>
      <w:r w:rsidR="00AE3AE5" w:rsidRPr="00EA19CD">
        <w:rPr>
          <w:szCs w:val="20"/>
        </w:rPr>
        <w:t> </w:t>
      </w:r>
      <w:r>
        <w:t>tis.</w:t>
      </w:r>
      <w:r w:rsidR="00AE3AE5" w:rsidRPr="00EA19CD">
        <w:rPr>
          <w:szCs w:val="20"/>
        </w:rPr>
        <w:t> </w:t>
      </w:r>
      <w:r>
        <w:t xml:space="preserve">Kč </w:t>
      </w:r>
      <w:r w:rsidR="00B76C3C">
        <w:t>byl</w:t>
      </w:r>
      <w:r>
        <w:t xml:space="preserve"> splacen v</w:t>
      </w:r>
      <w:r w:rsidR="001E7BF2">
        <w:t> </w:t>
      </w:r>
      <w:r>
        <w:t xml:space="preserve">r. </w:t>
      </w:r>
      <w:r w:rsidRPr="00DC51B9">
        <w:t>2013</w:t>
      </w:r>
      <w:r w:rsidR="00B76C3C">
        <w:t>, proto zůstatek účtu vykazuje nulový stav.</w:t>
      </w:r>
    </w:p>
    <w:p w:rsidR="00347D42" w:rsidRDefault="00347D42" w:rsidP="00C16579">
      <w:pPr>
        <w:pStyle w:val="Mjtext"/>
        <w:numPr>
          <w:ilvl w:val="0"/>
          <w:numId w:val="19"/>
        </w:numPr>
        <w:tabs>
          <w:tab w:val="left" w:pos="5220"/>
        </w:tabs>
      </w:pPr>
      <w:r>
        <w:rPr>
          <w:u w:val="single"/>
        </w:rPr>
        <w:t>Ostatní dlouhodobé závazky</w:t>
      </w:r>
      <w:r w:rsidRPr="00DC51B9">
        <w:t xml:space="preserve"> </w:t>
      </w:r>
      <w:r>
        <w:t>– na účtu 459 eviduje kraj dlouhodobé závazky v</w:t>
      </w:r>
      <w:r w:rsidR="001E7BF2">
        <w:t> </w:t>
      </w:r>
      <w:r>
        <w:t xml:space="preserve">celkovém objemu </w:t>
      </w:r>
      <w:r w:rsidR="00A579F9">
        <w:t>445.176</w:t>
      </w:r>
      <w:r w:rsidR="00AE3AE5" w:rsidRPr="00EA19CD">
        <w:rPr>
          <w:szCs w:val="20"/>
        </w:rPr>
        <w:t> </w:t>
      </w:r>
      <w:r>
        <w:t>tis.</w:t>
      </w:r>
      <w:r w:rsidR="00AE3AE5" w:rsidRPr="00EA19CD">
        <w:rPr>
          <w:szCs w:val="20"/>
        </w:rPr>
        <w:t> </w:t>
      </w:r>
      <w:r>
        <w:t>Kč. Jedná se zejména o závazky, které vznikly z</w:t>
      </w:r>
      <w:r w:rsidR="001E7BF2">
        <w:t> </w:t>
      </w:r>
      <w:r>
        <w:t xml:space="preserve">pořízení dlouhodobého majetku (celkem </w:t>
      </w:r>
      <w:r w:rsidR="00A579F9">
        <w:t>179.918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Kč, z</w:t>
      </w:r>
      <w:r w:rsidR="001E7BF2">
        <w:t> </w:t>
      </w:r>
      <w:r>
        <w:t>toho v</w:t>
      </w:r>
      <w:r w:rsidR="001E7BF2">
        <w:t> </w:t>
      </w:r>
      <w:r>
        <w:t xml:space="preserve">oblasti energetických úspor </w:t>
      </w:r>
      <w:r w:rsidR="00A579F9">
        <w:t>158.135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</w:t>
      </w:r>
      <w:r w:rsidR="00F91DDB">
        <w:t xml:space="preserve"> </w:t>
      </w:r>
      <w:r w:rsidR="001E7BF2">
        <w:t>–</w:t>
      </w:r>
      <w:r>
        <w:t xml:space="preserve"> splatnost je do</w:t>
      </w:r>
      <w:r w:rsidR="00B2549B">
        <w:t> </w:t>
      </w:r>
      <w:r>
        <w:t>r.</w:t>
      </w:r>
      <w:r w:rsidR="00F91DDB">
        <w:t> </w:t>
      </w:r>
      <w:r w:rsidR="00DC51B9">
        <w:t>2022)</w:t>
      </w:r>
      <w:r w:rsidR="001C5ACB">
        <w:t>,</w:t>
      </w:r>
      <w:r>
        <w:t xml:space="preserve"> dále je zde evidován závazek z</w:t>
      </w:r>
      <w:r w:rsidR="001E7BF2">
        <w:t> </w:t>
      </w:r>
      <w:r>
        <w:t xml:space="preserve">pronájmu Nemocnice Nový Jičín ve výši </w:t>
      </w:r>
      <w:r w:rsidR="00A579F9">
        <w:t>265.258</w:t>
      </w:r>
      <w:r>
        <w:t> tis. Kč (splatnost závazku je podle splátkového kalendáře do r. 2032). Oproti r. 201</w:t>
      </w:r>
      <w:r w:rsidR="00A579F9">
        <w:t>2</w:t>
      </w:r>
      <w:r>
        <w:t xml:space="preserve"> se objem dlouhodobých závazků </w:t>
      </w:r>
      <w:r w:rsidR="00A579F9">
        <w:t>snížil o 88.008</w:t>
      </w:r>
      <w:r w:rsidR="00FF0A0F" w:rsidRPr="00DC51B9">
        <w:t> </w:t>
      </w:r>
      <w:r>
        <w:t>tis.</w:t>
      </w:r>
      <w:r w:rsidR="00FF0A0F" w:rsidRPr="00DC51B9">
        <w:t> </w:t>
      </w:r>
      <w:r>
        <w:t>Kč, a to především z</w:t>
      </w:r>
      <w:r w:rsidR="001E7BF2">
        <w:t> </w:t>
      </w:r>
      <w:r>
        <w:t xml:space="preserve">důvodu </w:t>
      </w:r>
      <w:r w:rsidR="00A579F9">
        <w:t>úhrady</w:t>
      </w:r>
      <w:r>
        <w:t xml:space="preserve"> závazků z</w:t>
      </w:r>
      <w:r w:rsidR="001E7BF2">
        <w:t> </w:t>
      </w:r>
      <w:r>
        <w:t xml:space="preserve">pronájmu </w:t>
      </w:r>
      <w:r w:rsidR="00F91DDB">
        <w:t>N</w:t>
      </w:r>
      <w:r>
        <w:t xml:space="preserve">emocnice Nový Jičín a </w:t>
      </w:r>
      <w:r w:rsidR="00FF0A0F">
        <w:t>závazk</w:t>
      </w:r>
      <w:r w:rsidR="00530011">
        <w:t>ů</w:t>
      </w:r>
      <w:r w:rsidR="00FF0A0F">
        <w:t xml:space="preserve"> </w:t>
      </w:r>
      <w:r>
        <w:t>v</w:t>
      </w:r>
      <w:r w:rsidR="001E7BF2">
        <w:t> </w:t>
      </w:r>
      <w:r>
        <w:t>oblasti energetických úspor</w:t>
      </w:r>
      <w:r w:rsidR="00FF0A0F">
        <w:t>.</w:t>
      </w:r>
    </w:p>
    <w:p w:rsidR="00347D42" w:rsidRPr="00435464" w:rsidRDefault="00347D42" w:rsidP="00C16579">
      <w:pPr>
        <w:pStyle w:val="Mjtext"/>
        <w:numPr>
          <w:ilvl w:val="0"/>
          <w:numId w:val="19"/>
        </w:numPr>
        <w:rPr>
          <w:u w:val="single"/>
        </w:rPr>
      </w:pPr>
      <w:r w:rsidRPr="00307285">
        <w:rPr>
          <w:u w:val="single"/>
        </w:rPr>
        <w:t>Dlouhodobé přijaté zálohy na transfery</w:t>
      </w:r>
      <w:r w:rsidRPr="001C5ACB">
        <w:t xml:space="preserve"> </w:t>
      </w:r>
      <w:r w:rsidRPr="00307285">
        <w:t xml:space="preserve">– na </w:t>
      </w:r>
      <w:r>
        <w:t xml:space="preserve">účtu 472 eviduje kraj </w:t>
      </w:r>
      <w:r w:rsidR="00A579F9">
        <w:t xml:space="preserve">zejména </w:t>
      </w:r>
      <w:r>
        <w:t xml:space="preserve">přijaté dlouhodobé zálohy na neinvestiční transfery (investiční transfery se poskytují většinou ex-post). Jedná se </w:t>
      </w:r>
      <w:r w:rsidR="00A579F9">
        <w:t xml:space="preserve">převážně </w:t>
      </w:r>
      <w:r>
        <w:t>o zálohy poskytnuté v</w:t>
      </w:r>
      <w:r w:rsidR="001E7BF2">
        <w:t> </w:t>
      </w:r>
      <w:r>
        <w:t xml:space="preserve">oblasti globálních grantů, jejichž poskytovatelem je Ministerstvo školství, mládeže a tělovýchovy </w:t>
      </w:r>
      <w:r w:rsidR="00F91DDB">
        <w:t xml:space="preserve">(MŠMT) </w:t>
      </w:r>
      <w:r>
        <w:t>– celkem byly v</w:t>
      </w:r>
      <w:r w:rsidR="001E7BF2">
        <w:t> </w:t>
      </w:r>
      <w:r>
        <w:t xml:space="preserve">oblasti globálních grantů </w:t>
      </w:r>
      <w:r w:rsidR="003B0497">
        <w:t xml:space="preserve">a jiných projektů </w:t>
      </w:r>
      <w:r>
        <w:t xml:space="preserve">poskytnuty zálohy </w:t>
      </w:r>
      <w:r w:rsidR="003B0497">
        <w:t>z</w:t>
      </w:r>
      <w:r w:rsidR="001E7BF2">
        <w:t> </w:t>
      </w:r>
      <w:r w:rsidR="003B0497">
        <w:t xml:space="preserve">MŠMT </w:t>
      </w:r>
      <w:r>
        <w:t xml:space="preserve">ve výši </w:t>
      </w:r>
      <w:r w:rsidR="003B0497">
        <w:t>1.621.495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Kč. Ostatní zálohy jsou poskytovány různými ministerstvy, v</w:t>
      </w:r>
      <w:r w:rsidR="001E7BF2">
        <w:t> </w:t>
      </w:r>
      <w:r>
        <w:t>převážn</w:t>
      </w:r>
      <w:r w:rsidR="008A6F27">
        <w:t>é</w:t>
      </w:r>
      <w:r>
        <w:t xml:space="preserve"> většině se jedná o zálohy na</w:t>
      </w:r>
      <w:r w:rsidR="00267BAE">
        <w:t> </w:t>
      </w:r>
      <w:r>
        <w:t>projekty spolufinancované EU.</w:t>
      </w:r>
      <w:r w:rsidR="00A579F9">
        <w:t xml:space="preserve"> Stav účtu se v</w:t>
      </w:r>
      <w:r w:rsidR="001E7BF2">
        <w:t> </w:t>
      </w:r>
      <w:r w:rsidR="00A579F9">
        <w:t>r. 2013 ve srovnání s</w:t>
      </w:r>
      <w:r w:rsidR="001E7BF2">
        <w:t> </w:t>
      </w:r>
      <w:r w:rsidR="00A579F9">
        <w:t>r. 2012 zvýšil o 384.826</w:t>
      </w:r>
      <w:r w:rsidR="00934B45" w:rsidRPr="00EA19CD">
        <w:rPr>
          <w:szCs w:val="20"/>
        </w:rPr>
        <w:t> </w:t>
      </w:r>
      <w:r w:rsidR="00A579F9">
        <w:t>tis.</w:t>
      </w:r>
      <w:r w:rsidR="00934B45" w:rsidRPr="00EA19CD">
        <w:rPr>
          <w:szCs w:val="20"/>
        </w:rPr>
        <w:t> </w:t>
      </w:r>
      <w:r w:rsidR="00A579F9">
        <w:t>Kč</w:t>
      </w:r>
      <w:r w:rsidR="003B0497">
        <w:t xml:space="preserve"> a představuje </w:t>
      </w:r>
      <w:r w:rsidR="005B22E1">
        <w:t xml:space="preserve">hodnotu přijatých záloh ve výši </w:t>
      </w:r>
      <w:r w:rsidR="003B0497">
        <w:t>1.798.360</w:t>
      </w:r>
      <w:r w:rsidR="005B22E1">
        <w:t> </w:t>
      </w:r>
      <w:r w:rsidR="003B0497">
        <w:t>tis.</w:t>
      </w:r>
      <w:r w:rsidR="005B22E1">
        <w:t> </w:t>
      </w:r>
      <w:r w:rsidR="003B0497">
        <w:t>Kč.</w:t>
      </w:r>
    </w:p>
    <w:p w:rsidR="00347D42" w:rsidRDefault="00347D42" w:rsidP="00347D42">
      <w:pPr>
        <w:pStyle w:val="Mjtext"/>
        <w:tabs>
          <w:tab w:val="left" w:pos="5220"/>
        </w:tabs>
      </w:pPr>
      <w:r>
        <w:rPr>
          <w:u w:val="single"/>
        </w:rPr>
        <w:t>Krátkodobé závazky</w:t>
      </w:r>
      <w:r>
        <w:t xml:space="preserve"> obsahují různé </w:t>
      </w:r>
      <w:r w:rsidR="005B22E1">
        <w:t xml:space="preserve">druhy </w:t>
      </w:r>
      <w:r>
        <w:t>závazk</w:t>
      </w:r>
      <w:r w:rsidR="005B22E1">
        <w:t xml:space="preserve">ů </w:t>
      </w:r>
      <w:r w:rsidR="001E7BF2">
        <w:t>–</w:t>
      </w:r>
      <w:r>
        <w:t xml:space="preserve"> vůči dodavatelům, zaměstnancům, institucím sociálního zabezpečení a zdravotního pojištění, finančním úřadům, dále pak </w:t>
      </w:r>
      <w:r w:rsidR="005B22E1">
        <w:t xml:space="preserve">přijaté </w:t>
      </w:r>
      <w:r>
        <w:t>zálohy, závazky z</w:t>
      </w:r>
      <w:r w:rsidR="001E7BF2">
        <w:t> </w:t>
      </w:r>
      <w:r>
        <w:t>transferů a ostatní</w:t>
      </w:r>
      <w:r w:rsidR="005B22E1">
        <w:t xml:space="preserve"> závazky</w:t>
      </w:r>
      <w:r>
        <w:t>. Do této oblasti řadíme také účty časového rozlišení. Žádné závazky nejsou po lhůtě splatnosti.</w:t>
      </w:r>
      <w:r w:rsidR="00934B45">
        <w:t xml:space="preserve"> Objem krátkodobých závazků se oproti r. 2012 snížil o 198.972</w:t>
      </w:r>
      <w:r w:rsidR="00934B45" w:rsidRPr="00EA19CD">
        <w:rPr>
          <w:szCs w:val="20"/>
        </w:rPr>
        <w:t> </w:t>
      </w:r>
      <w:r w:rsidR="00934B45">
        <w:rPr>
          <w:szCs w:val="20"/>
        </w:rPr>
        <w:t>tis.</w:t>
      </w:r>
      <w:r w:rsidR="00934B45" w:rsidRPr="00EA19CD">
        <w:rPr>
          <w:szCs w:val="20"/>
        </w:rPr>
        <w:t> </w:t>
      </w:r>
      <w:r w:rsidR="00934B45">
        <w:rPr>
          <w:szCs w:val="20"/>
        </w:rPr>
        <w:t>Kč a</w:t>
      </w:r>
      <w:r w:rsidR="00934B45" w:rsidRPr="00EA19CD">
        <w:rPr>
          <w:szCs w:val="20"/>
        </w:rPr>
        <w:t> </w:t>
      </w:r>
      <w:r w:rsidR="00934B45">
        <w:rPr>
          <w:szCs w:val="20"/>
        </w:rPr>
        <w:t>představuje částku 1.046.513</w:t>
      </w:r>
      <w:r w:rsidR="00934B45" w:rsidRPr="00EA19CD">
        <w:rPr>
          <w:szCs w:val="20"/>
        </w:rPr>
        <w:t> </w:t>
      </w:r>
      <w:r w:rsidR="00934B45">
        <w:rPr>
          <w:szCs w:val="20"/>
        </w:rPr>
        <w:t>tis.</w:t>
      </w:r>
      <w:r w:rsidR="00934B45" w:rsidRPr="00EA19CD">
        <w:rPr>
          <w:szCs w:val="20"/>
        </w:rPr>
        <w:t> </w:t>
      </w:r>
      <w:r w:rsidR="00934B45">
        <w:rPr>
          <w:szCs w:val="20"/>
        </w:rPr>
        <w:t>Kč.</w:t>
      </w:r>
    </w:p>
    <w:p w:rsidR="00347D42" w:rsidRPr="00A71716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A25B2">
        <w:rPr>
          <w:u w:val="single"/>
        </w:rPr>
        <w:t>Dodavatelé</w:t>
      </w:r>
      <w:r>
        <w:t xml:space="preserve"> – na účtu 321 eviduje kraj závazky vůči dodavatelům v</w:t>
      </w:r>
      <w:r w:rsidR="001E7BF2">
        <w:t> </w:t>
      </w:r>
      <w:r>
        <w:t xml:space="preserve">celkové výši </w:t>
      </w:r>
      <w:r w:rsidR="005B22E1">
        <w:t>157.587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Kč. Z</w:t>
      </w:r>
      <w:r w:rsidR="001E7BF2">
        <w:t> </w:t>
      </w:r>
      <w:r>
        <w:t>toho</w:t>
      </w:r>
      <w:r w:rsidR="00934B45">
        <w:t>to</w:t>
      </w:r>
      <w:r>
        <w:t xml:space="preserve"> objemu tvoří převážnou část faktury v</w:t>
      </w:r>
      <w:r w:rsidR="001E7BF2">
        <w:t> </w:t>
      </w:r>
      <w:r>
        <w:t xml:space="preserve">investiční oblasti – </w:t>
      </w:r>
      <w:r w:rsidR="005B22E1">
        <w:t>139.679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 xml:space="preserve">Kč (jedná se </w:t>
      </w:r>
      <w:r w:rsidR="00600242">
        <w:t>zejména</w:t>
      </w:r>
      <w:r>
        <w:t xml:space="preserve"> o stavební práce za rekonst</w:t>
      </w:r>
      <w:r w:rsidR="00E871E0">
        <w:t>rukc</w:t>
      </w:r>
      <w:r w:rsidR="00F91DDB">
        <w:t>e</w:t>
      </w:r>
      <w:r w:rsidR="00E871E0">
        <w:t xml:space="preserve"> a modernizac</w:t>
      </w:r>
      <w:r w:rsidR="00F91DDB">
        <w:t>e</w:t>
      </w:r>
      <w:r w:rsidR="00E871E0">
        <w:t xml:space="preserve"> silnic</w:t>
      </w:r>
      <w:r w:rsidR="00767E55">
        <w:t>, kolejového napojení na letiště a</w:t>
      </w:r>
      <w:r w:rsidR="00767E55" w:rsidRPr="00EA19CD">
        <w:rPr>
          <w:szCs w:val="20"/>
        </w:rPr>
        <w:t> </w:t>
      </w:r>
      <w:r w:rsidR="00767E55">
        <w:t>investiční akce v krajských zdravotnických zařízeních</w:t>
      </w:r>
      <w:r>
        <w:t xml:space="preserve">), faktury neinvestiční byly ve výši </w:t>
      </w:r>
      <w:r w:rsidR="005B22E1">
        <w:t>17.908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Kč. Oproti roku 201</w:t>
      </w:r>
      <w:r w:rsidR="005B22E1">
        <w:t>2</w:t>
      </w:r>
      <w:r>
        <w:t xml:space="preserve"> došlo k</w:t>
      </w:r>
      <w:r w:rsidR="005B22E1">
        <w:t>e</w:t>
      </w:r>
      <w:r>
        <w:t> </w:t>
      </w:r>
      <w:r w:rsidR="005B22E1">
        <w:t>snížení závazků,</w:t>
      </w:r>
      <w:r>
        <w:t xml:space="preserve"> zejména </w:t>
      </w:r>
      <w:r w:rsidR="005B22E1">
        <w:t>v</w:t>
      </w:r>
      <w:r w:rsidR="001E7BF2">
        <w:t> </w:t>
      </w:r>
      <w:r w:rsidR="005B22E1">
        <w:t xml:space="preserve">oblasti investičních </w:t>
      </w:r>
      <w:r>
        <w:t>dodávek (</w:t>
      </w:r>
      <w:r w:rsidR="005B22E1">
        <w:t xml:space="preserve">pokles </w:t>
      </w:r>
      <w:r>
        <w:t xml:space="preserve">o </w:t>
      </w:r>
      <w:r w:rsidR="00FC75D9">
        <w:t>231.382</w:t>
      </w:r>
      <w:r w:rsidR="00767E55" w:rsidRPr="00EA19CD">
        <w:rPr>
          <w:szCs w:val="20"/>
        </w:rPr>
        <w:t> </w:t>
      </w:r>
      <w:r>
        <w:t>tis.</w:t>
      </w:r>
      <w:r w:rsidR="00767E55" w:rsidRPr="00EA19CD">
        <w:rPr>
          <w:szCs w:val="20"/>
        </w:rPr>
        <w:t> </w:t>
      </w:r>
      <w:r>
        <w:t>Kč). V</w:t>
      </w:r>
      <w:r w:rsidR="001E7BF2">
        <w:t> </w:t>
      </w:r>
      <w:r>
        <w:t>oblasti investic se jedná zejména o akce spolufinancované EU.</w:t>
      </w:r>
    </w:p>
    <w:p w:rsidR="00347D42" w:rsidRPr="00282450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Krátkodobé přijaté zálohy</w:t>
      </w:r>
      <w:r>
        <w:t xml:space="preserve"> – na účtu 324 eviduje kraj </w:t>
      </w:r>
      <w:r w:rsidR="00F36F25">
        <w:t>přijaté</w:t>
      </w:r>
      <w:r>
        <w:t xml:space="preserve"> zálohy v</w:t>
      </w:r>
      <w:r w:rsidR="001E7BF2">
        <w:t> </w:t>
      </w:r>
      <w:r>
        <w:t xml:space="preserve">celkové výši </w:t>
      </w:r>
      <w:r w:rsidR="00F36F25">
        <w:t>236 </w:t>
      </w:r>
      <w:r>
        <w:t>tis.</w:t>
      </w:r>
      <w:r w:rsidR="00F36F25">
        <w:t> </w:t>
      </w:r>
      <w:r>
        <w:t>Kč, jedná se zejména o přijaté zálohy na věcná břemena a při prodeji majetku</w:t>
      </w:r>
      <w:r w:rsidR="00767E55">
        <w:t>.</w:t>
      </w:r>
    </w:p>
    <w:p w:rsidR="00347D42" w:rsidRPr="006E2C4E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Zaměstnanci</w:t>
      </w:r>
      <w:r>
        <w:t xml:space="preserve"> – na účtu 331 eviduje kraj závazky vůči zaměstnancům ve výši </w:t>
      </w:r>
      <w:r w:rsidR="00F36F25">
        <w:t>63</w:t>
      </w:r>
      <w:r w:rsidR="00767E55" w:rsidRPr="00EA19CD">
        <w:rPr>
          <w:szCs w:val="20"/>
        </w:rPr>
        <w:t> </w:t>
      </w:r>
      <w:r>
        <w:t>tis.</w:t>
      </w:r>
      <w:r w:rsidR="00767E55" w:rsidRPr="00EA19CD">
        <w:rPr>
          <w:szCs w:val="20"/>
        </w:rPr>
        <w:t> </w:t>
      </w:r>
      <w:r>
        <w:t>Kč, jedná se o mzdy za prosinec 201</w:t>
      </w:r>
      <w:r w:rsidR="00F36F25">
        <w:t>3</w:t>
      </w:r>
      <w:r>
        <w:t xml:space="preserve">, které byly zaměstnancům vyplaceny </w:t>
      </w:r>
      <w:r w:rsidR="00E871E0">
        <w:t>v</w:t>
      </w:r>
      <w:r w:rsidR="001E7BF2">
        <w:t> </w:t>
      </w:r>
      <w:r>
        <w:t>hotovosti v</w:t>
      </w:r>
      <w:r w:rsidR="001E7BF2">
        <w:t> </w:t>
      </w:r>
      <w:r>
        <w:t>lednu 201</w:t>
      </w:r>
      <w:r w:rsidR="00F36F25">
        <w:t>4</w:t>
      </w:r>
      <w:r>
        <w:t>.</w:t>
      </w:r>
    </w:p>
    <w:p w:rsidR="00347D42" w:rsidRPr="006E2C4E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závazky vůči zaměstnancům</w:t>
      </w:r>
      <w:r>
        <w:t xml:space="preserve"> – na účtu 333 eviduje kraj závazky vůči zaměstnancům ve výši 16.</w:t>
      </w:r>
      <w:r w:rsidR="00383E65">
        <w:t>475</w:t>
      </w:r>
      <w:r>
        <w:t> tis. Kč, jedná se o mzdy za prosinec 201</w:t>
      </w:r>
      <w:r w:rsidR="00F36F25">
        <w:t>3</w:t>
      </w:r>
      <w:r>
        <w:t>, které byly vyplaceny převodem na účty zaměstnanců v</w:t>
      </w:r>
      <w:r w:rsidR="001E7BF2">
        <w:t> </w:t>
      </w:r>
      <w:r>
        <w:t>lednu 201</w:t>
      </w:r>
      <w:r w:rsidR="00F36F25">
        <w:t>4</w:t>
      </w:r>
      <w:r>
        <w:t>.</w:t>
      </w:r>
    </w:p>
    <w:p w:rsidR="00347D42" w:rsidRPr="0037013C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Zúčtování s</w:t>
      </w:r>
      <w:r w:rsidR="001E7BF2">
        <w:rPr>
          <w:u w:val="single"/>
        </w:rPr>
        <w:t> </w:t>
      </w:r>
      <w:r>
        <w:rPr>
          <w:u w:val="single"/>
        </w:rPr>
        <w:t>institucemi sociálního zabezpečení a zdravotního pojištění</w:t>
      </w:r>
      <w:r>
        <w:t xml:space="preserve"> – na účtu 336 eviduje kraj </w:t>
      </w:r>
      <w:r w:rsidR="001C5ACB">
        <w:t xml:space="preserve">závazky </w:t>
      </w:r>
      <w:r>
        <w:t>vůči</w:t>
      </w:r>
      <w:r w:rsidR="00F91DDB">
        <w:t xml:space="preserve"> těmto</w:t>
      </w:r>
      <w:r>
        <w:t xml:space="preserve"> institucím v</w:t>
      </w:r>
      <w:r w:rsidR="001E7BF2">
        <w:t> </w:t>
      </w:r>
      <w:r>
        <w:t xml:space="preserve">celkové výši </w:t>
      </w:r>
      <w:r w:rsidR="00F36F25">
        <w:t>9.424</w:t>
      </w:r>
      <w:r w:rsidR="00383E65" w:rsidRPr="00EA19CD">
        <w:rPr>
          <w:szCs w:val="20"/>
        </w:rPr>
        <w:t> </w:t>
      </w:r>
      <w:r>
        <w:t>tis.</w:t>
      </w:r>
      <w:r w:rsidR="00383E65" w:rsidRPr="00EA19CD">
        <w:rPr>
          <w:szCs w:val="20"/>
        </w:rPr>
        <w:t> </w:t>
      </w:r>
      <w:r>
        <w:t>Kč, z</w:t>
      </w:r>
      <w:r w:rsidR="001E7BF2">
        <w:t> </w:t>
      </w:r>
      <w:r>
        <w:t xml:space="preserve">toho závazky na sociální zabezpečení placené zaměstnanci a zaměstnavatelem představují </w:t>
      </w:r>
      <w:r w:rsidR="00A017F5">
        <w:t>6.476</w:t>
      </w:r>
      <w:r w:rsidR="00383E65" w:rsidRPr="00EA19CD">
        <w:rPr>
          <w:szCs w:val="20"/>
        </w:rPr>
        <w:t> </w:t>
      </w:r>
      <w:r>
        <w:t>tis.</w:t>
      </w:r>
      <w:r w:rsidR="00383E65" w:rsidRPr="00EA19CD">
        <w:rPr>
          <w:szCs w:val="20"/>
        </w:rPr>
        <w:t> </w:t>
      </w:r>
      <w:r>
        <w:t xml:space="preserve">Kč </w:t>
      </w:r>
      <w:r w:rsidR="00A017F5">
        <w:t>(z</w:t>
      </w:r>
      <w:r w:rsidR="001E7BF2">
        <w:t> </w:t>
      </w:r>
      <w:r w:rsidR="00383E65">
        <w:t>toho II. pilíř – 7</w:t>
      </w:r>
      <w:r w:rsidR="00383E65" w:rsidRPr="00EA19CD">
        <w:rPr>
          <w:szCs w:val="20"/>
        </w:rPr>
        <w:t> </w:t>
      </w:r>
      <w:r w:rsidR="00A017F5">
        <w:t>tis.</w:t>
      </w:r>
      <w:r w:rsidR="00383E65" w:rsidRPr="00EA19CD">
        <w:rPr>
          <w:szCs w:val="20"/>
        </w:rPr>
        <w:t> </w:t>
      </w:r>
      <w:r w:rsidR="00383E65">
        <w:rPr>
          <w:szCs w:val="20"/>
        </w:rPr>
        <w:t>K</w:t>
      </w:r>
      <w:r w:rsidR="00A017F5">
        <w:t xml:space="preserve">č) </w:t>
      </w:r>
      <w:r>
        <w:t xml:space="preserve">a závazky na zdravotní pojištění placené zaměstnanci a zaměstnavatelem jsou ve výši </w:t>
      </w:r>
      <w:r w:rsidR="00A017F5">
        <w:t>2.948 </w:t>
      </w:r>
      <w:r>
        <w:t>tis.</w:t>
      </w:r>
      <w:r w:rsidR="00A017F5">
        <w:t> </w:t>
      </w:r>
      <w:r>
        <w:t>Kč.</w:t>
      </w:r>
    </w:p>
    <w:p w:rsidR="00347D42" w:rsidRPr="0037013C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přímé daně</w:t>
      </w:r>
      <w:r>
        <w:t xml:space="preserve"> – na účtu 342 eviduje kraj daňovou povinnost z</w:t>
      </w:r>
      <w:r w:rsidR="001E7BF2">
        <w:t> </w:t>
      </w:r>
      <w:r>
        <w:t>mezd zaměstnanců za prosinec 201</w:t>
      </w:r>
      <w:r w:rsidR="00383E65">
        <w:t>3</w:t>
      </w:r>
      <w:r>
        <w:t xml:space="preserve"> ve výši 2.</w:t>
      </w:r>
      <w:r w:rsidR="00383E65">
        <w:t>682</w:t>
      </w:r>
      <w:r w:rsidR="00383E65" w:rsidRPr="00EA19CD">
        <w:rPr>
          <w:szCs w:val="20"/>
        </w:rPr>
        <w:t> </w:t>
      </w:r>
      <w:r w:rsidR="00A017F5">
        <w:t>tis.</w:t>
      </w:r>
      <w:r w:rsidR="00383E65" w:rsidRPr="00EA19CD">
        <w:rPr>
          <w:szCs w:val="20"/>
        </w:rPr>
        <w:t> </w:t>
      </w:r>
      <w:r w:rsidR="00A017F5">
        <w:t>Kč; daň byla uhrazena v</w:t>
      </w:r>
      <w:r w:rsidR="001E7BF2">
        <w:t> </w:t>
      </w:r>
      <w:r w:rsidR="00A017F5">
        <w:t>lednu 2014.</w:t>
      </w:r>
    </w:p>
    <w:p w:rsidR="00347D42" w:rsidRPr="008E1065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Daň z</w:t>
      </w:r>
      <w:r w:rsidR="001E7BF2">
        <w:rPr>
          <w:u w:val="single"/>
        </w:rPr>
        <w:t> </w:t>
      </w:r>
      <w:r>
        <w:rPr>
          <w:u w:val="single"/>
        </w:rPr>
        <w:t>přidané hodnoty</w:t>
      </w:r>
      <w:r>
        <w:t xml:space="preserve"> – na účtu 343 eviduje kraj </w:t>
      </w:r>
      <w:r w:rsidRPr="005762F4">
        <w:t>daňovou povinnost z</w:t>
      </w:r>
      <w:r w:rsidR="001E7BF2">
        <w:t> </w:t>
      </w:r>
      <w:r w:rsidRPr="005762F4">
        <w:t xml:space="preserve">DPH </w:t>
      </w:r>
      <w:r w:rsidR="00BE2F50">
        <w:t>za zdaňovací období</w:t>
      </w:r>
      <w:r w:rsidR="00BE2F50" w:rsidRPr="005762F4">
        <w:t xml:space="preserve"> </w:t>
      </w:r>
      <w:r w:rsidR="00BE2F50">
        <w:t xml:space="preserve">prosinec 2013 </w:t>
      </w:r>
      <w:r w:rsidRPr="005762F4">
        <w:t>ve</w:t>
      </w:r>
      <w:r w:rsidR="00F3017A" w:rsidRPr="005762F4">
        <w:t> </w:t>
      </w:r>
      <w:r w:rsidRPr="005762F4">
        <w:t xml:space="preserve">výši </w:t>
      </w:r>
      <w:r w:rsidR="00A017F5">
        <w:t>10.488</w:t>
      </w:r>
      <w:r w:rsidR="00383E65" w:rsidRPr="00EA19CD">
        <w:rPr>
          <w:szCs w:val="20"/>
        </w:rPr>
        <w:t> </w:t>
      </w:r>
      <w:r w:rsidR="00383E65">
        <w:t>t</w:t>
      </w:r>
      <w:r w:rsidR="00A017F5">
        <w:t>is.</w:t>
      </w:r>
      <w:r w:rsidR="00383E65" w:rsidRPr="00EA19CD">
        <w:rPr>
          <w:szCs w:val="20"/>
        </w:rPr>
        <w:t> </w:t>
      </w:r>
      <w:r w:rsidR="00A017F5">
        <w:t>Kč, kter</w:t>
      </w:r>
      <w:r w:rsidR="00531678">
        <w:t>á</w:t>
      </w:r>
      <w:r w:rsidR="00A017F5">
        <w:t xml:space="preserve"> byl</w:t>
      </w:r>
      <w:r w:rsidR="00531678">
        <w:t>a</w:t>
      </w:r>
      <w:r w:rsidR="00A017F5">
        <w:t xml:space="preserve"> uhrazen</w:t>
      </w:r>
      <w:r w:rsidR="004115C9">
        <w:t>a</w:t>
      </w:r>
      <w:r w:rsidR="00A017F5">
        <w:t xml:space="preserve"> v</w:t>
      </w:r>
      <w:r w:rsidR="001E7BF2">
        <w:t> </w:t>
      </w:r>
      <w:r w:rsidR="00640C34">
        <w:t>lednu 2014</w:t>
      </w:r>
      <w:r w:rsidR="00CB5950">
        <w:t>. J</w:t>
      </w:r>
      <w:r w:rsidR="00640C34">
        <w:t xml:space="preserve">edná se zejména </w:t>
      </w:r>
      <w:r w:rsidR="00640C34">
        <w:lastRenderedPageBreak/>
        <w:t>o</w:t>
      </w:r>
      <w:r w:rsidR="00640C34" w:rsidRPr="00EA19CD">
        <w:rPr>
          <w:szCs w:val="20"/>
        </w:rPr>
        <w:t> </w:t>
      </w:r>
      <w:r w:rsidR="00640C34">
        <w:t>odvod DPH z pronájmů podniků Nemocnice Nový Jičín a Letiště Ostrava (</w:t>
      </w:r>
      <w:r w:rsidR="006B55C5">
        <w:t>6.137</w:t>
      </w:r>
      <w:r w:rsidR="00640C34" w:rsidRPr="00EA19CD">
        <w:rPr>
          <w:szCs w:val="20"/>
        </w:rPr>
        <w:t> </w:t>
      </w:r>
      <w:r w:rsidR="00640C34">
        <w:t>tis</w:t>
      </w:r>
      <w:r w:rsidR="00640C34" w:rsidRPr="00EA19CD">
        <w:rPr>
          <w:szCs w:val="20"/>
        </w:rPr>
        <w:t> </w:t>
      </w:r>
      <w:r w:rsidR="00640C34">
        <w:t xml:space="preserve">Kč) a </w:t>
      </w:r>
      <w:r w:rsidR="006B55C5">
        <w:t xml:space="preserve">odvod </w:t>
      </w:r>
      <w:r w:rsidR="00640C34">
        <w:t>DPH z přenesené daňové povinnosti u akce Letiště-Kolejové napojení (4.262</w:t>
      </w:r>
      <w:r w:rsidR="00640C34" w:rsidRPr="00EA19CD">
        <w:rPr>
          <w:szCs w:val="20"/>
        </w:rPr>
        <w:t> </w:t>
      </w:r>
      <w:r w:rsidR="00640C34">
        <w:t>tis.</w:t>
      </w:r>
      <w:r w:rsidR="00640C34" w:rsidRPr="00EA19CD">
        <w:rPr>
          <w:szCs w:val="20"/>
        </w:rPr>
        <w:t> </w:t>
      </w:r>
      <w:r w:rsidR="00640C34">
        <w:t>Kč).</w:t>
      </w:r>
    </w:p>
    <w:p w:rsidR="008E1065" w:rsidRPr="008E1065" w:rsidRDefault="008E1065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Jiné daně a poplatky</w:t>
      </w:r>
      <w:r w:rsidRPr="008E1065">
        <w:t xml:space="preserve"> – na účtu 344 eviduje kraj</w:t>
      </w:r>
      <w:r>
        <w:t xml:space="preserve"> daň z převodu nemovitosti, která byla uhrazena v únoru 2014 (6</w:t>
      </w:r>
      <w:r w:rsidRPr="00EA19CD">
        <w:rPr>
          <w:szCs w:val="20"/>
        </w:rPr>
        <w:t> </w:t>
      </w:r>
      <w:r>
        <w:t xml:space="preserve"> tis.</w:t>
      </w:r>
      <w:r w:rsidRPr="00EA19CD">
        <w:rPr>
          <w:szCs w:val="20"/>
        </w:rPr>
        <w:t> </w:t>
      </w:r>
      <w:r>
        <w:t>Kč).</w:t>
      </w:r>
    </w:p>
    <w:p w:rsidR="00347D42" w:rsidRPr="003E3100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Závazky k</w:t>
      </w:r>
      <w:r w:rsidR="001E7BF2">
        <w:rPr>
          <w:u w:val="single"/>
        </w:rPr>
        <w:t> </w:t>
      </w:r>
      <w:r>
        <w:rPr>
          <w:u w:val="single"/>
        </w:rPr>
        <w:t>osobám mimo vybrané vládní instituce</w:t>
      </w:r>
      <w:r>
        <w:t xml:space="preserve"> – na účtu 345 eviduje kraj závazky z</w:t>
      </w:r>
      <w:r w:rsidR="001E7BF2">
        <w:t> </w:t>
      </w:r>
      <w:r>
        <w:t xml:space="preserve">poskytovaných transferů mimo vybrané účetní jednotky ve výši </w:t>
      </w:r>
      <w:r w:rsidR="00531678">
        <w:t>44.813</w:t>
      </w:r>
      <w:r w:rsidR="008E1065" w:rsidRPr="00EA19CD">
        <w:rPr>
          <w:szCs w:val="20"/>
        </w:rPr>
        <w:t> </w:t>
      </w:r>
      <w:r>
        <w:t>tis.</w:t>
      </w:r>
      <w:r w:rsidR="008E1065" w:rsidRPr="00EA19CD">
        <w:rPr>
          <w:szCs w:val="20"/>
        </w:rPr>
        <w:t> </w:t>
      </w:r>
      <w:r>
        <w:t>Kč. Jedná se o závazky vůči ostatním subjektům, jako jsou neziskové organizac</w:t>
      </w:r>
      <w:r w:rsidR="001C5ACB">
        <w:t>e</w:t>
      </w:r>
      <w:r>
        <w:t xml:space="preserve">, akciové společnosti, s.r.o., fyzické osoby apod. </w:t>
      </w:r>
      <w:r w:rsidR="00531678">
        <w:t xml:space="preserve">Největší položku tvoří závazky </w:t>
      </w:r>
      <w:r w:rsidR="008E1065">
        <w:t>n</w:t>
      </w:r>
      <w:r w:rsidR="00531678">
        <w:t xml:space="preserve">a příspěvky na dopravní obslužnost ve výši 22.997 tis. Kč; oproti r. </w:t>
      </w:r>
      <w:r w:rsidR="008E1065">
        <w:t xml:space="preserve">2012 </w:t>
      </w:r>
      <w:r w:rsidR="00531678">
        <w:t>došlo k</w:t>
      </w:r>
      <w:r w:rsidR="001E7BF2">
        <w:t> </w:t>
      </w:r>
      <w:r w:rsidR="00531678">
        <w:t>nárůstu závazků o 42.048</w:t>
      </w:r>
      <w:r w:rsidR="008E1065" w:rsidRPr="00EA19CD">
        <w:rPr>
          <w:szCs w:val="20"/>
        </w:rPr>
        <w:t> </w:t>
      </w:r>
      <w:r w:rsidR="008E1065">
        <w:t>tis.</w:t>
      </w:r>
      <w:r w:rsidR="008E1065" w:rsidRPr="00EA19CD">
        <w:rPr>
          <w:szCs w:val="20"/>
        </w:rPr>
        <w:t> </w:t>
      </w:r>
      <w:r w:rsidR="00531678">
        <w:t>Kč</w:t>
      </w:r>
      <w:r w:rsidR="008E1065">
        <w:t>, a to zejména v této oblasti</w:t>
      </w:r>
      <w:r w:rsidR="00531678">
        <w:t>.</w:t>
      </w:r>
    </w:p>
    <w:p w:rsidR="00347D42" w:rsidRPr="00270A3D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3100">
        <w:rPr>
          <w:u w:val="single"/>
        </w:rPr>
        <w:t>Závazky k</w:t>
      </w:r>
      <w:r w:rsidR="001E7BF2">
        <w:rPr>
          <w:u w:val="single"/>
        </w:rPr>
        <w:t> </w:t>
      </w:r>
      <w:r w:rsidRPr="003E3100">
        <w:rPr>
          <w:u w:val="single"/>
        </w:rPr>
        <w:t>vybraným ústředním vládním institucím</w:t>
      </w:r>
      <w:r w:rsidRPr="003E3100">
        <w:t xml:space="preserve"> </w:t>
      </w:r>
      <w:r w:rsidR="001E7BF2">
        <w:t>–</w:t>
      </w:r>
      <w:r w:rsidRPr="003E3100">
        <w:t xml:space="preserve"> </w:t>
      </w:r>
      <w:r>
        <w:t>na účtu 347 eviduje kraj závazky k</w:t>
      </w:r>
      <w:r w:rsidR="001E7BF2">
        <w:t> </w:t>
      </w:r>
      <w:r>
        <w:t xml:space="preserve">ústředním </w:t>
      </w:r>
      <w:r w:rsidR="00EF537C">
        <w:t xml:space="preserve">orgánům </w:t>
      </w:r>
      <w:r>
        <w:t>v</w:t>
      </w:r>
      <w:r w:rsidR="001E7BF2">
        <w:t> </w:t>
      </w:r>
      <w:r>
        <w:t xml:space="preserve">celkové výši </w:t>
      </w:r>
      <w:r w:rsidR="00531678">
        <w:t>4.692</w:t>
      </w:r>
      <w:r w:rsidR="00B13A87" w:rsidRPr="00EA19CD">
        <w:rPr>
          <w:szCs w:val="20"/>
        </w:rPr>
        <w:t> </w:t>
      </w:r>
      <w:r>
        <w:t>tis.</w:t>
      </w:r>
      <w:r w:rsidR="00B13A87" w:rsidRPr="00EA19CD">
        <w:rPr>
          <w:szCs w:val="20"/>
        </w:rPr>
        <w:t> </w:t>
      </w:r>
      <w:r>
        <w:t>Kč, z</w:t>
      </w:r>
      <w:r w:rsidR="001E7BF2">
        <w:t> </w:t>
      </w:r>
      <w:r>
        <w:t xml:space="preserve">toho předpis závazků za porušení rozpočtové kázně vůči </w:t>
      </w:r>
      <w:r w:rsidR="00F91DDB">
        <w:t xml:space="preserve">MŠMT </w:t>
      </w:r>
      <w:r>
        <w:t xml:space="preserve">představuje částku </w:t>
      </w:r>
      <w:r w:rsidR="00531678">
        <w:t>733</w:t>
      </w:r>
      <w:r w:rsidR="00B13A87" w:rsidRPr="00EA19CD">
        <w:rPr>
          <w:szCs w:val="20"/>
        </w:rPr>
        <w:t> </w:t>
      </w:r>
      <w:r>
        <w:t>tis.</w:t>
      </w:r>
      <w:r w:rsidR="00B13A87" w:rsidRPr="00EA19CD">
        <w:rPr>
          <w:szCs w:val="20"/>
        </w:rPr>
        <w:t> </w:t>
      </w:r>
      <w:r>
        <w:t>Kč (jedn</w:t>
      </w:r>
      <w:r w:rsidR="00531678">
        <w:t>á se o odvod za jiné subjekty),</w:t>
      </w:r>
      <w:r>
        <w:t xml:space="preserve"> dále závazky za</w:t>
      </w:r>
      <w:r w:rsidR="00267BAE">
        <w:t> </w:t>
      </w:r>
      <w:r>
        <w:t xml:space="preserve">porušení rozpočtové kázně u projektů spolufinancovaných EU, vyměřené finančním </w:t>
      </w:r>
      <w:r w:rsidR="00CA1E6A">
        <w:t>ú</w:t>
      </w:r>
      <w:r>
        <w:t>řadem ve</w:t>
      </w:r>
      <w:r w:rsidR="00CA1E6A">
        <w:t> </w:t>
      </w:r>
      <w:r>
        <w:t xml:space="preserve">výši </w:t>
      </w:r>
      <w:r w:rsidR="00531678">
        <w:t>3.356</w:t>
      </w:r>
      <w:r w:rsidR="00B13A87" w:rsidRPr="00EA19CD">
        <w:rPr>
          <w:szCs w:val="20"/>
        </w:rPr>
        <w:t> </w:t>
      </w:r>
      <w:r w:rsidR="00B13A87">
        <w:t>tis.</w:t>
      </w:r>
      <w:r w:rsidR="00B13A87" w:rsidRPr="00EA19CD">
        <w:rPr>
          <w:szCs w:val="20"/>
        </w:rPr>
        <w:t> </w:t>
      </w:r>
      <w:r w:rsidR="00B13A87">
        <w:rPr>
          <w:szCs w:val="20"/>
        </w:rPr>
        <w:t>K</w:t>
      </w:r>
      <w:r w:rsidR="00531678">
        <w:t>č (závazek byl uhrazen v</w:t>
      </w:r>
      <w:r w:rsidR="001E7BF2">
        <w:t> </w:t>
      </w:r>
      <w:r w:rsidR="00531678">
        <w:t>lednu 2014) a finanční vypořádání dotací (</w:t>
      </w:r>
      <w:r w:rsidR="004115C9">
        <w:t>603</w:t>
      </w:r>
      <w:r w:rsidR="00B13A87" w:rsidRPr="00EA19CD">
        <w:rPr>
          <w:szCs w:val="20"/>
        </w:rPr>
        <w:t> </w:t>
      </w:r>
      <w:r w:rsidR="004115C9">
        <w:t>tis.</w:t>
      </w:r>
      <w:r w:rsidR="00B13A87" w:rsidRPr="00EA19CD">
        <w:rPr>
          <w:szCs w:val="20"/>
        </w:rPr>
        <w:t> </w:t>
      </w:r>
      <w:r w:rsidR="004115C9">
        <w:t>Kč).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 w:rsidRPr="00D05118">
        <w:rPr>
          <w:u w:val="single"/>
        </w:rPr>
        <w:t>Závazky k</w:t>
      </w:r>
      <w:r w:rsidR="001E7BF2">
        <w:rPr>
          <w:u w:val="single"/>
        </w:rPr>
        <w:t> </w:t>
      </w:r>
      <w:r w:rsidRPr="00D05118">
        <w:rPr>
          <w:u w:val="single"/>
        </w:rPr>
        <w:t>vybraným místním vládním institucím</w:t>
      </w:r>
      <w:r>
        <w:t xml:space="preserve"> – na účtu 349 eviduje kraj závazky v</w:t>
      </w:r>
      <w:r w:rsidR="001E7BF2">
        <w:t> </w:t>
      </w:r>
      <w:r>
        <w:t xml:space="preserve">celkové výši </w:t>
      </w:r>
      <w:r w:rsidR="00A2020A">
        <w:t>9.173 </w:t>
      </w:r>
      <w:r>
        <w:t>tis.</w:t>
      </w:r>
      <w:r w:rsidR="00A2020A">
        <w:t> </w:t>
      </w:r>
      <w:r>
        <w:t>Kč, jedná se zejména o závazky z</w:t>
      </w:r>
      <w:r w:rsidR="001E7BF2">
        <w:t> </w:t>
      </w:r>
      <w:r>
        <w:t>titulu poskytov</w:t>
      </w:r>
      <w:r w:rsidR="00A2020A">
        <w:t>aných</w:t>
      </w:r>
      <w:r>
        <w:t xml:space="preserve"> investičních a neinvestičních transferů obcím a jejich příspěvkovým organizacím</w:t>
      </w:r>
      <w:r w:rsidR="000E2CE0">
        <w:t xml:space="preserve"> a závazky z finančního vypořádání transferů s RRRS MSK.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Závazky </w:t>
      </w:r>
      <w:r w:rsidR="006E1837">
        <w:rPr>
          <w:u w:val="single"/>
        </w:rPr>
        <w:t>k</w:t>
      </w:r>
      <w:r w:rsidR="001E7BF2">
        <w:rPr>
          <w:u w:val="single"/>
        </w:rPr>
        <w:t> </w:t>
      </w:r>
      <w:r w:rsidR="006E1837">
        <w:rPr>
          <w:u w:val="single"/>
        </w:rPr>
        <w:t>účastníkům sdružení</w:t>
      </w:r>
      <w:r w:rsidRPr="001C5ACB">
        <w:t xml:space="preserve"> </w:t>
      </w:r>
      <w:r>
        <w:t>– na účtu 3</w:t>
      </w:r>
      <w:r w:rsidR="006E1837">
        <w:t>52</w:t>
      </w:r>
      <w:r>
        <w:t xml:space="preserve"> eviduje kraj závazek</w:t>
      </w:r>
      <w:r w:rsidR="00530165">
        <w:t xml:space="preserve"> (2.500 tis. Kč)</w:t>
      </w:r>
      <w:r>
        <w:t xml:space="preserve"> </w:t>
      </w:r>
      <w:r w:rsidR="00530165">
        <w:t xml:space="preserve">vůči </w:t>
      </w:r>
      <w:r w:rsidR="006E1837">
        <w:t>Statutárnímu městu Ostrava, vyplývající ze smlouvy o sdružení prostředků, za účelem poskytování mikropůjček malým a středním podnikatelům</w:t>
      </w:r>
      <w:r w:rsidR="00530165">
        <w:t xml:space="preserve"> </w:t>
      </w:r>
      <w:r w:rsidR="006E1837">
        <w:t>(pro tyto operace je vyčleněn samostatný bankovní účet sdružených prostředků – SÚ 245).</w:t>
      </w:r>
    </w:p>
    <w:p w:rsidR="00157B6C" w:rsidRDefault="00157B6C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Pevné termínové operace a opce </w:t>
      </w:r>
      <w:r w:rsidR="001E7BF2">
        <w:t>–</w:t>
      </w:r>
      <w:r>
        <w:t xml:space="preserve"> na </w:t>
      </w:r>
      <w:r w:rsidR="00E630A1">
        <w:t>účtu 363 eviduje kraj závazek k</w:t>
      </w:r>
      <w:r w:rsidR="001E7BF2">
        <w:t> </w:t>
      </w:r>
      <w:r w:rsidR="00E630A1">
        <w:t>ČS, a.s.</w:t>
      </w:r>
      <w:r w:rsidR="00530165">
        <w:t xml:space="preserve"> (1.782 tis. Kč)</w:t>
      </w:r>
      <w:r w:rsidR="00E630A1">
        <w:t xml:space="preserve"> – jedná se o</w:t>
      </w:r>
      <w:r w:rsidR="00E630A1" w:rsidRPr="00E630A1">
        <w:t> </w:t>
      </w:r>
      <w:r w:rsidR="00E630A1">
        <w:t>úrokový swap (zajištění úroků z</w:t>
      </w:r>
      <w:r w:rsidR="001E7BF2">
        <w:t> </w:t>
      </w:r>
      <w:r w:rsidR="00E630A1">
        <w:t>úvěru – 500</w:t>
      </w:r>
      <w:r w:rsidR="00530165">
        <w:t> </w:t>
      </w:r>
      <w:r w:rsidR="00E630A1">
        <w:t>mil.</w:t>
      </w:r>
      <w:r w:rsidR="00530165">
        <w:t> </w:t>
      </w:r>
      <w:r w:rsidR="00E630A1">
        <w:t>Kč).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Krátkodobé přijaté zálohy na transfery</w:t>
      </w:r>
      <w:r>
        <w:t xml:space="preserve"> – na účtu 374 eviduje kraj závazky z</w:t>
      </w:r>
      <w:r w:rsidR="001E7BF2">
        <w:t> </w:t>
      </w:r>
      <w:r>
        <w:t xml:space="preserve">přijatých záloh </w:t>
      </w:r>
      <w:r w:rsidR="00F91DDB">
        <w:t>n</w:t>
      </w:r>
      <w:r>
        <w:t>a</w:t>
      </w:r>
      <w:r w:rsidR="00F91DDB">
        <w:t> </w:t>
      </w:r>
      <w:r>
        <w:t xml:space="preserve">transfery </w:t>
      </w:r>
      <w:r w:rsidRPr="00CA1E6A">
        <w:rPr>
          <w:szCs w:val="20"/>
        </w:rPr>
        <w:t xml:space="preserve">ve výši </w:t>
      </w:r>
      <w:r w:rsidR="00157B6C">
        <w:rPr>
          <w:szCs w:val="20"/>
        </w:rPr>
        <w:t>404</w:t>
      </w:r>
      <w:r w:rsidR="00EA1C60">
        <w:t> </w:t>
      </w:r>
      <w:r w:rsidRPr="00CA1E6A">
        <w:rPr>
          <w:szCs w:val="20"/>
        </w:rPr>
        <w:t>tis.</w:t>
      </w:r>
      <w:r w:rsidR="00EA1C60">
        <w:t> </w:t>
      </w:r>
      <w:r w:rsidRPr="00CA1E6A">
        <w:rPr>
          <w:szCs w:val="20"/>
        </w:rPr>
        <w:t>Kč.</w:t>
      </w:r>
      <w:r>
        <w:rPr>
          <w:sz w:val="18"/>
          <w:szCs w:val="18"/>
        </w:rPr>
        <w:t xml:space="preserve"> </w:t>
      </w:r>
      <w:r>
        <w:t>Jedná se zejména o zálohy poskytnuté z</w:t>
      </w:r>
      <w:r w:rsidR="001E7BF2">
        <w:t> </w:t>
      </w:r>
      <w:r>
        <w:t>ústředních rozpočtů</w:t>
      </w:r>
      <w:r w:rsidR="00680DE3">
        <w:t xml:space="preserve"> (97 tis. Kč)</w:t>
      </w:r>
      <w:r>
        <w:t>, které budou finančně vypořádány v</w:t>
      </w:r>
      <w:r w:rsidR="001E7BF2">
        <w:t> </w:t>
      </w:r>
      <w:r>
        <w:t>r. 201</w:t>
      </w:r>
      <w:r w:rsidR="00E630A1">
        <w:t xml:space="preserve">4, dále zálohy poskytnuté obcemi </w:t>
      </w:r>
      <w:r w:rsidR="00680DE3">
        <w:t xml:space="preserve">(182 tis. Kč) </w:t>
      </w:r>
      <w:r w:rsidR="00E630A1">
        <w:t>a</w:t>
      </w:r>
      <w:r w:rsidR="00680DE3" w:rsidRPr="00E630A1">
        <w:t> </w:t>
      </w:r>
      <w:r w:rsidR="00E630A1">
        <w:t>finanční vypořádání průtokových dotací</w:t>
      </w:r>
      <w:r w:rsidR="00680DE3">
        <w:t xml:space="preserve"> (125</w:t>
      </w:r>
      <w:r w:rsidR="00530165">
        <w:t> </w:t>
      </w:r>
      <w:r w:rsidR="00680DE3">
        <w:t>tis.</w:t>
      </w:r>
      <w:r w:rsidR="00DE7769">
        <w:t> </w:t>
      </w:r>
      <w:r w:rsidR="00680DE3">
        <w:t>Kč)</w:t>
      </w:r>
      <w:r w:rsidR="00E630A1">
        <w:t>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Výdaje příštích období</w:t>
      </w:r>
      <w:r w:rsidRPr="00933365">
        <w:t xml:space="preserve"> </w:t>
      </w:r>
      <w:r>
        <w:t xml:space="preserve">– na účtu 383 </w:t>
      </w:r>
      <w:r w:rsidR="00680DE3">
        <w:t>ne</w:t>
      </w:r>
      <w:r>
        <w:t xml:space="preserve">eviduje kraj </w:t>
      </w:r>
      <w:r w:rsidR="00680DE3">
        <w:t>k</w:t>
      </w:r>
      <w:r w:rsidR="001E7BF2">
        <w:t> </w:t>
      </w:r>
      <w:r w:rsidR="00680DE3">
        <w:t>31. 12. 2013 žádné položky; v</w:t>
      </w:r>
      <w:r w:rsidR="001E7BF2">
        <w:t> </w:t>
      </w:r>
      <w:r w:rsidR="00680DE3">
        <w:t xml:space="preserve">r. 2012 zde byly evidovány </w:t>
      </w:r>
      <w:r>
        <w:t>investiční výdaje k</w:t>
      </w:r>
      <w:r w:rsidR="001E7BF2">
        <w:t> </w:t>
      </w:r>
      <w:r>
        <w:t>dlouhodobému majetku v</w:t>
      </w:r>
      <w:r w:rsidR="001E7BF2">
        <w:t> </w:t>
      </w:r>
      <w:r>
        <w:t>celkové výši 4.286</w:t>
      </w:r>
      <w:r w:rsidR="00EA1C60">
        <w:t> </w:t>
      </w:r>
      <w:r>
        <w:t>tis.</w:t>
      </w:r>
      <w:r w:rsidR="00EA1C60">
        <w:t> </w:t>
      </w:r>
      <w:r>
        <w:t>Kč.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Výnosy příštích období</w:t>
      </w:r>
      <w:r w:rsidRPr="00933365">
        <w:t xml:space="preserve"> </w:t>
      </w:r>
      <w:r>
        <w:t xml:space="preserve">– na účtu 384 </w:t>
      </w:r>
      <w:r w:rsidR="00680DE3">
        <w:t>eviduje kraj položky z</w:t>
      </w:r>
      <w:r w:rsidR="001E7BF2">
        <w:t> </w:t>
      </w:r>
      <w:r w:rsidR="00680DE3">
        <w:t>tohoto titulu v</w:t>
      </w:r>
      <w:r w:rsidR="001E7BF2">
        <w:t> </w:t>
      </w:r>
      <w:r w:rsidR="00680DE3">
        <w:t>celkové výš</w:t>
      </w:r>
      <w:r w:rsidR="00C22D1B">
        <w:t>i 618 tis. Kč, jedná se zejména o</w:t>
      </w:r>
      <w:r w:rsidR="00680DE3">
        <w:t xml:space="preserve"> časové rozlišení výnosů z</w:t>
      </w:r>
      <w:r w:rsidR="001E7BF2">
        <w:t> </w:t>
      </w:r>
      <w:r w:rsidR="00680DE3">
        <w:t xml:space="preserve">pronájmu přístrojů </w:t>
      </w:r>
      <w:r w:rsidR="00E10995">
        <w:t>(550</w:t>
      </w:r>
      <w:r w:rsidR="00C22D1B">
        <w:t> </w:t>
      </w:r>
      <w:r w:rsidR="00E10995">
        <w:t>tis.</w:t>
      </w:r>
      <w:r w:rsidR="00C22D1B">
        <w:t> </w:t>
      </w:r>
      <w:r w:rsidR="00E10995">
        <w:t>Kč) a ostatní výnosy.</w:t>
      </w:r>
    </w:p>
    <w:p w:rsidR="005F6D99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Dohadné účty pasivní</w:t>
      </w:r>
      <w:r w:rsidRPr="00933365">
        <w:t xml:space="preserve"> </w:t>
      </w:r>
      <w:r>
        <w:t>– na účtu 389 eviduje kraj dohady nákladů v</w:t>
      </w:r>
      <w:r w:rsidR="001E7BF2">
        <w:t> </w:t>
      </w:r>
      <w:r>
        <w:t xml:space="preserve">celkové výši </w:t>
      </w:r>
      <w:r w:rsidR="00E10995">
        <w:t>767.457 </w:t>
      </w:r>
      <w:r>
        <w:t>tis.</w:t>
      </w:r>
      <w:r w:rsidR="00E10995">
        <w:t> </w:t>
      </w:r>
      <w:r>
        <w:t>Kč, z</w:t>
      </w:r>
      <w:r w:rsidR="001E7BF2">
        <w:t> </w:t>
      </w:r>
      <w:r>
        <w:t>toho největší položku tvoří dohady nákladů k</w:t>
      </w:r>
      <w:r w:rsidR="001E7BF2">
        <w:t> </w:t>
      </w:r>
      <w:r>
        <w:t xml:space="preserve">poskytnutým </w:t>
      </w:r>
      <w:r w:rsidR="00933365">
        <w:t xml:space="preserve">transferům </w:t>
      </w:r>
      <w:r>
        <w:t>(</w:t>
      </w:r>
      <w:r w:rsidR="00E10995">
        <w:t>708.541 </w:t>
      </w:r>
      <w:r>
        <w:t>tis.</w:t>
      </w:r>
      <w:r w:rsidR="00E10995">
        <w:t> </w:t>
      </w:r>
      <w:r>
        <w:t xml:space="preserve">Kč), dále pak </w:t>
      </w:r>
      <w:r w:rsidR="00264CCC">
        <w:t>dohady k</w:t>
      </w:r>
      <w:r w:rsidR="001E7BF2">
        <w:t> </w:t>
      </w:r>
      <w:r>
        <w:t>různ</w:t>
      </w:r>
      <w:r w:rsidR="00264CCC">
        <w:t>ým</w:t>
      </w:r>
      <w:r>
        <w:t xml:space="preserve"> nákladov</w:t>
      </w:r>
      <w:r w:rsidR="00264CCC">
        <w:t>ým</w:t>
      </w:r>
      <w:r>
        <w:t xml:space="preserve"> účt</w:t>
      </w:r>
      <w:r w:rsidR="00264CCC">
        <w:t>ům</w:t>
      </w:r>
      <w:r w:rsidR="00A158E7">
        <w:t xml:space="preserve"> </w:t>
      </w:r>
      <w:r>
        <w:t>vč. dohadu daně z</w:t>
      </w:r>
      <w:r w:rsidR="001E7BF2">
        <w:t> </w:t>
      </w:r>
      <w:r>
        <w:t>příjmu kraje</w:t>
      </w:r>
      <w:r w:rsidR="00A158E7">
        <w:t xml:space="preserve"> (</w:t>
      </w:r>
      <w:r w:rsidR="00FF4630">
        <w:t xml:space="preserve">celkem </w:t>
      </w:r>
      <w:r w:rsidR="00E10995">
        <w:t>58.639 </w:t>
      </w:r>
      <w:r>
        <w:t>tis.</w:t>
      </w:r>
      <w:r w:rsidR="00E10995">
        <w:t> </w:t>
      </w:r>
      <w:r>
        <w:t>Kč</w:t>
      </w:r>
      <w:r w:rsidR="00A158E7">
        <w:t>)</w:t>
      </w:r>
      <w:r>
        <w:t xml:space="preserve"> a</w:t>
      </w:r>
      <w:r w:rsidR="00264CCC">
        <w:t> </w:t>
      </w:r>
      <w:r>
        <w:t xml:space="preserve">dohad investičních nákladů </w:t>
      </w:r>
      <w:r w:rsidR="00A158E7">
        <w:t>(</w:t>
      </w:r>
      <w:r w:rsidR="00E10995">
        <w:t>277</w:t>
      </w:r>
      <w:r w:rsidR="00FF4630">
        <w:t> </w:t>
      </w:r>
      <w:r>
        <w:t>tis.</w:t>
      </w:r>
      <w:r w:rsidR="00FF4630">
        <w:t> </w:t>
      </w:r>
      <w:r>
        <w:t>Kč</w:t>
      </w:r>
      <w:r w:rsidR="00A158E7">
        <w:t>)</w:t>
      </w:r>
      <w:r>
        <w:t>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Ostatní krátkodobé závazky</w:t>
      </w:r>
      <w:r w:rsidRPr="00933365">
        <w:t xml:space="preserve"> </w:t>
      </w:r>
      <w:r>
        <w:t xml:space="preserve">– na účtu 378 eviduje kraj </w:t>
      </w:r>
      <w:r w:rsidR="001C5ACB">
        <w:t xml:space="preserve">závazky </w:t>
      </w:r>
      <w:r>
        <w:t>v</w:t>
      </w:r>
      <w:r w:rsidR="001E7BF2">
        <w:t> </w:t>
      </w:r>
      <w:r>
        <w:t xml:space="preserve">celkové výši </w:t>
      </w:r>
      <w:r w:rsidR="00A158E7">
        <w:t>18.113 tis. </w:t>
      </w:r>
      <w:r>
        <w:t>Kč, z</w:t>
      </w:r>
      <w:r w:rsidR="001E7BF2">
        <w:t> </w:t>
      </w:r>
      <w:r>
        <w:t>toho nejvyšší objem představují závazky k</w:t>
      </w:r>
      <w:r w:rsidR="001E7BF2">
        <w:t> </w:t>
      </w:r>
      <w:r>
        <w:t>depozit</w:t>
      </w:r>
      <w:r w:rsidR="00933365">
        <w:t xml:space="preserve">nímu účtu ve výši </w:t>
      </w:r>
      <w:r w:rsidR="00A158E7">
        <w:t>9.749</w:t>
      </w:r>
      <w:r w:rsidR="00FF4630">
        <w:t> </w:t>
      </w:r>
      <w:r w:rsidR="00933365">
        <w:t>tis.</w:t>
      </w:r>
      <w:r w:rsidR="00FF4630">
        <w:t> </w:t>
      </w:r>
      <w:r w:rsidR="00933365">
        <w:t xml:space="preserve">Kč </w:t>
      </w:r>
      <w:r>
        <w:t>(jde většinou o</w:t>
      </w:r>
      <w:r w:rsidR="00FC7122">
        <w:t> </w:t>
      </w:r>
      <w:r>
        <w:t>závazky k</w:t>
      </w:r>
      <w:r w:rsidR="001E7BF2">
        <w:t> </w:t>
      </w:r>
      <w:r>
        <w:t>přijatým kaucím od zahraničních dopravců</w:t>
      </w:r>
      <w:r w:rsidR="00A158E7">
        <w:t xml:space="preserve"> – 6.847</w:t>
      </w:r>
      <w:r w:rsidR="00A75B5B">
        <w:t> </w:t>
      </w:r>
      <w:r w:rsidR="00A158E7">
        <w:t>tis.</w:t>
      </w:r>
      <w:r w:rsidR="00A75B5B">
        <w:t> </w:t>
      </w:r>
      <w:r w:rsidR="00A158E7">
        <w:t>Kč</w:t>
      </w:r>
      <w:r>
        <w:t xml:space="preserve">) a dále pak závazky </w:t>
      </w:r>
      <w:r w:rsidR="00A158E7">
        <w:t>z</w:t>
      </w:r>
      <w:r w:rsidR="001E7BF2">
        <w:t> </w:t>
      </w:r>
      <w:r w:rsidR="00A158E7">
        <w:t xml:space="preserve">pronájmu </w:t>
      </w:r>
      <w:r w:rsidR="00A75B5B">
        <w:t>přístrojů (</w:t>
      </w:r>
      <w:r w:rsidR="00AF0E21">
        <w:t xml:space="preserve">dohoda o narovnání mezi krajem a Nemocnicí Nový Jičín, a.s. - </w:t>
      </w:r>
      <w:r w:rsidR="00A75B5B">
        <w:t>7.895 tis. Kč),</w:t>
      </w:r>
      <w:r w:rsidR="00A158E7">
        <w:t xml:space="preserve"> </w:t>
      </w:r>
      <w:r>
        <w:t>z</w:t>
      </w:r>
      <w:r w:rsidR="001E7BF2">
        <w:t> </w:t>
      </w:r>
      <w:r>
        <w:t>po</w:t>
      </w:r>
      <w:r w:rsidR="00A158E7">
        <w:t>řízení dlouhodobého majetku (349 </w:t>
      </w:r>
      <w:r>
        <w:t>tis</w:t>
      </w:r>
      <w:r w:rsidR="00A158E7">
        <w:t>. </w:t>
      </w:r>
      <w:r>
        <w:t>Kč)</w:t>
      </w:r>
      <w:r w:rsidR="00A75B5B">
        <w:t xml:space="preserve"> a ostatní závazky (120 tis. Kč)</w:t>
      </w:r>
      <w:r w:rsidR="00A158E7">
        <w:t>. Oproti r. 2012 došlo k</w:t>
      </w:r>
      <w:r w:rsidR="001E7BF2">
        <w:t> </w:t>
      </w:r>
      <w:r w:rsidR="00A158E7">
        <w:t>nárůstu závazků o 12.369</w:t>
      </w:r>
      <w:r w:rsidR="00FF4630">
        <w:t> </w:t>
      </w:r>
      <w:r w:rsidR="00A158E7">
        <w:t>tis.</w:t>
      </w:r>
      <w:r w:rsidR="00FF4630">
        <w:t> </w:t>
      </w:r>
      <w:r w:rsidR="00A158E7">
        <w:t xml:space="preserve">Kč, a to zejména </w:t>
      </w:r>
      <w:r w:rsidR="00A75B5B">
        <w:t>navýšením </w:t>
      </w:r>
      <w:r w:rsidR="00A158E7">
        <w:t>závazků k</w:t>
      </w:r>
      <w:r w:rsidR="001E7BF2">
        <w:t> </w:t>
      </w:r>
      <w:r w:rsidR="00A158E7">
        <w:t>depozitnímu účtu a vznikem nového závazku z</w:t>
      </w:r>
      <w:r w:rsidR="001E7BF2">
        <w:t> </w:t>
      </w:r>
      <w:r w:rsidR="00A158E7">
        <w:t>pronájmu přístrojů.</w:t>
      </w:r>
    </w:p>
    <w:p w:rsidR="006B28C2" w:rsidRDefault="006B28C2">
      <w:pPr>
        <w:rPr>
          <w:rFonts w:ascii="Tahoma" w:hAnsi="Tahoma" w:cs="Tahoma"/>
          <w:sz w:val="20"/>
          <w:u w:val="single"/>
        </w:rPr>
      </w:pPr>
      <w:r>
        <w:rPr>
          <w:u w:val="single"/>
        </w:rPr>
        <w:br w:type="page"/>
      </w:r>
    </w:p>
    <w:p w:rsidR="00347D42" w:rsidRDefault="00347D42" w:rsidP="00347D42">
      <w:pPr>
        <w:pStyle w:val="Nadpis1"/>
      </w:pPr>
      <w:bookmarkStart w:id="23" w:name="_Toc388005072"/>
      <w:r>
        <w:lastRenderedPageBreak/>
        <w:t>Výkaz zisku a ztráty</w:t>
      </w:r>
      <w:bookmarkEnd w:id="23"/>
    </w:p>
    <w:p w:rsidR="00AF5B34" w:rsidRDefault="00347D42" w:rsidP="00347D42">
      <w:pPr>
        <w:pStyle w:val="Mjtext"/>
        <w:rPr>
          <w:szCs w:val="20"/>
        </w:rPr>
      </w:pPr>
      <w:r w:rsidRPr="00CA1E6A">
        <w:rPr>
          <w:szCs w:val="20"/>
          <w:u w:val="single"/>
        </w:rPr>
        <w:t xml:space="preserve">Ve </w:t>
      </w:r>
      <w:r w:rsidR="003F226D">
        <w:rPr>
          <w:szCs w:val="20"/>
          <w:u w:val="single"/>
        </w:rPr>
        <w:t>V</w:t>
      </w:r>
      <w:r w:rsidRPr="00CA1E6A">
        <w:rPr>
          <w:szCs w:val="20"/>
          <w:u w:val="single"/>
        </w:rPr>
        <w:t>ýkazu zisku a ztráty</w:t>
      </w:r>
      <w:r w:rsidRPr="00CA1E6A">
        <w:rPr>
          <w:szCs w:val="20"/>
        </w:rPr>
        <w:t xml:space="preserve"> </w:t>
      </w:r>
      <w:r w:rsidR="00933365" w:rsidRPr="00CA1E6A">
        <w:rPr>
          <w:szCs w:val="20"/>
        </w:rPr>
        <w:t xml:space="preserve">(VZZ) </w:t>
      </w:r>
      <w:r w:rsidRPr="00CA1E6A">
        <w:rPr>
          <w:szCs w:val="20"/>
        </w:rPr>
        <w:t>jsou uspořádány položky nákladů, výnosů a výsledků hospodaření. Uspořádání a označování položek výkazu stanoví Příloha č. 2 vyhlášky č. 410/2009 Sb.</w:t>
      </w:r>
      <w:r w:rsidR="00FF0A0F">
        <w:rPr>
          <w:szCs w:val="20"/>
        </w:rPr>
        <w:t xml:space="preserve"> Konečné zůstatky </w:t>
      </w:r>
      <w:r w:rsidR="002050C5">
        <w:rPr>
          <w:szCs w:val="20"/>
        </w:rPr>
        <w:t xml:space="preserve">nákladových a </w:t>
      </w:r>
      <w:r w:rsidRPr="00CA1E6A">
        <w:rPr>
          <w:szCs w:val="20"/>
        </w:rPr>
        <w:t>výnos</w:t>
      </w:r>
      <w:r w:rsidR="00FF0A0F">
        <w:rPr>
          <w:szCs w:val="20"/>
        </w:rPr>
        <w:t>ových</w:t>
      </w:r>
      <w:r w:rsidRPr="00CA1E6A">
        <w:rPr>
          <w:szCs w:val="20"/>
        </w:rPr>
        <w:t xml:space="preserve"> </w:t>
      </w:r>
      <w:r w:rsidR="002050C5">
        <w:rPr>
          <w:szCs w:val="20"/>
        </w:rPr>
        <w:t>účtů</w:t>
      </w:r>
      <w:r w:rsidR="002050C5" w:rsidRPr="00CA1E6A">
        <w:rPr>
          <w:szCs w:val="20"/>
        </w:rPr>
        <w:t xml:space="preserve"> </w:t>
      </w:r>
      <w:r w:rsidRPr="00CA1E6A">
        <w:rPr>
          <w:szCs w:val="20"/>
        </w:rPr>
        <w:t>a</w:t>
      </w:r>
      <w:r w:rsidR="00FF0A0F">
        <w:rPr>
          <w:szCs w:val="20"/>
        </w:rPr>
        <w:t xml:space="preserve"> údaje o</w:t>
      </w:r>
      <w:r w:rsidRPr="00CA1E6A">
        <w:rPr>
          <w:szCs w:val="20"/>
        </w:rPr>
        <w:t xml:space="preserve"> výsledk</w:t>
      </w:r>
      <w:r w:rsidR="00FF0A0F">
        <w:rPr>
          <w:szCs w:val="20"/>
        </w:rPr>
        <w:t>u</w:t>
      </w:r>
      <w:r w:rsidRPr="00CA1E6A">
        <w:rPr>
          <w:szCs w:val="20"/>
        </w:rPr>
        <w:t xml:space="preserve"> hospodaření před zdaněním a </w:t>
      </w:r>
      <w:r w:rsidR="002050C5">
        <w:rPr>
          <w:szCs w:val="20"/>
        </w:rPr>
        <w:t>o</w:t>
      </w:r>
      <w:r w:rsidR="002050C5" w:rsidRPr="00CA1E6A">
        <w:rPr>
          <w:szCs w:val="20"/>
        </w:rPr>
        <w:t> </w:t>
      </w:r>
      <w:r w:rsidRPr="00CA1E6A">
        <w:rPr>
          <w:szCs w:val="20"/>
        </w:rPr>
        <w:t>výsledk</w:t>
      </w:r>
      <w:r w:rsidR="00FF0A0F">
        <w:rPr>
          <w:szCs w:val="20"/>
        </w:rPr>
        <w:t>u</w:t>
      </w:r>
      <w:r w:rsidRPr="00CA1E6A">
        <w:rPr>
          <w:szCs w:val="20"/>
        </w:rPr>
        <w:t xml:space="preserve"> hospodaření b</w:t>
      </w:r>
      <w:r w:rsidR="002B2623">
        <w:rPr>
          <w:szCs w:val="20"/>
        </w:rPr>
        <w:t>ěžného účetního období</w:t>
      </w:r>
      <w:r w:rsidR="00FF4630">
        <w:rPr>
          <w:szCs w:val="20"/>
        </w:rPr>
        <w:t xml:space="preserve"> (po zdanění)</w:t>
      </w:r>
      <w:r w:rsidR="002B2623">
        <w:rPr>
          <w:szCs w:val="20"/>
        </w:rPr>
        <w:t xml:space="preserve"> jsou vyká</w:t>
      </w:r>
      <w:r w:rsidRPr="00CA1E6A">
        <w:rPr>
          <w:szCs w:val="20"/>
        </w:rPr>
        <w:t>z</w:t>
      </w:r>
      <w:r w:rsidR="002B2623">
        <w:rPr>
          <w:szCs w:val="20"/>
        </w:rPr>
        <w:t>á</w:t>
      </w:r>
      <w:r w:rsidR="00FF0A0F">
        <w:rPr>
          <w:szCs w:val="20"/>
        </w:rPr>
        <w:t>ny</w:t>
      </w:r>
      <w:r w:rsidRPr="00CA1E6A">
        <w:rPr>
          <w:szCs w:val="20"/>
        </w:rPr>
        <w:t xml:space="preserve"> ve 4 sloupcích. V</w:t>
      </w:r>
      <w:r w:rsidR="001E7BF2">
        <w:rPr>
          <w:szCs w:val="20"/>
        </w:rPr>
        <w:t> </w:t>
      </w:r>
      <w:r w:rsidRPr="00CA1E6A">
        <w:rPr>
          <w:szCs w:val="20"/>
        </w:rPr>
        <w:t>prvních 2 sloupcích jso</w:t>
      </w:r>
      <w:r w:rsidR="002050C5">
        <w:rPr>
          <w:szCs w:val="20"/>
        </w:rPr>
        <w:t>u údaje běžného účetního období;</w:t>
      </w:r>
      <w:r w:rsidRPr="00CA1E6A">
        <w:rPr>
          <w:szCs w:val="20"/>
        </w:rPr>
        <w:t xml:space="preserve"> v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1. </w:t>
      </w:r>
      <w:r w:rsidR="00FF4630">
        <w:rPr>
          <w:szCs w:val="20"/>
        </w:rPr>
        <w:t>s</w:t>
      </w:r>
      <w:r w:rsidRPr="00CA1E6A">
        <w:rPr>
          <w:szCs w:val="20"/>
        </w:rPr>
        <w:t xml:space="preserve">loupci jsou údaje za hlavní činnost účetní jednotky a ve 2. </w:t>
      </w:r>
      <w:r w:rsidR="00BF7FB5">
        <w:rPr>
          <w:szCs w:val="20"/>
        </w:rPr>
        <w:t>s</w:t>
      </w:r>
      <w:r w:rsidRPr="00CA1E6A">
        <w:rPr>
          <w:szCs w:val="20"/>
        </w:rPr>
        <w:t>loupci za</w:t>
      </w:r>
      <w:r w:rsidR="00B2549B">
        <w:rPr>
          <w:szCs w:val="20"/>
        </w:rPr>
        <w:t> </w:t>
      </w:r>
      <w:r w:rsidRPr="00CA1E6A">
        <w:rPr>
          <w:szCs w:val="20"/>
        </w:rPr>
        <w:t>hospodářskou činnost účetní jednotky. V</w:t>
      </w:r>
      <w:r w:rsidR="001E7BF2">
        <w:rPr>
          <w:szCs w:val="20"/>
        </w:rPr>
        <w:t> </w:t>
      </w:r>
      <w:r w:rsidRPr="00CA1E6A">
        <w:rPr>
          <w:szCs w:val="20"/>
        </w:rPr>
        <w:t>dalších dvou sloupcích jsou vykazovány stejné položky za</w:t>
      </w:r>
      <w:r w:rsidR="00B2549B">
        <w:rPr>
          <w:szCs w:val="20"/>
        </w:rPr>
        <w:t> </w:t>
      </w:r>
      <w:r w:rsidRPr="00CA1E6A">
        <w:rPr>
          <w:szCs w:val="20"/>
        </w:rPr>
        <w:t xml:space="preserve">minulé účetní období – ve 3. </w:t>
      </w:r>
      <w:r w:rsidR="007A2F04">
        <w:rPr>
          <w:szCs w:val="20"/>
        </w:rPr>
        <w:t>s</w:t>
      </w:r>
      <w:r w:rsidRPr="00CA1E6A">
        <w:rPr>
          <w:szCs w:val="20"/>
        </w:rPr>
        <w:t xml:space="preserve">loupci za hlavní činnost a ve 4. </w:t>
      </w:r>
      <w:r w:rsidR="007A2F04">
        <w:rPr>
          <w:szCs w:val="20"/>
        </w:rPr>
        <w:t>s</w:t>
      </w:r>
      <w:r w:rsidRPr="00CA1E6A">
        <w:rPr>
          <w:szCs w:val="20"/>
        </w:rPr>
        <w:t>loupci za hospodářskou činnost. Kraj hospodářskou činnost v</w:t>
      </w:r>
      <w:r w:rsidR="001E7BF2">
        <w:rPr>
          <w:szCs w:val="20"/>
        </w:rPr>
        <w:t> </w:t>
      </w:r>
      <w:r w:rsidRPr="00CA1E6A">
        <w:rPr>
          <w:szCs w:val="20"/>
        </w:rPr>
        <w:t>roce 201</w:t>
      </w:r>
      <w:r w:rsidR="00FF0A0F">
        <w:rPr>
          <w:szCs w:val="20"/>
        </w:rPr>
        <w:t xml:space="preserve">3 nevykonával, a proto </w:t>
      </w:r>
      <w:r w:rsidRPr="00CA1E6A">
        <w:rPr>
          <w:szCs w:val="20"/>
        </w:rPr>
        <w:t xml:space="preserve">hodnoty ve 2. </w:t>
      </w:r>
      <w:r w:rsidR="007A2F04">
        <w:rPr>
          <w:szCs w:val="20"/>
        </w:rPr>
        <w:t>a</w:t>
      </w:r>
      <w:r w:rsidR="007A2F04">
        <w:t> </w:t>
      </w:r>
      <w:r w:rsidRPr="00CA1E6A">
        <w:rPr>
          <w:szCs w:val="20"/>
        </w:rPr>
        <w:t xml:space="preserve">4. </w:t>
      </w:r>
      <w:r w:rsidR="007A2F04">
        <w:rPr>
          <w:szCs w:val="20"/>
        </w:rPr>
        <w:t>s</w:t>
      </w:r>
      <w:r w:rsidRPr="00CA1E6A">
        <w:rPr>
          <w:szCs w:val="20"/>
        </w:rPr>
        <w:t>loupci</w:t>
      </w:r>
      <w:r w:rsidR="00AF5B34">
        <w:rPr>
          <w:szCs w:val="20"/>
        </w:rPr>
        <w:t xml:space="preserve"> nejsou</w:t>
      </w:r>
      <w:r w:rsidR="002B2623">
        <w:rPr>
          <w:szCs w:val="20"/>
        </w:rPr>
        <w:t xml:space="preserve"> uvedeny</w:t>
      </w:r>
      <w:r w:rsidR="00AF5B34">
        <w:rPr>
          <w:szCs w:val="20"/>
        </w:rPr>
        <w:t>.</w:t>
      </w:r>
      <w:r w:rsidRPr="00CA1E6A">
        <w:rPr>
          <w:szCs w:val="20"/>
        </w:rPr>
        <w:t xml:space="preserve"> Náklady, výnosy a výsledek</w:t>
      </w:r>
      <w:r w:rsidR="00933365" w:rsidRPr="00CA1E6A">
        <w:rPr>
          <w:szCs w:val="20"/>
        </w:rPr>
        <w:t xml:space="preserve"> hospodaření</w:t>
      </w:r>
      <w:r w:rsidRPr="00CA1E6A">
        <w:rPr>
          <w:szCs w:val="20"/>
        </w:rPr>
        <w:t xml:space="preserve"> jsou </w:t>
      </w:r>
      <w:r w:rsidR="00AF5B34">
        <w:rPr>
          <w:szCs w:val="20"/>
        </w:rPr>
        <w:t xml:space="preserve">zobrazovány </w:t>
      </w:r>
      <w:r w:rsidRPr="00CA1E6A">
        <w:rPr>
          <w:szCs w:val="20"/>
        </w:rPr>
        <w:t>na základě ak</w:t>
      </w:r>
      <w:r w:rsidR="00933365" w:rsidRPr="00CA1E6A">
        <w:rPr>
          <w:szCs w:val="20"/>
        </w:rPr>
        <w:t>r</w:t>
      </w:r>
      <w:r w:rsidRPr="00CA1E6A">
        <w:rPr>
          <w:szCs w:val="20"/>
        </w:rPr>
        <w:t>uálního principu, tj. jsou vykazovány v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tom účetním období, se kterým věcně a časově souvisejí. Tímto se odlišují od hodnot </w:t>
      </w:r>
      <w:r w:rsidR="00AF5B34">
        <w:rPr>
          <w:szCs w:val="20"/>
        </w:rPr>
        <w:t xml:space="preserve">uvedených </w:t>
      </w:r>
      <w:r w:rsidRPr="00CA1E6A">
        <w:rPr>
          <w:szCs w:val="20"/>
        </w:rPr>
        <w:t>v</w:t>
      </w:r>
      <w:r w:rsidR="001E7BF2">
        <w:rPr>
          <w:szCs w:val="20"/>
        </w:rPr>
        <w:t> </w:t>
      </w:r>
      <w:r w:rsidRPr="00CA1E6A">
        <w:rPr>
          <w:szCs w:val="20"/>
        </w:rPr>
        <w:t>příjmech a výdajích v</w:t>
      </w:r>
      <w:r w:rsidR="001E7BF2">
        <w:rPr>
          <w:szCs w:val="20"/>
        </w:rPr>
        <w:t> </w:t>
      </w:r>
      <w:r w:rsidRPr="00CA1E6A">
        <w:rPr>
          <w:szCs w:val="20"/>
        </w:rPr>
        <w:t>rozpočtu kraje, které jsou vykázány v</w:t>
      </w:r>
      <w:r w:rsidR="001E7BF2">
        <w:rPr>
          <w:szCs w:val="20"/>
        </w:rPr>
        <w:t> </w:t>
      </w:r>
      <w:r w:rsidRPr="00CA1E6A">
        <w:rPr>
          <w:szCs w:val="20"/>
        </w:rPr>
        <w:t>tom období, ve kterém došlo k</w:t>
      </w:r>
      <w:r w:rsidR="001E7BF2">
        <w:rPr>
          <w:szCs w:val="20"/>
        </w:rPr>
        <w:t> </w:t>
      </w:r>
      <w:r w:rsidRPr="00CA1E6A">
        <w:rPr>
          <w:szCs w:val="20"/>
        </w:rPr>
        <w:t>jejich realizaci, tj. k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příjmu </w:t>
      </w:r>
      <w:r w:rsidR="002050C5">
        <w:rPr>
          <w:szCs w:val="20"/>
        </w:rPr>
        <w:t xml:space="preserve">na bankovní účet </w:t>
      </w:r>
      <w:r w:rsidRPr="00CA1E6A">
        <w:rPr>
          <w:szCs w:val="20"/>
        </w:rPr>
        <w:t>nebo výdeji z</w:t>
      </w:r>
      <w:r w:rsidR="001E7BF2">
        <w:rPr>
          <w:szCs w:val="20"/>
        </w:rPr>
        <w:t> </w:t>
      </w:r>
      <w:r w:rsidR="002050C5">
        <w:rPr>
          <w:szCs w:val="20"/>
        </w:rPr>
        <w:t>bankovního účtu</w:t>
      </w:r>
      <w:r w:rsidRPr="00CA1E6A">
        <w:rPr>
          <w:szCs w:val="20"/>
        </w:rPr>
        <w:t xml:space="preserve"> kraje v</w:t>
      </w:r>
      <w:r w:rsidR="001E7BF2">
        <w:rPr>
          <w:szCs w:val="20"/>
        </w:rPr>
        <w:t> </w:t>
      </w:r>
      <w:r w:rsidRPr="00CA1E6A">
        <w:rPr>
          <w:szCs w:val="20"/>
        </w:rPr>
        <w:t>roce 201</w:t>
      </w:r>
      <w:r w:rsidR="00AF5B34">
        <w:rPr>
          <w:szCs w:val="20"/>
        </w:rPr>
        <w:t>3</w:t>
      </w:r>
      <w:r w:rsidRPr="00CA1E6A">
        <w:rPr>
          <w:szCs w:val="20"/>
        </w:rPr>
        <w:t xml:space="preserve">. </w:t>
      </w:r>
    </w:p>
    <w:p w:rsidR="00406EB0" w:rsidRDefault="00347D42" w:rsidP="00347D42">
      <w:pPr>
        <w:pStyle w:val="Mjtext"/>
      </w:pPr>
      <w:r w:rsidRPr="00392E8E">
        <w:rPr>
          <w:szCs w:val="20"/>
        </w:rPr>
        <w:t>V</w:t>
      </w:r>
      <w:r w:rsidR="001E7BF2">
        <w:rPr>
          <w:szCs w:val="20"/>
        </w:rPr>
        <w:t> </w:t>
      </w:r>
      <w:r w:rsidRPr="00392E8E">
        <w:rPr>
          <w:szCs w:val="20"/>
        </w:rPr>
        <w:t xml:space="preserve">níže </w:t>
      </w:r>
      <w:r w:rsidRPr="002C14AA">
        <w:rPr>
          <w:szCs w:val="20"/>
        </w:rPr>
        <w:t>uvedené tabulce</w:t>
      </w:r>
      <w:r w:rsidR="00B05C64" w:rsidRPr="002C14AA">
        <w:rPr>
          <w:szCs w:val="20"/>
        </w:rPr>
        <w:t xml:space="preserve"> 1.6</w:t>
      </w:r>
      <w:r w:rsidRPr="002C14AA">
        <w:rPr>
          <w:szCs w:val="20"/>
        </w:rPr>
        <w:t xml:space="preserve"> jsou uvedeny základní údaje z</w:t>
      </w:r>
      <w:r w:rsidR="001E7BF2">
        <w:rPr>
          <w:szCs w:val="20"/>
        </w:rPr>
        <w:t> </w:t>
      </w:r>
      <w:r w:rsidRPr="002C14AA">
        <w:rPr>
          <w:szCs w:val="20"/>
        </w:rPr>
        <w:t xml:space="preserve">Výkazu zisku a ztráty, </w:t>
      </w:r>
      <w:r w:rsidR="00B05C64" w:rsidRPr="002C14AA">
        <w:rPr>
          <w:szCs w:val="20"/>
        </w:rPr>
        <w:t xml:space="preserve">včetně rozdílů </w:t>
      </w:r>
      <w:r w:rsidR="00A4643B" w:rsidRPr="002C14AA">
        <w:rPr>
          <w:szCs w:val="20"/>
        </w:rPr>
        <w:t xml:space="preserve">u jednotlivých </w:t>
      </w:r>
      <w:r w:rsidR="00B05C64" w:rsidRPr="002C14AA">
        <w:rPr>
          <w:szCs w:val="20"/>
        </w:rPr>
        <w:t>položek za období 201</w:t>
      </w:r>
      <w:r w:rsidR="00AF5B34">
        <w:rPr>
          <w:szCs w:val="20"/>
        </w:rPr>
        <w:t>3</w:t>
      </w:r>
      <w:r w:rsidR="00B05C64" w:rsidRPr="002C14AA">
        <w:rPr>
          <w:szCs w:val="20"/>
        </w:rPr>
        <w:t xml:space="preserve"> a 201</w:t>
      </w:r>
      <w:r w:rsidR="00AF5B34">
        <w:rPr>
          <w:szCs w:val="20"/>
        </w:rPr>
        <w:t>2</w:t>
      </w:r>
      <w:r w:rsidR="00B05C64" w:rsidRPr="002C14AA">
        <w:rPr>
          <w:szCs w:val="20"/>
        </w:rPr>
        <w:t>.</w:t>
      </w:r>
      <w:r w:rsidR="00AF0E21">
        <w:rPr>
          <w:szCs w:val="20"/>
        </w:rPr>
        <w:t xml:space="preserve"> Náklady celkem </w:t>
      </w:r>
      <w:r w:rsidR="00C213BA">
        <w:rPr>
          <w:szCs w:val="20"/>
        </w:rPr>
        <w:t>(</w:t>
      </w:r>
      <w:r w:rsidR="00B8493C">
        <w:rPr>
          <w:szCs w:val="20"/>
        </w:rPr>
        <w:t>5.179.815</w:t>
      </w:r>
      <w:r w:rsidR="00B8493C" w:rsidRPr="002C14AA">
        <w:rPr>
          <w:szCs w:val="20"/>
        </w:rPr>
        <w:t> </w:t>
      </w:r>
      <w:r w:rsidR="00B8493C">
        <w:rPr>
          <w:szCs w:val="20"/>
        </w:rPr>
        <w:t>tis.</w:t>
      </w:r>
      <w:r w:rsidR="00B8493C" w:rsidRPr="002C14AA">
        <w:rPr>
          <w:szCs w:val="20"/>
        </w:rPr>
        <w:t> </w:t>
      </w:r>
      <w:r w:rsidR="00B8493C">
        <w:rPr>
          <w:szCs w:val="20"/>
        </w:rPr>
        <w:t>Kč</w:t>
      </w:r>
      <w:r w:rsidR="00C213BA">
        <w:rPr>
          <w:szCs w:val="20"/>
        </w:rPr>
        <w:t>)</w:t>
      </w:r>
      <w:r w:rsidR="00B8493C">
        <w:rPr>
          <w:szCs w:val="20"/>
        </w:rPr>
        <w:t xml:space="preserve"> </w:t>
      </w:r>
      <w:r w:rsidR="00AF0E21">
        <w:rPr>
          <w:szCs w:val="20"/>
        </w:rPr>
        <w:t>se v r. 2013 oproti r. 2012 snížily o</w:t>
      </w:r>
      <w:r w:rsidR="00AF0E21" w:rsidRPr="002C14AA">
        <w:rPr>
          <w:szCs w:val="20"/>
        </w:rPr>
        <w:t> </w:t>
      </w:r>
      <w:r w:rsidR="00AF0E21">
        <w:rPr>
          <w:szCs w:val="20"/>
        </w:rPr>
        <w:t>68.284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AF0E21">
        <w:rPr>
          <w:szCs w:val="20"/>
        </w:rPr>
        <w:t>Kč</w:t>
      </w:r>
      <w:r w:rsidR="00AF0E21" w:rsidRPr="00AF0E21">
        <w:rPr>
          <w:szCs w:val="20"/>
        </w:rPr>
        <w:t>,</w:t>
      </w:r>
      <w:r w:rsidR="00B05C64" w:rsidRPr="00AF0E21">
        <w:rPr>
          <w:szCs w:val="20"/>
        </w:rPr>
        <w:t xml:space="preserve"> </w:t>
      </w:r>
      <w:r w:rsidR="00AF0E21" w:rsidRPr="00AF0E21">
        <w:rPr>
          <w:szCs w:val="20"/>
        </w:rPr>
        <w:t xml:space="preserve">výnosy </w:t>
      </w:r>
      <w:r w:rsidR="00AF0E21">
        <w:rPr>
          <w:szCs w:val="20"/>
        </w:rPr>
        <w:t>celkem</w:t>
      </w:r>
      <w:r w:rsidR="00B8493C">
        <w:rPr>
          <w:szCs w:val="20"/>
        </w:rPr>
        <w:t xml:space="preserve"> </w:t>
      </w:r>
      <w:r w:rsidR="00C213BA">
        <w:rPr>
          <w:szCs w:val="20"/>
        </w:rPr>
        <w:t>(</w:t>
      </w:r>
      <w:r w:rsidR="00B8493C">
        <w:rPr>
          <w:szCs w:val="20"/>
        </w:rPr>
        <w:t>5.581.328</w:t>
      </w:r>
      <w:r w:rsidR="00C213BA">
        <w:rPr>
          <w:szCs w:val="20"/>
        </w:rPr>
        <w:t>)</w:t>
      </w:r>
      <w:r w:rsidR="00AF0E21">
        <w:rPr>
          <w:szCs w:val="20"/>
        </w:rPr>
        <w:t xml:space="preserve"> se zvýšily o</w:t>
      </w:r>
      <w:r w:rsidR="00AF0E21" w:rsidRPr="002C14AA">
        <w:rPr>
          <w:szCs w:val="20"/>
        </w:rPr>
        <w:t> </w:t>
      </w:r>
      <w:r w:rsidR="00AF0E21">
        <w:rPr>
          <w:szCs w:val="20"/>
        </w:rPr>
        <w:t>144.419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AF0E21">
        <w:rPr>
          <w:szCs w:val="20"/>
        </w:rPr>
        <w:t>Kč – tímto došlo ke zlepšenému výsledku hospodaření ve srovnání s r. 2012 o</w:t>
      </w:r>
      <w:r w:rsidR="00AF0E21" w:rsidRPr="002C14AA">
        <w:rPr>
          <w:szCs w:val="20"/>
        </w:rPr>
        <w:t> </w:t>
      </w:r>
      <w:r w:rsidR="00AF0E21">
        <w:rPr>
          <w:szCs w:val="20"/>
        </w:rPr>
        <w:t>212.703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C213BA">
        <w:rPr>
          <w:szCs w:val="20"/>
        </w:rPr>
        <w:t>Kč (výsledek hospodaření za</w:t>
      </w:r>
      <w:r w:rsidR="00CE67F4">
        <w:rPr>
          <w:szCs w:val="20"/>
        </w:rPr>
        <w:t> </w:t>
      </w:r>
      <w:r w:rsidR="00C213BA">
        <w:rPr>
          <w:szCs w:val="20"/>
        </w:rPr>
        <w:t>r. 2013 je ve výši 401.513</w:t>
      </w:r>
      <w:r w:rsidR="00C213BA" w:rsidRPr="002C14AA">
        <w:rPr>
          <w:szCs w:val="20"/>
        </w:rPr>
        <w:t> </w:t>
      </w:r>
      <w:r w:rsidR="00C213BA">
        <w:rPr>
          <w:szCs w:val="20"/>
        </w:rPr>
        <w:t>tis.</w:t>
      </w:r>
      <w:r w:rsidR="00C213BA" w:rsidRPr="002C14AA">
        <w:rPr>
          <w:szCs w:val="20"/>
        </w:rPr>
        <w:t> </w:t>
      </w:r>
      <w:r w:rsidR="00C213BA">
        <w:rPr>
          <w:szCs w:val="20"/>
        </w:rPr>
        <w:t xml:space="preserve">Kč). </w:t>
      </w:r>
      <w:r w:rsidR="00B05C64" w:rsidRPr="002C14AA">
        <w:rPr>
          <w:szCs w:val="20"/>
        </w:rPr>
        <w:t xml:space="preserve">Výkaz zisku a ztráty </w:t>
      </w:r>
      <w:r w:rsidR="00267BAE" w:rsidRPr="002C14AA">
        <w:rPr>
          <w:szCs w:val="20"/>
        </w:rPr>
        <w:t xml:space="preserve">je </w:t>
      </w:r>
      <w:r w:rsidR="00267BAE" w:rsidRPr="000F19D7">
        <w:rPr>
          <w:szCs w:val="20"/>
        </w:rPr>
        <w:t>součástí přílohy č. 2 materiálu – Účetní závěrka Moravskoslezského kraje k</w:t>
      </w:r>
      <w:r w:rsidR="001E7BF2" w:rsidRPr="000F19D7">
        <w:rPr>
          <w:szCs w:val="20"/>
        </w:rPr>
        <w:t> </w:t>
      </w:r>
      <w:r w:rsidR="00267BAE" w:rsidRPr="000F19D7">
        <w:rPr>
          <w:szCs w:val="20"/>
        </w:rPr>
        <w:t>rozvahovému dni 31. 12. 201</w:t>
      </w:r>
      <w:r w:rsidR="00AF5B34" w:rsidRPr="000F19D7">
        <w:rPr>
          <w:szCs w:val="20"/>
        </w:rPr>
        <w:t>3</w:t>
      </w:r>
      <w:r w:rsidR="00267BAE" w:rsidRPr="000F19D7">
        <w:t>.</w:t>
      </w:r>
    </w:p>
    <w:p w:rsidR="00A158E7" w:rsidRDefault="00A158E7">
      <w:pPr>
        <w:rPr>
          <w:rFonts w:ascii="Tahoma" w:hAnsi="Tahoma" w:cs="Tahoma"/>
          <w:sz w:val="20"/>
        </w:rPr>
      </w:pPr>
    </w:p>
    <w:p w:rsidR="00347D42" w:rsidRPr="007370DC" w:rsidRDefault="00347D42" w:rsidP="00D949DA">
      <w:pPr>
        <w:pStyle w:val="Styltab"/>
        <w:rPr>
          <w:rFonts w:ascii="Arial" w:hAnsi="Arial" w:cs="Arial"/>
        </w:rPr>
      </w:pPr>
      <w:r>
        <w:t>Náklady, výnosy a výsledek hospodaření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617"/>
        <w:gridCol w:w="1196"/>
      </w:tblGrid>
      <w:tr w:rsidR="00347D42" w:rsidTr="00C51503">
        <w:trPr>
          <w:trHeight w:val="5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71C9E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D42" w:rsidRPr="00F71C9E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347D42" w:rsidTr="00C51503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42" w:rsidRPr="00F71C9E" w:rsidRDefault="00347D42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A48C7" w:rsidRDefault="00347D42" w:rsidP="00C515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 xml:space="preserve">stav </w:t>
            </w:r>
            <w:r w:rsidR="00B8493C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7D1C4E" w:rsidRPr="00FA48C7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A48C7" w:rsidRDefault="00347D42" w:rsidP="00C515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="00C51503" w:rsidRPr="00FA48C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7D1C4E" w:rsidRPr="00FA48C7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D42" w:rsidRPr="007A2F04" w:rsidRDefault="00FA48C7" w:rsidP="007D1C4E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r</w:t>
            </w:r>
            <w:r w:rsidR="00347D42"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ozdíl</w:t>
            </w:r>
            <w:r w:rsidRPr="007A2F0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 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(2013-2012)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Náklady z</w:t>
            </w:r>
            <w:r w:rsidR="001E7BF2"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946 485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906 521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39 964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71 267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27 485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43 782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4 135 378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4 297 180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-161 802</w:t>
            </w:r>
          </w:p>
        </w:tc>
      </w:tr>
      <w:tr w:rsidR="00F67958" w:rsidTr="00F67958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Daň z</w:t>
            </w:r>
            <w:r w:rsidR="001E7BF2"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příjmů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26 685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16 913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9 772</w:t>
            </w:r>
          </w:p>
        </w:tc>
      </w:tr>
      <w:tr w:rsidR="00F67958" w:rsidTr="00F67958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5 179 815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5 248 099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-68 284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Výnosy z</w:t>
            </w:r>
            <w:r w:rsidR="001E7BF2"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138 452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157 136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-18 684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69 892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66 693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3 199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Výnosy z</w:t>
            </w:r>
            <w:r w:rsidR="001E7BF2"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700 804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677 900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22 904</w:t>
            </w:r>
          </w:p>
        </w:tc>
      </w:tr>
      <w:tr w:rsidR="00F67958" w:rsidTr="00F67958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Výnosy ze sdílených daní a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4 672 180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4 535 180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137 000</w:t>
            </w:r>
          </w:p>
        </w:tc>
      </w:tr>
      <w:tr w:rsidR="00F67958" w:rsidTr="00F67958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5 581 328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5 436 909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144 419</w:t>
            </w:r>
          </w:p>
        </w:tc>
      </w:tr>
      <w:tr w:rsidR="00F67958" w:rsidTr="00F67958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428 198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205 723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222 475</w:t>
            </w:r>
          </w:p>
        </w:tc>
      </w:tr>
      <w:tr w:rsidR="00F67958" w:rsidTr="00F67958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F71C9E">
              <w:rPr>
                <w:rFonts w:ascii="Tahoma" w:hAnsi="Tahoma" w:cs="Tahoma"/>
                <w:i/>
                <w:sz w:val="18"/>
                <w:szCs w:val="18"/>
              </w:rPr>
              <w:t>(po zdanění)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401 513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A683C">
              <w:rPr>
                <w:rFonts w:ascii="Tahoma" w:hAnsi="Tahoma" w:cs="Tahoma"/>
                <w:sz w:val="18"/>
                <w:szCs w:val="18"/>
              </w:rPr>
              <w:t>188 810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i/>
                <w:iCs/>
                <w:sz w:val="18"/>
                <w:szCs w:val="18"/>
              </w:rPr>
              <w:t>212 703</w:t>
            </w:r>
          </w:p>
        </w:tc>
      </w:tr>
      <w:tr w:rsidR="00F67958" w:rsidTr="00F67958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F71C9E" w:rsidRDefault="00F67958" w:rsidP="00C515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9640F0">
              <w:rPr>
                <w:rFonts w:ascii="Tahoma" w:hAnsi="Tahoma" w:cs="Tahoma"/>
                <w:bCs/>
                <w:sz w:val="18"/>
                <w:szCs w:val="18"/>
              </w:rPr>
              <w:t>(SÚ 493 v</w:t>
            </w:r>
            <w:r w:rsidR="001E7BF2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9640F0">
              <w:rPr>
                <w:rFonts w:ascii="Tahoma" w:hAnsi="Tahoma" w:cs="Tahoma"/>
                <w:bCs/>
                <w:sz w:val="18"/>
                <w:szCs w:val="18"/>
              </w:rPr>
              <w:t>rozvaze)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401 513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sz w:val="18"/>
                <w:szCs w:val="18"/>
              </w:rPr>
              <w:t>188 810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958" w:rsidRPr="006A683C" w:rsidRDefault="00F67958" w:rsidP="00F6795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A683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212 703</w:t>
            </w:r>
          </w:p>
        </w:tc>
      </w:tr>
    </w:tbl>
    <w:p w:rsidR="005F6D99" w:rsidRDefault="005F6D99" w:rsidP="005F6D99"/>
    <w:p w:rsidR="005F6D99" w:rsidRDefault="005F6D99" w:rsidP="005F6D99">
      <w:pPr>
        <w:pStyle w:val="Nadpis2"/>
      </w:pPr>
      <w:bookmarkStart w:id="24" w:name="_Toc388005073"/>
      <w:r w:rsidRPr="00120D93">
        <w:t>Náklady</w:t>
      </w:r>
      <w:bookmarkEnd w:id="24"/>
    </w:p>
    <w:p w:rsidR="00741CD1" w:rsidRPr="00741CD1" w:rsidRDefault="00741CD1" w:rsidP="00741CD1">
      <w:pPr>
        <w:pStyle w:val="Mjtext"/>
        <w:rPr>
          <w:szCs w:val="20"/>
        </w:rPr>
      </w:pPr>
      <w:r w:rsidRPr="00741CD1">
        <w:rPr>
          <w:szCs w:val="20"/>
          <w:u w:val="single"/>
        </w:rPr>
        <w:t>Náklady</w:t>
      </w:r>
      <w:r w:rsidRPr="00741CD1">
        <w:rPr>
          <w:szCs w:val="20"/>
        </w:rPr>
        <w:t xml:space="preserve"> kraje tvoří </w:t>
      </w:r>
      <w:r>
        <w:rPr>
          <w:szCs w:val="20"/>
        </w:rPr>
        <w:t>náklady</w:t>
      </w:r>
      <w:r w:rsidRPr="00741CD1">
        <w:rPr>
          <w:szCs w:val="20"/>
        </w:rPr>
        <w:t xml:space="preserve"> z činnosti, finanční </w:t>
      </w:r>
      <w:r>
        <w:rPr>
          <w:szCs w:val="20"/>
        </w:rPr>
        <w:t>náklady</w:t>
      </w:r>
      <w:r w:rsidRPr="00741CD1">
        <w:rPr>
          <w:szCs w:val="20"/>
        </w:rPr>
        <w:t>,</w:t>
      </w:r>
      <w:r>
        <w:rPr>
          <w:szCs w:val="20"/>
        </w:rPr>
        <w:t xml:space="preserve"> náklady na</w:t>
      </w:r>
      <w:r w:rsidRPr="00741CD1">
        <w:rPr>
          <w:szCs w:val="20"/>
        </w:rPr>
        <w:t> transfe</w:t>
      </w:r>
      <w:r>
        <w:rPr>
          <w:szCs w:val="20"/>
        </w:rPr>
        <w:t>ry</w:t>
      </w:r>
      <w:r w:rsidRPr="00741CD1">
        <w:rPr>
          <w:szCs w:val="20"/>
        </w:rPr>
        <w:t xml:space="preserve"> a </w:t>
      </w:r>
      <w:r>
        <w:rPr>
          <w:szCs w:val="20"/>
        </w:rPr>
        <w:t>daň z příjmů</w:t>
      </w:r>
      <w:r w:rsidRPr="00741CD1">
        <w:rPr>
          <w:szCs w:val="20"/>
        </w:rPr>
        <w:t xml:space="preserve">. </w:t>
      </w:r>
      <w:r>
        <w:rPr>
          <w:szCs w:val="20"/>
        </w:rPr>
        <w:t xml:space="preserve">Náklady </w:t>
      </w:r>
      <w:r w:rsidRPr="00741CD1">
        <w:rPr>
          <w:szCs w:val="20"/>
        </w:rPr>
        <w:t xml:space="preserve">se v průběhu roku časově nerozlišují, časové rozlišení </w:t>
      </w:r>
      <w:r w:rsidR="00904F42">
        <w:rPr>
          <w:szCs w:val="20"/>
        </w:rPr>
        <w:t>nákladů</w:t>
      </w:r>
      <w:r w:rsidRPr="00741CD1">
        <w:rPr>
          <w:szCs w:val="20"/>
        </w:rPr>
        <w:t xml:space="preserve"> je realizováno k termínu účetní závěrky, tj. k 31. 12. 2013. K tomuto datu dochází k časovému rozlišení především </w:t>
      </w:r>
      <w:r>
        <w:rPr>
          <w:szCs w:val="20"/>
        </w:rPr>
        <w:t>poskytnutých</w:t>
      </w:r>
      <w:r w:rsidRPr="00741CD1">
        <w:rPr>
          <w:szCs w:val="20"/>
        </w:rPr>
        <w:t xml:space="preserve"> neinvestičních transferů</w:t>
      </w:r>
      <w:r>
        <w:rPr>
          <w:szCs w:val="20"/>
        </w:rPr>
        <w:t>, které jsou poskytovány zálohově</w:t>
      </w:r>
      <w:r w:rsidR="00904F42">
        <w:rPr>
          <w:szCs w:val="20"/>
        </w:rPr>
        <w:t>, nebo ex-post.</w:t>
      </w:r>
      <w:r w:rsidRPr="00741CD1">
        <w:rPr>
          <w:szCs w:val="20"/>
        </w:rPr>
        <w:t xml:space="preserve"> U akcí, na které je poskytnut transfer, se náklady a</w:t>
      </w:r>
      <w:r w:rsidR="00904F42" w:rsidRPr="00741CD1">
        <w:rPr>
          <w:szCs w:val="20"/>
        </w:rPr>
        <w:t> </w:t>
      </w:r>
      <w:r w:rsidRPr="00741CD1">
        <w:rPr>
          <w:szCs w:val="20"/>
        </w:rPr>
        <w:t xml:space="preserve">výnosy časově rozlišují tak, aby byly náklady a výnosy zaúčtované do daného účetního období v alikvotní části. Srovnatelnost jednotlivých druhů nákladů a výnosů je mnohdy vzhledem </w:t>
      </w:r>
      <w:r w:rsidRPr="00741CD1">
        <w:rPr>
          <w:szCs w:val="20"/>
        </w:rPr>
        <w:lastRenderedPageBreak/>
        <w:t xml:space="preserve">ke změnám metodiky účtování v jednotlivých letech těžko proveditelná. Změna metodiky účtování vyplývá zejména ze změn zákonných předpisů a </w:t>
      </w:r>
      <w:r w:rsidR="00904F42">
        <w:rPr>
          <w:szCs w:val="20"/>
        </w:rPr>
        <w:t>stanovených</w:t>
      </w:r>
      <w:r w:rsidRPr="00741CD1">
        <w:rPr>
          <w:szCs w:val="20"/>
        </w:rPr>
        <w:t xml:space="preserve"> postupů účtování v ČÚS.</w:t>
      </w:r>
    </w:p>
    <w:p w:rsidR="00E76BC1" w:rsidRDefault="00E76BC1" w:rsidP="00CD11C6">
      <w:pPr>
        <w:pStyle w:val="Nadpis3"/>
      </w:pPr>
      <w:bookmarkStart w:id="25" w:name="_Toc388005074"/>
      <w:r w:rsidRPr="00100637">
        <w:t>Náklady z</w:t>
      </w:r>
      <w:r w:rsidR="001E7BF2">
        <w:t> </w:t>
      </w:r>
      <w:r w:rsidRPr="00100637">
        <w:t>činnosti</w:t>
      </w:r>
      <w:bookmarkEnd w:id="25"/>
    </w:p>
    <w:p w:rsidR="00B05C64" w:rsidRDefault="00B05C64" w:rsidP="005F6D99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1.7</w:t>
      </w:r>
      <w:r w:rsidR="005F6D99" w:rsidRPr="002C14AA">
        <w:rPr>
          <w:rFonts w:ascii="Tahoma" w:hAnsi="Tahoma" w:cs="Tahoma"/>
          <w:sz w:val="20"/>
          <w:szCs w:val="20"/>
        </w:rPr>
        <w:t xml:space="preserve"> jsou</w:t>
      </w:r>
      <w:r w:rsidR="005F6D99">
        <w:rPr>
          <w:rFonts w:ascii="Tahoma" w:hAnsi="Tahoma" w:cs="Tahoma"/>
          <w:sz w:val="20"/>
          <w:szCs w:val="20"/>
        </w:rPr>
        <w:t xml:space="preserve"> uvedeny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činnosti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6A683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6A68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5F6D99" w:rsidRPr="00B05C64" w:rsidRDefault="005F6D99" w:rsidP="00B05C64"/>
    <w:p w:rsidR="00685533" w:rsidRDefault="00685533" w:rsidP="00D949DA">
      <w:pPr>
        <w:pStyle w:val="Styltab"/>
      </w:pPr>
      <w:r>
        <w:t>Náklady z</w:t>
      </w:r>
      <w:r w:rsidR="001E7BF2">
        <w:t> </w:t>
      </w:r>
      <w:r w:rsidRPr="003B0018">
        <w:t>činnosti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17"/>
        <w:gridCol w:w="1360"/>
        <w:gridCol w:w="1411"/>
      </w:tblGrid>
      <w:tr w:rsidR="00685533" w:rsidRPr="00D70D02" w:rsidTr="00BE09BF">
        <w:trPr>
          <w:trHeight w:val="25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C51503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C51503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FA48C7">
        <w:trPr>
          <w:trHeight w:val="27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C51503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C51503" w:rsidRDefault="00685533" w:rsidP="00BE09B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</w:t>
            </w:r>
            <w:r w:rsidR="00FE2D83" w:rsidRPr="00C51503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12.</w:t>
            </w:r>
            <w:r w:rsidR="00FE2D83" w:rsidRPr="00C51503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201</w:t>
            </w:r>
            <w:r w:rsidR="00BE09BF" w:rsidRPr="00C51503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C51503" w:rsidRDefault="00685533" w:rsidP="00BE09B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BE09BF" w:rsidRPr="00C51503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7A2F04" w:rsidRDefault="00FA48C7" w:rsidP="00FA48C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r</w:t>
            </w:r>
            <w:r w:rsidR="00685533"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ozdíl</w:t>
            </w: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        (2013-2012)</w:t>
            </w:r>
          </w:p>
        </w:tc>
      </w:tr>
      <w:tr w:rsidR="00BE09BF" w:rsidRPr="00D70D02" w:rsidTr="00BE09BF">
        <w:trPr>
          <w:trHeight w:val="51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BF" w:rsidRPr="00C51503" w:rsidRDefault="00BE09BF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 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Náklady z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946 485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906 521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39 964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16 766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18 605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-1 839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6 056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426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zboží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2 453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-2 453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23 738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23 856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-118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6 403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6 266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137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na reprezentaci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6 823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11 670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-4 847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518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220 089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150 479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69 610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mzdové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273 564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272 952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612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88 926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89 362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-436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525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6 986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6 511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475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8A6F27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527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</w:t>
            </w:r>
            <w:r w:rsidR="008A6F27">
              <w:rPr>
                <w:rFonts w:ascii="Tahoma" w:hAnsi="Tahoma" w:cs="Tahoma"/>
                <w:sz w:val="16"/>
                <w:szCs w:val="16"/>
              </w:rPr>
              <w:t>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7 480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4 272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3 208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daň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nemovitosti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747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748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-1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538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daně a poplatky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5 909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4 249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1 660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8A6F27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541 – smluvní pokuty a</w:t>
            </w:r>
            <w:r w:rsidR="008A6F27">
              <w:rPr>
                <w:rFonts w:ascii="Tahoma" w:hAnsi="Tahoma" w:cs="Tahoma"/>
                <w:sz w:val="16"/>
                <w:szCs w:val="16"/>
              </w:rPr>
              <w:t xml:space="preserve"> úroky z prodlení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18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3 346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1 317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2 029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32 289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-31 763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7 412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-7 412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548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fondů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3 108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39 462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-36 354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odpisy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120 750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123 170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-2 420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36 448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13 530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22 918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pozemky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16 550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26 091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-9 541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556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a zúčtování opravných položek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-19 056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-984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-18 072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557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vyřazených pohledávek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33 121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12 116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21 005</w:t>
            </w:r>
          </w:p>
        </w:tc>
      </w:tr>
      <w:tr w:rsidR="00BE09BF" w:rsidRPr="00D70D02" w:rsidTr="00FA4B3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558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drobného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53 919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21 494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32 425</w:t>
            </w:r>
          </w:p>
        </w:tc>
      </w:tr>
      <w:tr w:rsidR="00BE09BF" w:rsidRPr="00D70D02" w:rsidTr="00FA4B39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549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náklady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33 842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33 145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09BF" w:rsidRPr="00C51503" w:rsidRDefault="00BE09BF" w:rsidP="00FA4B3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697</w:t>
            </w:r>
          </w:p>
        </w:tc>
      </w:tr>
    </w:tbl>
    <w:p w:rsidR="00685533" w:rsidRDefault="00685533" w:rsidP="00FD15C6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 w:rsidRPr="004E3990">
        <w:rPr>
          <w:szCs w:val="20"/>
          <w:u w:val="single"/>
        </w:rPr>
        <w:t>činnosti</w:t>
      </w:r>
      <w:r>
        <w:rPr>
          <w:szCs w:val="20"/>
        </w:rPr>
        <w:t xml:space="preserve"> představují různé náklady</w:t>
      </w:r>
      <w:r w:rsidR="008D2939">
        <w:rPr>
          <w:szCs w:val="20"/>
        </w:rPr>
        <w:t xml:space="preserve"> </w:t>
      </w:r>
      <w:r w:rsidR="008D2939" w:rsidRPr="001C5ACB">
        <w:rPr>
          <w:szCs w:val="20"/>
        </w:rPr>
        <w:t>provozního charakteru</w:t>
      </w:r>
      <w:r w:rsidRPr="001C5ACB">
        <w:rPr>
          <w:szCs w:val="20"/>
        </w:rPr>
        <w:t xml:space="preserve"> vynaložené na zabezpečení činnost</w:t>
      </w:r>
      <w:r w:rsidR="001C5ACB" w:rsidRPr="001C5ACB">
        <w:rPr>
          <w:szCs w:val="20"/>
        </w:rPr>
        <w:t>í</w:t>
      </w:r>
      <w:r w:rsidRPr="001C5ACB">
        <w:rPr>
          <w:szCs w:val="20"/>
        </w:rPr>
        <w:t xml:space="preserve"> kraje</w:t>
      </w:r>
      <w:r w:rsidR="008D2939" w:rsidRPr="001C5ACB">
        <w:rPr>
          <w:szCs w:val="20"/>
        </w:rPr>
        <w:t>. Jednotlivé druhy nákladů se</w:t>
      </w:r>
      <w:r w:rsidRPr="001C5ACB">
        <w:rPr>
          <w:szCs w:val="20"/>
        </w:rPr>
        <w:t xml:space="preserve"> podle obsahu vykazují na těchto syntetických účtech: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EE289A">
        <w:rPr>
          <w:szCs w:val="20"/>
          <w:u w:val="single"/>
        </w:rPr>
        <w:t>Spotřeba materiálu</w:t>
      </w:r>
      <w:r>
        <w:rPr>
          <w:szCs w:val="20"/>
        </w:rPr>
        <w:t xml:space="preserve"> – na účtu 501 jsou účtovány náklady na kancelářské potřeby, knihy, brožury a časopisy, pohonné hmoty, ochranné pomůcky, materiál pro údržbu, léčiva a zdravotnický materiál, drobný </w:t>
      </w:r>
      <w:r w:rsidR="008D2939">
        <w:rPr>
          <w:szCs w:val="20"/>
        </w:rPr>
        <w:t xml:space="preserve">DHM </w:t>
      </w:r>
      <w:r>
        <w:rPr>
          <w:szCs w:val="20"/>
        </w:rPr>
        <w:t xml:space="preserve">evidovaný na podrozvahových účtech a ostatní materiál. Největší objem představuje nákup </w:t>
      </w:r>
      <w:r w:rsidR="006A683C">
        <w:rPr>
          <w:szCs w:val="20"/>
        </w:rPr>
        <w:t>ostatního pomocného materiálu (4.524 tis. Kč), dále drobného hmotného maje</w:t>
      </w:r>
      <w:r w:rsidR="00A97C95">
        <w:rPr>
          <w:szCs w:val="20"/>
        </w:rPr>
        <w:t>tk</w:t>
      </w:r>
      <w:r w:rsidR="006A683C">
        <w:rPr>
          <w:szCs w:val="20"/>
        </w:rPr>
        <w:t>u</w:t>
      </w:r>
      <w:r>
        <w:rPr>
          <w:szCs w:val="20"/>
        </w:rPr>
        <w:t xml:space="preserve"> (</w:t>
      </w:r>
      <w:r w:rsidR="006A683C">
        <w:rPr>
          <w:szCs w:val="20"/>
        </w:rPr>
        <w:t>4.0</w:t>
      </w:r>
      <w:r w:rsidR="007A2F04">
        <w:rPr>
          <w:szCs w:val="20"/>
        </w:rPr>
        <w:t>50</w:t>
      </w:r>
      <w:r w:rsidR="00CA1E6A">
        <w:rPr>
          <w:szCs w:val="20"/>
        </w:rPr>
        <w:t> </w:t>
      </w:r>
      <w:r w:rsidR="00A97C95">
        <w:rPr>
          <w:szCs w:val="20"/>
        </w:rPr>
        <w:t>tis. Kč) a nákup knih, brožur, letáků a ostatních tiskovin (3.638 tis. Kč –</w:t>
      </w:r>
      <w:r w:rsidR="007A2F04">
        <w:rPr>
          <w:szCs w:val="20"/>
        </w:rPr>
        <w:t xml:space="preserve"> </w:t>
      </w:r>
      <w:r w:rsidR="00156941">
        <w:rPr>
          <w:szCs w:val="20"/>
        </w:rPr>
        <w:t xml:space="preserve">z toho </w:t>
      </w:r>
      <w:r w:rsidR="00A97C95">
        <w:rPr>
          <w:szCs w:val="20"/>
        </w:rPr>
        <w:t>v</w:t>
      </w:r>
      <w:r w:rsidR="001E7BF2">
        <w:rPr>
          <w:szCs w:val="20"/>
        </w:rPr>
        <w:t> </w:t>
      </w:r>
      <w:r w:rsidR="00A97C95">
        <w:rPr>
          <w:szCs w:val="20"/>
        </w:rPr>
        <w:t>rámci projektů</w:t>
      </w:r>
      <w:r w:rsidR="00156941">
        <w:rPr>
          <w:szCs w:val="20"/>
        </w:rPr>
        <w:t xml:space="preserve"> – 1.416 tis. Kč</w:t>
      </w:r>
      <w:r w:rsidR="00A97C95">
        <w:rPr>
          <w:szCs w:val="20"/>
        </w:rPr>
        <w:t>).</w:t>
      </w:r>
      <w:r>
        <w:rPr>
          <w:szCs w:val="20"/>
        </w:rPr>
        <w:t xml:space="preserve"> </w:t>
      </w:r>
      <w:r w:rsidR="00B05C64">
        <w:rPr>
          <w:szCs w:val="20"/>
        </w:rPr>
        <w:t xml:space="preserve">Celková spotřeba materiálu je ve výši </w:t>
      </w:r>
      <w:r w:rsidR="006A683C">
        <w:rPr>
          <w:szCs w:val="20"/>
        </w:rPr>
        <w:t>16.766 </w:t>
      </w:r>
      <w:r w:rsidR="00B05C64">
        <w:rPr>
          <w:szCs w:val="20"/>
        </w:rPr>
        <w:t>tis.</w:t>
      </w:r>
      <w:r w:rsidR="006A683C">
        <w:rPr>
          <w:szCs w:val="20"/>
        </w:rPr>
        <w:t> </w:t>
      </w:r>
      <w:r w:rsidR="00A97C95">
        <w:rPr>
          <w:szCs w:val="20"/>
        </w:rPr>
        <w:t>Kč – oproti r. 2012</w:t>
      </w:r>
      <w:r w:rsidR="00156941">
        <w:rPr>
          <w:szCs w:val="20"/>
        </w:rPr>
        <w:t xml:space="preserve"> došlo k</w:t>
      </w:r>
      <w:r w:rsidR="001E7BF2">
        <w:rPr>
          <w:szCs w:val="20"/>
        </w:rPr>
        <w:t> </w:t>
      </w:r>
      <w:r w:rsidR="00A97C95">
        <w:rPr>
          <w:szCs w:val="20"/>
        </w:rPr>
        <w:t>pokles</w:t>
      </w:r>
      <w:r w:rsidR="00156941">
        <w:rPr>
          <w:szCs w:val="20"/>
        </w:rPr>
        <w:t>u</w:t>
      </w:r>
      <w:r w:rsidR="00A97C95">
        <w:rPr>
          <w:szCs w:val="20"/>
        </w:rPr>
        <w:t xml:space="preserve"> o 1.839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Spotřeba energie</w:t>
      </w:r>
      <w:r w:rsidRPr="001C5ACB">
        <w:rPr>
          <w:szCs w:val="20"/>
        </w:rPr>
        <w:t xml:space="preserve"> </w:t>
      </w:r>
      <w:r>
        <w:rPr>
          <w:szCs w:val="20"/>
        </w:rPr>
        <w:t xml:space="preserve">– na účtu 502 jsou účtovány náklady na spotřebu elektrické energie, </w:t>
      </w:r>
      <w:r w:rsidR="007A2F04">
        <w:rPr>
          <w:szCs w:val="20"/>
        </w:rPr>
        <w:t xml:space="preserve">plynu, </w:t>
      </w:r>
      <w:r>
        <w:rPr>
          <w:szCs w:val="20"/>
        </w:rPr>
        <w:t>tepla, páry a studenou vodu</w:t>
      </w:r>
      <w:r w:rsidR="00156941">
        <w:rPr>
          <w:szCs w:val="20"/>
        </w:rPr>
        <w:t xml:space="preserve"> v</w:t>
      </w:r>
      <w:r w:rsidR="001E7BF2">
        <w:rPr>
          <w:szCs w:val="20"/>
        </w:rPr>
        <w:t> </w:t>
      </w:r>
      <w:r w:rsidR="00156941">
        <w:rPr>
          <w:szCs w:val="20"/>
        </w:rPr>
        <w:t>celkové výši 6.482 tis. Kč</w:t>
      </w:r>
      <w:r>
        <w:rPr>
          <w:szCs w:val="20"/>
        </w:rPr>
        <w:t>. Největš</w:t>
      </w:r>
      <w:r w:rsidR="00156941">
        <w:rPr>
          <w:szCs w:val="20"/>
        </w:rPr>
        <w:t>í</w:t>
      </w:r>
      <w:r>
        <w:rPr>
          <w:szCs w:val="20"/>
        </w:rPr>
        <w:t xml:space="preserve"> položk</w:t>
      </w:r>
      <w:r w:rsidR="00156941">
        <w:rPr>
          <w:szCs w:val="20"/>
        </w:rPr>
        <w:t>y představuje spotřeba elektrické energie (3.786 tis. Kč)</w:t>
      </w:r>
      <w:r>
        <w:rPr>
          <w:szCs w:val="20"/>
        </w:rPr>
        <w:t xml:space="preserve"> </w:t>
      </w:r>
      <w:r w:rsidR="00156941">
        <w:rPr>
          <w:szCs w:val="20"/>
        </w:rPr>
        <w:t>a spotřeba tepla a páry (2.168 tis. Kč).</w:t>
      </w:r>
    </w:p>
    <w:p w:rsidR="00685533" w:rsidRPr="00185749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185749">
        <w:rPr>
          <w:szCs w:val="20"/>
          <w:u w:val="single"/>
        </w:rPr>
        <w:lastRenderedPageBreak/>
        <w:t>Prodané zboží</w:t>
      </w:r>
      <w:r w:rsidRPr="00143679">
        <w:rPr>
          <w:szCs w:val="20"/>
        </w:rPr>
        <w:t xml:space="preserve"> </w:t>
      </w:r>
      <w:r w:rsidR="00156941">
        <w:rPr>
          <w:szCs w:val="20"/>
        </w:rPr>
        <w:t>– na účtu 504 byl v</w:t>
      </w:r>
      <w:r w:rsidR="001E7BF2">
        <w:rPr>
          <w:szCs w:val="20"/>
        </w:rPr>
        <w:t> </w:t>
      </w:r>
      <w:r w:rsidR="00156941">
        <w:rPr>
          <w:szCs w:val="20"/>
        </w:rPr>
        <w:t>r. 2012</w:t>
      </w:r>
      <w:r w:rsidRPr="00185749">
        <w:rPr>
          <w:szCs w:val="20"/>
        </w:rPr>
        <w:t xml:space="preserve"> </w:t>
      </w:r>
      <w:r w:rsidR="00156941">
        <w:rPr>
          <w:szCs w:val="20"/>
        </w:rPr>
        <w:t xml:space="preserve">vykázán náklad </w:t>
      </w:r>
      <w:r w:rsidR="00B05C64">
        <w:rPr>
          <w:szCs w:val="20"/>
        </w:rPr>
        <w:t xml:space="preserve">ve výši </w:t>
      </w:r>
      <w:r w:rsidR="008D2939">
        <w:rPr>
          <w:szCs w:val="20"/>
        </w:rPr>
        <w:t>2.453</w:t>
      </w:r>
      <w:r w:rsidR="004C307A">
        <w:t> </w:t>
      </w:r>
      <w:r w:rsidR="008D2939">
        <w:rPr>
          <w:szCs w:val="20"/>
        </w:rPr>
        <w:t>tis.</w:t>
      </w:r>
      <w:r w:rsidR="004C307A">
        <w:t> </w:t>
      </w:r>
      <w:r w:rsidR="008D2939">
        <w:rPr>
          <w:szCs w:val="20"/>
        </w:rPr>
        <w:t>Kč</w:t>
      </w:r>
      <w:r w:rsidR="00143679">
        <w:rPr>
          <w:szCs w:val="20"/>
        </w:rPr>
        <w:t xml:space="preserve"> z</w:t>
      </w:r>
      <w:r w:rsidR="001E7BF2">
        <w:rPr>
          <w:szCs w:val="20"/>
        </w:rPr>
        <w:t> </w:t>
      </w:r>
      <w:r w:rsidRPr="00185749">
        <w:rPr>
          <w:szCs w:val="20"/>
        </w:rPr>
        <w:t>prodej</w:t>
      </w:r>
      <w:r w:rsidR="007670D4">
        <w:rPr>
          <w:szCs w:val="20"/>
        </w:rPr>
        <w:t>e</w:t>
      </w:r>
      <w:r w:rsidRPr="00185749">
        <w:rPr>
          <w:szCs w:val="20"/>
        </w:rPr>
        <w:t xml:space="preserve"> zboží převzatého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Pr="00185749">
          <w:rPr>
            <w:szCs w:val="20"/>
          </w:rPr>
          <w:t>1.</w:t>
        </w:r>
        <w:r w:rsidR="00143679">
          <w:rPr>
            <w:szCs w:val="20"/>
          </w:rPr>
          <w:t> </w:t>
        </w:r>
        <w:r w:rsidRPr="00185749">
          <w:rPr>
            <w:szCs w:val="20"/>
          </w:rPr>
          <w:t>1.</w:t>
        </w:r>
        <w:r w:rsidR="00143679">
          <w:rPr>
            <w:szCs w:val="20"/>
          </w:rPr>
          <w:t> </w:t>
        </w:r>
        <w:r w:rsidRPr="00185749">
          <w:rPr>
            <w:szCs w:val="20"/>
          </w:rPr>
          <w:t>2012</w:t>
        </w:r>
      </w:smartTag>
      <w:r w:rsidR="00143679">
        <w:rPr>
          <w:szCs w:val="20"/>
        </w:rPr>
        <w:t xml:space="preserve"> ze zrušené </w:t>
      </w:r>
      <w:r w:rsidRPr="00185749">
        <w:rPr>
          <w:szCs w:val="20"/>
        </w:rPr>
        <w:t>Nemocnice s</w:t>
      </w:r>
      <w:r w:rsidR="001E7BF2">
        <w:rPr>
          <w:szCs w:val="20"/>
        </w:rPr>
        <w:t> </w:t>
      </w:r>
      <w:r w:rsidRPr="00185749">
        <w:rPr>
          <w:szCs w:val="20"/>
        </w:rPr>
        <w:t>poliklinikou v</w:t>
      </w:r>
      <w:r w:rsidR="001E7BF2">
        <w:rPr>
          <w:szCs w:val="20"/>
        </w:rPr>
        <w:t> </w:t>
      </w:r>
      <w:r w:rsidRPr="00185749">
        <w:rPr>
          <w:szCs w:val="20"/>
        </w:rPr>
        <w:t>Novém Jičíně</w:t>
      </w:r>
      <w:r w:rsidR="00143679">
        <w:rPr>
          <w:szCs w:val="20"/>
        </w:rPr>
        <w:t>, p.o.</w:t>
      </w:r>
      <w:r w:rsidRPr="00185749">
        <w:rPr>
          <w:szCs w:val="20"/>
        </w:rPr>
        <w:t xml:space="preserve"> Zboží</w:t>
      </w:r>
      <w:r w:rsidR="003C7633">
        <w:rPr>
          <w:szCs w:val="20"/>
        </w:rPr>
        <w:t xml:space="preserve"> (zejména léky)</w:t>
      </w:r>
      <w:r w:rsidRPr="00185749">
        <w:rPr>
          <w:szCs w:val="20"/>
        </w:rPr>
        <w:t xml:space="preserve"> bylo p</w:t>
      </w:r>
      <w:r w:rsidR="00143679">
        <w:rPr>
          <w:szCs w:val="20"/>
        </w:rPr>
        <w:t>rodáno Nemocnici Nový Jičín, a.</w:t>
      </w:r>
      <w:r w:rsidRPr="00185749">
        <w:rPr>
          <w:szCs w:val="20"/>
        </w:rPr>
        <w:t xml:space="preserve">s. </w:t>
      </w:r>
      <w:r w:rsidR="00156941">
        <w:rPr>
          <w:szCs w:val="20"/>
        </w:rPr>
        <w:t>V</w:t>
      </w:r>
      <w:r w:rsidR="001E7BF2">
        <w:rPr>
          <w:szCs w:val="20"/>
        </w:rPr>
        <w:t> </w:t>
      </w:r>
      <w:r w:rsidR="00156941">
        <w:rPr>
          <w:szCs w:val="20"/>
        </w:rPr>
        <w:t>r. 2013 nebyl žádný prodej zboží realizován.</w:t>
      </w:r>
    </w:p>
    <w:p w:rsidR="00685533" w:rsidRPr="00DC7351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Opravy a udržování</w:t>
      </w:r>
      <w:r w:rsidRPr="00143679">
        <w:rPr>
          <w:szCs w:val="20"/>
        </w:rPr>
        <w:t xml:space="preserve"> </w:t>
      </w:r>
      <w:r>
        <w:rPr>
          <w:szCs w:val="20"/>
        </w:rPr>
        <w:t>– na účtu 511 jsou účtovány náklady</w:t>
      </w:r>
      <w:r w:rsidR="00156941">
        <w:rPr>
          <w:szCs w:val="20"/>
        </w:rPr>
        <w:t xml:space="preserve"> v</w:t>
      </w:r>
      <w:r w:rsidR="001E7BF2">
        <w:rPr>
          <w:szCs w:val="20"/>
        </w:rPr>
        <w:t> </w:t>
      </w:r>
      <w:r w:rsidR="00156941">
        <w:rPr>
          <w:szCs w:val="20"/>
        </w:rPr>
        <w:t>celkové výši 23.738 </w:t>
      </w:r>
      <w:r w:rsidR="00B05C64">
        <w:rPr>
          <w:szCs w:val="20"/>
        </w:rPr>
        <w:t>tis.</w:t>
      </w:r>
      <w:r w:rsidR="00156941">
        <w:rPr>
          <w:szCs w:val="20"/>
        </w:rPr>
        <w:t> </w:t>
      </w:r>
      <w:r w:rsidR="00B05C64">
        <w:rPr>
          <w:szCs w:val="20"/>
        </w:rPr>
        <w:t xml:space="preserve">Kč, a to náklady na </w:t>
      </w:r>
      <w:r w:rsidR="008D2939">
        <w:rPr>
          <w:szCs w:val="20"/>
        </w:rPr>
        <w:t>opravy,</w:t>
      </w:r>
      <w:r>
        <w:rPr>
          <w:szCs w:val="20"/>
        </w:rPr>
        <w:t xml:space="preserve"> </w:t>
      </w:r>
      <w:r w:rsidRPr="00DC7351">
        <w:rPr>
          <w:szCs w:val="20"/>
        </w:rPr>
        <w:t xml:space="preserve">udržování </w:t>
      </w:r>
      <w:r w:rsidR="008D2939" w:rsidRPr="00DC7351">
        <w:rPr>
          <w:szCs w:val="20"/>
        </w:rPr>
        <w:t>a</w:t>
      </w:r>
      <w:r w:rsidRPr="00DC7351">
        <w:rPr>
          <w:szCs w:val="20"/>
        </w:rPr>
        <w:t xml:space="preserve"> servisní prohlíd</w:t>
      </w:r>
      <w:r w:rsidR="008D2939" w:rsidRPr="00DC7351">
        <w:rPr>
          <w:szCs w:val="20"/>
        </w:rPr>
        <w:t>ky</w:t>
      </w:r>
      <w:r w:rsidRPr="00DC7351">
        <w:rPr>
          <w:szCs w:val="20"/>
        </w:rPr>
        <w:t xml:space="preserve"> budov</w:t>
      </w:r>
      <w:r>
        <w:rPr>
          <w:szCs w:val="20"/>
        </w:rPr>
        <w:t xml:space="preserve">, dopravních prostředků, kancelářské techniky </w:t>
      </w:r>
      <w:r w:rsidR="00135D97">
        <w:rPr>
          <w:szCs w:val="20"/>
        </w:rPr>
        <w:t>(</w:t>
      </w:r>
      <w:r>
        <w:rPr>
          <w:szCs w:val="20"/>
        </w:rPr>
        <w:t>včetně drobného hmotného majetku</w:t>
      </w:r>
      <w:r w:rsidR="00135D97">
        <w:rPr>
          <w:szCs w:val="20"/>
        </w:rPr>
        <w:t>)</w:t>
      </w:r>
      <w:r>
        <w:rPr>
          <w:szCs w:val="20"/>
        </w:rPr>
        <w:t xml:space="preserve"> a také </w:t>
      </w:r>
      <w:r w:rsidR="008D2939">
        <w:rPr>
          <w:szCs w:val="20"/>
        </w:rPr>
        <w:t xml:space="preserve">náklady na </w:t>
      </w:r>
      <w:r>
        <w:rPr>
          <w:szCs w:val="20"/>
        </w:rPr>
        <w:t xml:space="preserve">opravy a údržbu silnic (v rámci projektů). Největší položku představují náklady na opravy </w:t>
      </w:r>
      <w:r w:rsidR="00135D97">
        <w:rPr>
          <w:szCs w:val="20"/>
        </w:rPr>
        <w:t xml:space="preserve">a údržbu </w:t>
      </w:r>
      <w:r>
        <w:rPr>
          <w:szCs w:val="20"/>
        </w:rPr>
        <w:t>budov (</w:t>
      </w:r>
      <w:r w:rsidR="00135D97">
        <w:rPr>
          <w:szCs w:val="20"/>
        </w:rPr>
        <w:t>13.048 </w:t>
      </w:r>
      <w:r>
        <w:rPr>
          <w:szCs w:val="20"/>
        </w:rPr>
        <w:t>tis.</w:t>
      </w:r>
      <w:r w:rsidR="00135D97">
        <w:rPr>
          <w:szCs w:val="20"/>
        </w:rPr>
        <w:t> </w:t>
      </w:r>
      <w:r>
        <w:rPr>
          <w:szCs w:val="20"/>
        </w:rPr>
        <w:t>Kč)</w:t>
      </w:r>
      <w:r w:rsidR="00135D97">
        <w:rPr>
          <w:szCs w:val="20"/>
        </w:rPr>
        <w:t>, dále opravy pronajatého majetku (4.238 tis. Kč)</w:t>
      </w:r>
      <w:r>
        <w:rPr>
          <w:szCs w:val="20"/>
        </w:rPr>
        <w:t xml:space="preserve"> a</w:t>
      </w:r>
      <w:r w:rsidR="00135D97">
        <w:rPr>
          <w:szCs w:val="20"/>
        </w:rPr>
        <w:t> </w:t>
      </w:r>
      <w:r>
        <w:rPr>
          <w:szCs w:val="20"/>
        </w:rPr>
        <w:t>opravy</w:t>
      </w:r>
      <w:r w:rsidR="00135D97">
        <w:rPr>
          <w:szCs w:val="20"/>
        </w:rPr>
        <w:t xml:space="preserve"> a údržbu</w:t>
      </w:r>
      <w:r>
        <w:rPr>
          <w:szCs w:val="20"/>
        </w:rPr>
        <w:t xml:space="preserve"> silnic (</w:t>
      </w:r>
      <w:r w:rsidRPr="00DC7351">
        <w:rPr>
          <w:szCs w:val="20"/>
        </w:rPr>
        <w:t>realizováno v</w:t>
      </w:r>
      <w:r w:rsidR="001E7BF2">
        <w:rPr>
          <w:szCs w:val="20"/>
        </w:rPr>
        <w:t> </w:t>
      </w:r>
      <w:r w:rsidRPr="00DC7351">
        <w:rPr>
          <w:szCs w:val="20"/>
        </w:rPr>
        <w:t xml:space="preserve">rámci projektů </w:t>
      </w:r>
      <w:r w:rsidR="00135D97">
        <w:rPr>
          <w:szCs w:val="20"/>
        </w:rPr>
        <w:t>ve výši 4.064 </w:t>
      </w:r>
      <w:r w:rsidRPr="00DC7351">
        <w:rPr>
          <w:szCs w:val="20"/>
        </w:rPr>
        <w:t>tis.</w:t>
      </w:r>
      <w:r w:rsidR="00135D97">
        <w:rPr>
          <w:szCs w:val="20"/>
        </w:rPr>
        <w:t> </w:t>
      </w:r>
      <w:r w:rsidRPr="00DC7351">
        <w:rPr>
          <w:szCs w:val="20"/>
        </w:rPr>
        <w:t>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Cestovné</w:t>
      </w:r>
      <w:r w:rsidRPr="00DC7351">
        <w:rPr>
          <w:szCs w:val="20"/>
        </w:rPr>
        <w:t xml:space="preserve"> </w:t>
      </w:r>
      <w:r>
        <w:rPr>
          <w:szCs w:val="20"/>
        </w:rPr>
        <w:t>– na účtu 512 jsou účtovány náklady na tuzemské a zahraniční cestovné, které byly vynaloženy v</w:t>
      </w:r>
      <w:r w:rsidR="001E7BF2">
        <w:rPr>
          <w:szCs w:val="20"/>
        </w:rPr>
        <w:t> </w:t>
      </w:r>
      <w:r>
        <w:rPr>
          <w:szCs w:val="20"/>
        </w:rPr>
        <w:t xml:space="preserve">rámci pracovních cest zaměstnanců, zastupitelů, členů komisí a výborů a ostatních fyzických osob (u projektů). Na tuzemské pracovní cesty bylo vynaloženo </w:t>
      </w:r>
      <w:r w:rsidR="00DB4362">
        <w:rPr>
          <w:szCs w:val="20"/>
        </w:rPr>
        <w:t>3.263 </w:t>
      </w:r>
      <w:r>
        <w:rPr>
          <w:szCs w:val="20"/>
        </w:rPr>
        <w:t>tis.</w:t>
      </w:r>
      <w:r w:rsidR="00DB4362">
        <w:rPr>
          <w:szCs w:val="20"/>
        </w:rPr>
        <w:t> K</w:t>
      </w:r>
      <w:r>
        <w:rPr>
          <w:szCs w:val="20"/>
        </w:rPr>
        <w:t>č (z toho v</w:t>
      </w:r>
      <w:r w:rsidR="001E7BF2">
        <w:rPr>
          <w:szCs w:val="20"/>
        </w:rPr>
        <w:t> </w:t>
      </w:r>
      <w:r>
        <w:rPr>
          <w:szCs w:val="20"/>
        </w:rPr>
        <w:t xml:space="preserve">rámci projektů </w:t>
      </w:r>
      <w:r w:rsidR="00DB4362">
        <w:rPr>
          <w:szCs w:val="20"/>
        </w:rPr>
        <w:t>611 </w:t>
      </w:r>
      <w:r>
        <w:rPr>
          <w:szCs w:val="20"/>
        </w:rPr>
        <w:t>tis.</w:t>
      </w:r>
      <w:r w:rsidR="00DB4362">
        <w:rPr>
          <w:szCs w:val="20"/>
        </w:rPr>
        <w:t> K</w:t>
      </w:r>
      <w:r>
        <w:rPr>
          <w:szCs w:val="20"/>
        </w:rPr>
        <w:t xml:space="preserve">č) a na zahraniční </w:t>
      </w:r>
      <w:r w:rsidR="00DB4362">
        <w:rPr>
          <w:szCs w:val="20"/>
        </w:rPr>
        <w:t>3.140 </w:t>
      </w:r>
      <w:r>
        <w:rPr>
          <w:szCs w:val="20"/>
        </w:rPr>
        <w:t>tis.</w:t>
      </w:r>
      <w:r w:rsidR="00DB4362">
        <w:rPr>
          <w:szCs w:val="20"/>
        </w:rPr>
        <w:t> Kč (z toho v</w:t>
      </w:r>
      <w:r w:rsidR="001E7BF2">
        <w:rPr>
          <w:szCs w:val="20"/>
        </w:rPr>
        <w:t> </w:t>
      </w:r>
      <w:r w:rsidR="00DB4362">
        <w:rPr>
          <w:szCs w:val="20"/>
        </w:rPr>
        <w:t>rámci projektů 8</w:t>
      </w:r>
      <w:r>
        <w:rPr>
          <w:szCs w:val="20"/>
        </w:rPr>
        <w:t>4</w:t>
      </w:r>
      <w:r w:rsidR="00DB4362">
        <w:rPr>
          <w:szCs w:val="20"/>
        </w:rPr>
        <w:t>0 </w:t>
      </w:r>
      <w:r>
        <w:rPr>
          <w:szCs w:val="20"/>
        </w:rPr>
        <w:t>tis.</w:t>
      </w:r>
      <w:r w:rsidR="00DB4362">
        <w:rPr>
          <w:szCs w:val="20"/>
        </w:rPr>
        <w:t> </w:t>
      </w:r>
      <w:r>
        <w:rPr>
          <w:szCs w:val="20"/>
        </w:rPr>
        <w:t>Kč)</w:t>
      </w:r>
      <w:r w:rsidR="00B05C64">
        <w:rPr>
          <w:szCs w:val="20"/>
        </w:rPr>
        <w:t xml:space="preserve">, celkem </w:t>
      </w:r>
      <w:r w:rsidR="008D2939">
        <w:rPr>
          <w:szCs w:val="20"/>
        </w:rPr>
        <w:t xml:space="preserve">byly </w:t>
      </w:r>
      <w:r w:rsidR="00B05C64">
        <w:rPr>
          <w:szCs w:val="20"/>
        </w:rPr>
        <w:t xml:space="preserve">náklady na cestovné ve výši </w:t>
      </w:r>
      <w:r w:rsidR="00DB4362">
        <w:rPr>
          <w:szCs w:val="20"/>
        </w:rPr>
        <w:t>6.403 </w:t>
      </w:r>
      <w:r w:rsidR="00B05C64">
        <w:rPr>
          <w:szCs w:val="20"/>
        </w:rPr>
        <w:t>tis.</w:t>
      </w:r>
      <w:r w:rsidR="00DB4362">
        <w:rPr>
          <w:szCs w:val="20"/>
        </w:rPr>
        <w:t> </w:t>
      </w:r>
      <w:r w:rsidR="00B05C64">
        <w:rPr>
          <w:szCs w:val="20"/>
        </w:rPr>
        <w:t>Kč</w:t>
      </w:r>
      <w:r>
        <w:rPr>
          <w:szCs w:val="20"/>
        </w:rPr>
        <w:t>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na reprezentaci</w:t>
      </w:r>
      <w:r w:rsidRPr="00DC7351">
        <w:rPr>
          <w:szCs w:val="20"/>
        </w:rPr>
        <w:t xml:space="preserve"> </w:t>
      </w:r>
      <w:r>
        <w:rPr>
          <w:szCs w:val="20"/>
        </w:rPr>
        <w:t>– na účtu 513 jsou účtovány náklady na pohoštění a náklady na</w:t>
      </w:r>
      <w:r w:rsidR="008D2939">
        <w:rPr>
          <w:szCs w:val="20"/>
        </w:rPr>
        <w:t> </w:t>
      </w:r>
      <w:r>
        <w:rPr>
          <w:szCs w:val="20"/>
        </w:rPr>
        <w:t xml:space="preserve">propagační a reklamní předměty. Náklady na pohoštění byly ve výši </w:t>
      </w:r>
      <w:r w:rsidR="007B141A">
        <w:rPr>
          <w:szCs w:val="20"/>
        </w:rPr>
        <w:t>3.663 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>Kč (z toho v</w:t>
      </w:r>
      <w:r w:rsidR="001E7BF2">
        <w:rPr>
          <w:szCs w:val="20"/>
        </w:rPr>
        <w:t> </w:t>
      </w:r>
      <w:r>
        <w:rPr>
          <w:szCs w:val="20"/>
        </w:rPr>
        <w:t xml:space="preserve">rámci projektů </w:t>
      </w:r>
      <w:r w:rsidR="007B141A">
        <w:rPr>
          <w:szCs w:val="20"/>
        </w:rPr>
        <w:t>927 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 xml:space="preserve">Kč), náklady na propagační a reklamní předměty činily </w:t>
      </w:r>
      <w:r w:rsidR="007B141A">
        <w:rPr>
          <w:szCs w:val="20"/>
        </w:rPr>
        <w:t>3.160 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>Kč (z</w:t>
      </w:r>
      <w:r w:rsidR="00267BAE">
        <w:rPr>
          <w:szCs w:val="20"/>
        </w:rPr>
        <w:t> </w:t>
      </w:r>
      <w:r>
        <w:rPr>
          <w:szCs w:val="20"/>
        </w:rPr>
        <w:t xml:space="preserve">toho </w:t>
      </w:r>
      <w:r w:rsidR="00B05C64">
        <w:rPr>
          <w:szCs w:val="20"/>
        </w:rPr>
        <w:t>v</w:t>
      </w:r>
      <w:r w:rsidR="001E7BF2">
        <w:rPr>
          <w:szCs w:val="20"/>
        </w:rPr>
        <w:t> </w:t>
      </w:r>
      <w:r w:rsidR="00B05C64">
        <w:rPr>
          <w:szCs w:val="20"/>
        </w:rPr>
        <w:t xml:space="preserve">rámci projektů </w:t>
      </w:r>
      <w:r w:rsidR="007B141A">
        <w:rPr>
          <w:szCs w:val="20"/>
        </w:rPr>
        <w:t>1.297 </w:t>
      </w:r>
      <w:r w:rsidR="00B05C64">
        <w:rPr>
          <w:szCs w:val="20"/>
        </w:rPr>
        <w:t>tis.</w:t>
      </w:r>
      <w:r w:rsidR="007B141A">
        <w:rPr>
          <w:szCs w:val="20"/>
        </w:rPr>
        <w:t> </w:t>
      </w:r>
      <w:r w:rsidR="00B05C64">
        <w:rPr>
          <w:szCs w:val="20"/>
        </w:rPr>
        <w:t xml:space="preserve">Kč), celkem </w:t>
      </w:r>
      <w:r w:rsidR="008D2939">
        <w:rPr>
          <w:szCs w:val="20"/>
        </w:rPr>
        <w:t xml:space="preserve">byly </w:t>
      </w:r>
      <w:r w:rsidR="00B05C64">
        <w:rPr>
          <w:szCs w:val="20"/>
        </w:rPr>
        <w:t xml:space="preserve">náklady na reprezentaci ve výši </w:t>
      </w:r>
      <w:r w:rsidR="007B141A">
        <w:rPr>
          <w:szCs w:val="20"/>
        </w:rPr>
        <w:t>6.823 </w:t>
      </w:r>
      <w:r w:rsidR="00714559">
        <w:rPr>
          <w:szCs w:val="20"/>
        </w:rPr>
        <w:t>tis.</w:t>
      </w:r>
      <w:r w:rsidR="007B141A">
        <w:rPr>
          <w:szCs w:val="20"/>
        </w:rPr>
        <w:t> Kč (oproti r. 2012 pokles o 4.847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Ostatní služby </w:t>
      </w:r>
      <w:r>
        <w:rPr>
          <w:szCs w:val="20"/>
        </w:rPr>
        <w:t>– na účtu 518 jsou účtovány náklady na poštovné, telefony a internet, nájemné, úklidové služby a ostrahu, poradenské služby, školení</w:t>
      </w:r>
      <w:r w:rsidR="00C8660D">
        <w:rPr>
          <w:szCs w:val="20"/>
        </w:rPr>
        <w:t xml:space="preserve"> (jen v r. 2012, v r. 2013 účtováno na účet 527)</w:t>
      </w:r>
      <w:r>
        <w:rPr>
          <w:szCs w:val="20"/>
        </w:rPr>
        <w:t xml:space="preserve">, konference, znalecké posudky a geometrické plány, zpracování studií, koncepcí, průzkumů, hodnocení žádostí o dotace, bankovní poplatky, nákup software a ostatního drobného </w:t>
      </w:r>
      <w:r w:rsidR="00DC7351">
        <w:rPr>
          <w:szCs w:val="20"/>
        </w:rPr>
        <w:t>DNM</w:t>
      </w:r>
      <w:r>
        <w:rPr>
          <w:szCs w:val="20"/>
        </w:rPr>
        <w:t xml:space="preserve"> (do</w:t>
      </w:r>
      <w:r w:rsidR="00CE67F4">
        <w:rPr>
          <w:szCs w:val="20"/>
        </w:rPr>
        <w:t> </w:t>
      </w:r>
      <w:r>
        <w:rPr>
          <w:szCs w:val="20"/>
        </w:rPr>
        <w:t>7 tis.</w:t>
      </w:r>
      <w:r w:rsidR="00C8660D">
        <w:rPr>
          <w:szCs w:val="20"/>
        </w:rPr>
        <w:t> </w:t>
      </w:r>
      <w:r>
        <w:rPr>
          <w:szCs w:val="20"/>
        </w:rPr>
        <w:t>Kč), podpora software</w:t>
      </w:r>
      <w:r w:rsidRPr="00D507AA">
        <w:rPr>
          <w:szCs w:val="20"/>
        </w:rPr>
        <w:t xml:space="preserve"> </w:t>
      </w:r>
      <w:r>
        <w:rPr>
          <w:szCs w:val="20"/>
        </w:rPr>
        <w:t>a</w:t>
      </w:r>
      <w:r w:rsidR="00C8660D">
        <w:rPr>
          <w:szCs w:val="20"/>
        </w:rPr>
        <w:t> </w:t>
      </w:r>
      <w:r>
        <w:rPr>
          <w:szCs w:val="20"/>
        </w:rPr>
        <w:t xml:space="preserve">jeho údržba, úhrady za zřízená věcná břemena, nákup sociálních služeb, nákup služeb ze sociálního fondu a ostatní služby </w:t>
      </w:r>
      <w:r w:rsidRPr="00DC7351">
        <w:rPr>
          <w:szCs w:val="20"/>
        </w:rPr>
        <w:t>jin</w:t>
      </w:r>
      <w:r w:rsidR="008D2939" w:rsidRPr="00DC7351">
        <w:rPr>
          <w:szCs w:val="20"/>
        </w:rPr>
        <w:t>de</w:t>
      </w:r>
      <w:r>
        <w:rPr>
          <w:szCs w:val="20"/>
        </w:rPr>
        <w:t xml:space="preserve"> nezařazené. Největší objem představují náklady </w:t>
      </w:r>
      <w:r w:rsidR="00F7538B">
        <w:rPr>
          <w:szCs w:val="20"/>
        </w:rPr>
        <w:t>na sociální služby (94.391 tis. Kč – nákup služeb v</w:t>
      </w:r>
      <w:r w:rsidR="001E7BF2">
        <w:rPr>
          <w:szCs w:val="20"/>
        </w:rPr>
        <w:t> </w:t>
      </w:r>
      <w:r w:rsidR="00F7538B">
        <w:rPr>
          <w:szCs w:val="20"/>
        </w:rPr>
        <w:t xml:space="preserve">rámci projektů), </w:t>
      </w:r>
      <w:r>
        <w:rPr>
          <w:szCs w:val="20"/>
        </w:rPr>
        <w:t>na</w:t>
      </w:r>
      <w:r w:rsidR="00CE67F4">
        <w:rPr>
          <w:szCs w:val="20"/>
        </w:rPr>
        <w:t> </w:t>
      </w:r>
      <w:r>
        <w:rPr>
          <w:szCs w:val="20"/>
        </w:rPr>
        <w:t>nákup ostatních služeb (</w:t>
      </w:r>
      <w:r w:rsidR="007B141A">
        <w:rPr>
          <w:szCs w:val="20"/>
        </w:rPr>
        <w:t>65.832</w:t>
      </w:r>
      <w:r w:rsidR="00F7538B">
        <w:rPr>
          <w:szCs w:val="20"/>
        </w:rPr>
        <w:t> </w:t>
      </w:r>
      <w:r>
        <w:rPr>
          <w:szCs w:val="20"/>
        </w:rPr>
        <w:t>tis.</w:t>
      </w:r>
      <w:r w:rsidR="00F7538B">
        <w:rPr>
          <w:szCs w:val="20"/>
        </w:rPr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>toho v</w:t>
      </w:r>
      <w:r w:rsidR="001E7BF2">
        <w:rPr>
          <w:szCs w:val="20"/>
        </w:rPr>
        <w:t> </w:t>
      </w:r>
      <w:r w:rsidR="00080A97">
        <w:rPr>
          <w:szCs w:val="20"/>
        </w:rPr>
        <w:t xml:space="preserve">rámci projektů </w:t>
      </w:r>
      <w:r w:rsidR="00F7538B">
        <w:rPr>
          <w:szCs w:val="20"/>
        </w:rPr>
        <w:t>19.592 </w:t>
      </w:r>
      <w:r w:rsidR="00080A97">
        <w:rPr>
          <w:szCs w:val="20"/>
        </w:rPr>
        <w:t>tis.</w:t>
      </w:r>
      <w:r w:rsidR="00F7538B">
        <w:rPr>
          <w:szCs w:val="20"/>
        </w:rPr>
        <w:t> </w:t>
      </w:r>
      <w:r w:rsidR="00080A97">
        <w:rPr>
          <w:szCs w:val="20"/>
        </w:rPr>
        <w:t>Kč)</w:t>
      </w:r>
      <w:r w:rsidR="00F7538B">
        <w:rPr>
          <w:szCs w:val="20"/>
        </w:rPr>
        <w:t>, dále náklady na</w:t>
      </w:r>
      <w:r w:rsidR="00C8660D">
        <w:rPr>
          <w:szCs w:val="20"/>
        </w:rPr>
        <w:t> </w:t>
      </w:r>
      <w:r w:rsidR="00F7538B">
        <w:rPr>
          <w:szCs w:val="20"/>
        </w:rPr>
        <w:t>zpracování studií, koncepcí apod. (14.329 tis.</w:t>
      </w:r>
      <w:r w:rsidR="002E4F1A">
        <w:rPr>
          <w:szCs w:val="20"/>
        </w:rPr>
        <w:t> </w:t>
      </w:r>
      <w:r w:rsidR="00F7538B">
        <w:rPr>
          <w:szCs w:val="20"/>
        </w:rPr>
        <w:t>Kč)</w:t>
      </w:r>
      <w:r>
        <w:rPr>
          <w:szCs w:val="20"/>
        </w:rPr>
        <w:t xml:space="preserve"> </w:t>
      </w:r>
      <w:r w:rsidR="002E4F1A">
        <w:rPr>
          <w:szCs w:val="20"/>
        </w:rPr>
        <w:t xml:space="preserve">a nájemné (14.143 tis. Kč). </w:t>
      </w:r>
      <w:r>
        <w:rPr>
          <w:szCs w:val="20"/>
        </w:rPr>
        <w:t>Celkově byly čerpány náklady na účtu 518 ve výši</w:t>
      </w:r>
      <w:r w:rsidR="002E4F1A">
        <w:rPr>
          <w:szCs w:val="20"/>
        </w:rPr>
        <w:t xml:space="preserve"> 220.089 tis. Kč, z</w:t>
      </w:r>
      <w:r w:rsidR="001E7BF2">
        <w:rPr>
          <w:szCs w:val="20"/>
        </w:rPr>
        <w:t> </w:t>
      </w:r>
      <w:r w:rsidR="002E4F1A">
        <w:rPr>
          <w:szCs w:val="20"/>
        </w:rPr>
        <w:t>toho v</w:t>
      </w:r>
      <w:r w:rsidR="001E7BF2">
        <w:rPr>
          <w:szCs w:val="20"/>
        </w:rPr>
        <w:t> </w:t>
      </w:r>
      <w:r w:rsidR="002E4F1A">
        <w:rPr>
          <w:szCs w:val="20"/>
        </w:rPr>
        <w:t>rámci projektů</w:t>
      </w:r>
      <w:r>
        <w:rPr>
          <w:szCs w:val="20"/>
        </w:rPr>
        <w:t xml:space="preserve"> </w:t>
      </w:r>
      <w:r w:rsidR="002E4F1A">
        <w:rPr>
          <w:szCs w:val="20"/>
        </w:rPr>
        <w:t>131.699 </w:t>
      </w:r>
      <w:r>
        <w:rPr>
          <w:szCs w:val="20"/>
        </w:rPr>
        <w:t>tis.</w:t>
      </w:r>
      <w:r w:rsidR="002E4F1A">
        <w:rPr>
          <w:szCs w:val="20"/>
        </w:rPr>
        <w:t> </w:t>
      </w:r>
      <w:r>
        <w:rPr>
          <w:szCs w:val="20"/>
        </w:rPr>
        <w:t xml:space="preserve">Kč. </w:t>
      </w:r>
      <w:r w:rsidR="002E4F1A">
        <w:rPr>
          <w:szCs w:val="20"/>
        </w:rPr>
        <w:t>Oproti roku 2012 byl nárůst o 69.610 tis. Kč, a to zejména vlivem vyššího čerpání sociálních služeb.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Mzdové náklady</w:t>
      </w:r>
      <w:r w:rsidRPr="00080A97">
        <w:rPr>
          <w:szCs w:val="20"/>
        </w:rPr>
        <w:t xml:space="preserve"> </w:t>
      </w:r>
      <w:r>
        <w:rPr>
          <w:szCs w:val="20"/>
        </w:rPr>
        <w:t>– na účtu 521 jsou účtovány náklady na platy zaměstnanců a zastupitelů kraje, dohody o provedení práce, ostatní osobní náklady a náhrady mezd za dočasnou pracovní neschopnost placenou zaměstnavatelem.</w:t>
      </w:r>
      <w:r w:rsidR="00714559">
        <w:rPr>
          <w:szCs w:val="20"/>
        </w:rPr>
        <w:t xml:space="preserve"> Cel</w:t>
      </w:r>
      <w:r w:rsidR="00321877">
        <w:rPr>
          <w:szCs w:val="20"/>
        </w:rPr>
        <w:t>kové</w:t>
      </w:r>
      <w:r w:rsidR="00714559">
        <w:rPr>
          <w:szCs w:val="20"/>
        </w:rPr>
        <w:t xml:space="preserve"> mzdové náklady</w:t>
      </w:r>
      <w:r w:rsidR="00321877">
        <w:rPr>
          <w:szCs w:val="20"/>
        </w:rPr>
        <w:t xml:space="preserve"> byly ve výši </w:t>
      </w:r>
      <w:r w:rsidR="002C2041">
        <w:rPr>
          <w:szCs w:val="20"/>
        </w:rPr>
        <w:t>27</w:t>
      </w:r>
      <w:r w:rsidR="000B5A88">
        <w:rPr>
          <w:szCs w:val="20"/>
        </w:rPr>
        <w:t>3</w:t>
      </w:r>
      <w:r w:rsidR="002C2041">
        <w:rPr>
          <w:szCs w:val="20"/>
        </w:rPr>
        <w:t>.</w:t>
      </w:r>
      <w:r w:rsidR="000B5A88">
        <w:rPr>
          <w:szCs w:val="20"/>
        </w:rPr>
        <w:t>564 </w:t>
      </w:r>
      <w:r w:rsidR="002C2041">
        <w:rPr>
          <w:szCs w:val="20"/>
        </w:rPr>
        <w:t>tis.</w:t>
      </w:r>
      <w:r w:rsidR="000B5A88">
        <w:rPr>
          <w:szCs w:val="20"/>
        </w:rPr>
        <w:t> </w:t>
      </w:r>
      <w:r w:rsidR="002C2041">
        <w:rPr>
          <w:szCs w:val="20"/>
        </w:rPr>
        <w:t>Kč, z</w:t>
      </w:r>
      <w:r w:rsidR="001E7BF2">
        <w:rPr>
          <w:szCs w:val="20"/>
        </w:rPr>
        <w:t> </w:t>
      </w:r>
      <w:r w:rsidR="002C2041">
        <w:rPr>
          <w:szCs w:val="20"/>
        </w:rPr>
        <w:t>toho v</w:t>
      </w:r>
      <w:r w:rsidR="001E7BF2">
        <w:rPr>
          <w:szCs w:val="20"/>
        </w:rPr>
        <w:t> </w:t>
      </w:r>
      <w:r w:rsidR="002C2041">
        <w:rPr>
          <w:szCs w:val="20"/>
        </w:rPr>
        <w:t>rámci projektů mzdové náklady ve výši 17.815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Zákonné sociální pojištění</w:t>
      </w:r>
      <w:r w:rsidRPr="00080A97">
        <w:rPr>
          <w:szCs w:val="20"/>
        </w:rPr>
        <w:t xml:space="preserve"> </w:t>
      </w:r>
      <w:r>
        <w:rPr>
          <w:szCs w:val="20"/>
        </w:rPr>
        <w:t>– na účtu 524 jsou účtovány náklady na sociální pojištění (64.</w:t>
      </w:r>
      <w:r w:rsidR="002C2041">
        <w:rPr>
          <w:szCs w:val="20"/>
        </w:rPr>
        <w:t>317</w:t>
      </w:r>
      <w:r w:rsidR="00321877">
        <w:rPr>
          <w:szCs w:val="20"/>
        </w:rPr>
        <w:t> </w:t>
      </w:r>
      <w:r>
        <w:rPr>
          <w:szCs w:val="20"/>
        </w:rPr>
        <w:t>tis.</w:t>
      </w:r>
      <w:r w:rsidR="00714559">
        <w:rPr>
          <w:szCs w:val="20"/>
        </w:rPr>
        <w:t> </w:t>
      </w:r>
      <w:r>
        <w:rPr>
          <w:szCs w:val="20"/>
        </w:rPr>
        <w:t>Kč) a zdravotní pojištění (24.</w:t>
      </w:r>
      <w:r w:rsidR="002C2041">
        <w:rPr>
          <w:szCs w:val="20"/>
        </w:rPr>
        <w:t>609 </w:t>
      </w:r>
      <w:r>
        <w:rPr>
          <w:szCs w:val="20"/>
        </w:rPr>
        <w:t>tis.</w:t>
      </w:r>
      <w:r w:rsidR="002C2041">
        <w:rPr>
          <w:szCs w:val="20"/>
        </w:rPr>
        <w:t> </w:t>
      </w:r>
      <w:r>
        <w:rPr>
          <w:szCs w:val="20"/>
        </w:rPr>
        <w:t>Kč) placené zaměstnavatelem</w:t>
      </w:r>
      <w:r w:rsidR="00321877">
        <w:rPr>
          <w:szCs w:val="20"/>
        </w:rPr>
        <w:t xml:space="preserve">. Celkem činily náklady na zákonné sociální pojištění </w:t>
      </w:r>
      <w:r w:rsidR="002C2041">
        <w:rPr>
          <w:szCs w:val="20"/>
        </w:rPr>
        <w:t>88.926 </w:t>
      </w:r>
      <w:r w:rsidR="00321877">
        <w:rPr>
          <w:szCs w:val="20"/>
        </w:rPr>
        <w:t>tis.</w:t>
      </w:r>
      <w:r w:rsidR="002C2041">
        <w:rPr>
          <w:szCs w:val="20"/>
        </w:rPr>
        <w:t> Kč (v rámci projektů čerpáno 5.67</w:t>
      </w:r>
      <w:r w:rsidR="00901FE1">
        <w:rPr>
          <w:szCs w:val="20"/>
        </w:rPr>
        <w:t>6</w:t>
      </w:r>
      <w:r w:rsidR="002C2041">
        <w:rPr>
          <w:szCs w:val="20"/>
        </w:rPr>
        <w:t>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A40965">
        <w:rPr>
          <w:szCs w:val="20"/>
          <w:u w:val="single"/>
        </w:rPr>
        <w:t>Jiné sociální pojištění</w:t>
      </w:r>
      <w:r>
        <w:rPr>
          <w:szCs w:val="20"/>
        </w:rPr>
        <w:t xml:space="preserve"> </w:t>
      </w:r>
      <w:r w:rsidR="001E7BF2">
        <w:rPr>
          <w:szCs w:val="20"/>
        </w:rPr>
        <w:t>–</w:t>
      </w:r>
      <w:r>
        <w:rPr>
          <w:szCs w:val="20"/>
        </w:rPr>
        <w:t xml:space="preserve"> na účtu  525 jsou účtovány náklady na povinné úrazové pojištění zaměstnanců  (</w:t>
      </w:r>
      <w:r w:rsidR="00800287">
        <w:rPr>
          <w:szCs w:val="20"/>
        </w:rPr>
        <w:t>1.044 </w:t>
      </w:r>
      <w:r>
        <w:rPr>
          <w:szCs w:val="20"/>
        </w:rPr>
        <w:t>tis.</w:t>
      </w:r>
      <w:r w:rsidR="00800287">
        <w:rPr>
          <w:szCs w:val="20"/>
        </w:rPr>
        <w:t> </w:t>
      </w:r>
      <w:r>
        <w:rPr>
          <w:szCs w:val="20"/>
        </w:rPr>
        <w:t>Kč), dále pak příspěvek na</w:t>
      </w:r>
      <w:r w:rsidR="00267BAE">
        <w:rPr>
          <w:szCs w:val="20"/>
        </w:rPr>
        <w:t> </w:t>
      </w:r>
      <w:r>
        <w:rPr>
          <w:szCs w:val="20"/>
        </w:rPr>
        <w:t>penzijní připojištění, životní pojištění a</w:t>
      </w:r>
      <w:r w:rsidR="00800287">
        <w:rPr>
          <w:szCs w:val="20"/>
        </w:rPr>
        <w:t> </w:t>
      </w:r>
      <w:r>
        <w:rPr>
          <w:szCs w:val="20"/>
        </w:rPr>
        <w:t xml:space="preserve"> pojištění odpovědnosti za škodu, hrazené ze sociálního fondu (5.</w:t>
      </w:r>
      <w:r w:rsidR="00800287">
        <w:rPr>
          <w:szCs w:val="20"/>
        </w:rPr>
        <w:t>942 </w:t>
      </w:r>
      <w:r>
        <w:rPr>
          <w:szCs w:val="20"/>
        </w:rPr>
        <w:t>tis.</w:t>
      </w:r>
      <w:r w:rsidR="00800287">
        <w:rPr>
          <w:szCs w:val="20"/>
        </w:rPr>
        <w:t> </w:t>
      </w:r>
      <w:r>
        <w:rPr>
          <w:szCs w:val="20"/>
        </w:rPr>
        <w:t>Kč).</w:t>
      </w:r>
      <w:r w:rsidR="00714559">
        <w:rPr>
          <w:szCs w:val="20"/>
        </w:rPr>
        <w:t xml:space="preserve"> Celkem náklady na jiné sociální pojištění byly ve výši 6.</w:t>
      </w:r>
      <w:r w:rsidR="00800287">
        <w:rPr>
          <w:szCs w:val="20"/>
        </w:rPr>
        <w:t>986 </w:t>
      </w:r>
      <w:r w:rsidR="00714559">
        <w:rPr>
          <w:szCs w:val="20"/>
        </w:rPr>
        <w:t>tis.</w:t>
      </w:r>
      <w:r w:rsidR="00800287">
        <w:rPr>
          <w:szCs w:val="20"/>
        </w:rPr>
        <w:t> </w:t>
      </w:r>
      <w:r w:rsidR="00714559">
        <w:rPr>
          <w:szCs w:val="20"/>
        </w:rPr>
        <w:t>Kč</w:t>
      </w:r>
      <w:r w:rsidR="00D813DC">
        <w:rPr>
          <w:szCs w:val="20"/>
        </w:rPr>
        <w:t>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676DF5">
        <w:rPr>
          <w:szCs w:val="20"/>
          <w:u w:val="single"/>
        </w:rPr>
        <w:t>Zákonné sociální náklady</w:t>
      </w:r>
      <w:r>
        <w:rPr>
          <w:szCs w:val="20"/>
        </w:rPr>
        <w:t xml:space="preserve"> – na účtu 527 jsou účtovány náklady</w:t>
      </w:r>
      <w:r w:rsidR="00D813DC">
        <w:rPr>
          <w:szCs w:val="20"/>
        </w:rPr>
        <w:t xml:space="preserve"> v</w:t>
      </w:r>
      <w:r w:rsidR="001E7BF2">
        <w:rPr>
          <w:szCs w:val="20"/>
        </w:rPr>
        <w:t> </w:t>
      </w:r>
      <w:r w:rsidR="00D813DC">
        <w:rPr>
          <w:szCs w:val="20"/>
        </w:rPr>
        <w:t>celkové</w:t>
      </w:r>
      <w:r w:rsidR="00714559">
        <w:rPr>
          <w:szCs w:val="20"/>
        </w:rPr>
        <w:t xml:space="preserve"> výši </w:t>
      </w:r>
      <w:r w:rsidR="00800287">
        <w:rPr>
          <w:szCs w:val="20"/>
        </w:rPr>
        <w:t>7.480 </w:t>
      </w:r>
      <w:r w:rsidR="00714559">
        <w:rPr>
          <w:szCs w:val="20"/>
        </w:rPr>
        <w:t>tis.</w:t>
      </w:r>
      <w:r w:rsidR="00800287">
        <w:rPr>
          <w:szCs w:val="20"/>
        </w:rPr>
        <w:t> </w:t>
      </w:r>
      <w:r w:rsidR="00714559">
        <w:rPr>
          <w:szCs w:val="20"/>
        </w:rPr>
        <w:t>Kč, jedná se o </w:t>
      </w:r>
      <w:r>
        <w:rPr>
          <w:szCs w:val="20"/>
        </w:rPr>
        <w:t>příspěvek na stravování zaměstnanců a uvolněných zastupitelů (</w:t>
      </w:r>
      <w:r w:rsidR="00343F18">
        <w:rPr>
          <w:szCs w:val="20"/>
        </w:rPr>
        <w:t>4.387 </w:t>
      </w:r>
      <w:r>
        <w:rPr>
          <w:szCs w:val="20"/>
        </w:rPr>
        <w:t>tis.</w:t>
      </w:r>
      <w:r w:rsidR="00343F18">
        <w:rPr>
          <w:szCs w:val="20"/>
        </w:rPr>
        <w:t> K</w:t>
      </w:r>
      <w:r>
        <w:rPr>
          <w:szCs w:val="20"/>
        </w:rPr>
        <w:t>č)</w:t>
      </w:r>
      <w:r w:rsidR="00343F18">
        <w:rPr>
          <w:szCs w:val="20"/>
        </w:rPr>
        <w:t xml:space="preserve">, </w:t>
      </w:r>
      <w:r>
        <w:rPr>
          <w:szCs w:val="20"/>
        </w:rPr>
        <w:t>náklady na</w:t>
      </w:r>
      <w:r w:rsidR="00714559">
        <w:rPr>
          <w:szCs w:val="20"/>
        </w:rPr>
        <w:t> </w:t>
      </w:r>
      <w:r>
        <w:rPr>
          <w:szCs w:val="20"/>
        </w:rPr>
        <w:t>preventivní zdravotní prohlídky (</w:t>
      </w:r>
      <w:r w:rsidR="00343F18">
        <w:rPr>
          <w:szCs w:val="20"/>
        </w:rPr>
        <w:t>15 </w:t>
      </w:r>
      <w:r>
        <w:rPr>
          <w:szCs w:val="20"/>
        </w:rPr>
        <w:t>tis.</w:t>
      </w:r>
      <w:r w:rsidR="00343F18">
        <w:rPr>
          <w:szCs w:val="20"/>
        </w:rPr>
        <w:t> Kč) a náklady</w:t>
      </w:r>
      <w:r w:rsidR="00781960">
        <w:rPr>
          <w:szCs w:val="20"/>
        </w:rPr>
        <w:t xml:space="preserve"> na</w:t>
      </w:r>
      <w:r w:rsidR="00343F18">
        <w:rPr>
          <w:szCs w:val="20"/>
        </w:rPr>
        <w:t xml:space="preserve"> školení (3.078 tis. Kč). V</w:t>
      </w:r>
      <w:r w:rsidR="001E7BF2">
        <w:rPr>
          <w:szCs w:val="20"/>
        </w:rPr>
        <w:t> </w:t>
      </w:r>
      <w:r w:rsidR="00343F18">
        <w:rPr>
          <w:szCs w:val="20"/>
        </w:rPr>
        <w:t xml:space="preserve">r. 2012 byly náklady na školení vykázány na účtu 518, </w:t>
      </w:r>
      <w:r w:rsidR="00781960">
        <w:rPr>
          <w:szCs w:val="20"/>
        </w:rPr>
        <w:t xml:space="preserve">zejména </w:t>
      </w:r>
      <w:r w:rsidR="00343F18">
        <w:rPr>
          <w:szCs w:val="20"/>
        </w:rPr>
        <w:t>z</w:t>
      </w:r>
      <w:r w:rsidR="001E7BF2">
        <w:rPr>
          <w:szCs w:val="20"/>
        </w:rPr>
        <w:t> </w:t>
      </w:r>
      <w:r w:rsidR="00343F18">
        <w:rPr>
          <w:szCs w:val="20"/>
        </w:rPr>
        <w:t>tohoto důvodu vzrostly náklady na účtu 527 ve srovnání s</w:t>
      </w:r>
      <w:r w:rsidR="001E7BF2">
        <w:rPr>
          <w:szCs w:val="20"/>
        </w:rPr>
        <w:t> </w:t>
      </w:r>
      <w:r w:rsidR="00343F18">
        <w:rPr>
          <w:szCs w:val="20"/>
        </w:rPr>
        <w:t>r. 2012 o 3.208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Daň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nemovitostí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532 je </w:t>
      </w:r>
      <w:r w:rsidR="00343F18">
        <w:rPr>
          <w:szCs w:val="20"/>
        </w:rPr>
        <w:t>za</w:t>
      </w:r>
      <w:r>
        <w:rPr>
          <w:szCs w:val="20"/>
        </w:rPr>
        <w:t>účtována daň z</w:t>
      </w:r>
      <w:r w:rsidR="001E7BF2">
        <w:rPr>
          <w:szCs w:val="20"/>
        </w:rPr>
        <w:t> </w:t>
      </w:r>
      <w:r>
        <w:rPr>
          <w:szCs w:val="20"/>
        </w:rPr>
        <w:t>nemovitostí</w:t>
      </w:r>
      <w:r w:rsidR="00714559" w:rsidRPr="00714559">
        <w:rPr>
          <w:szCs w:val="20"/>
        </w:rPr>
        <w:t xml:space="preserve"> </w:t>
      </w:r>
      <w:r w:rsidR="00714559">
        <w:rPr>
          <w:szCs w:val="20"/>
        </w:rPr>
        <w:t>v</w:t>
      </w:r>
      <w:r w:rsidR="001E7BF2">
        <w:rPr>
          <w:szCs w:val="20"/>
        </w:rPr>
        <w:t> </w:t>
      </w:r>
      <w:r w:rsidR="00714559">
        <w:rPr>
          <w:szCs w:val="20"/>
        </w:rPr>
        <w:t xml:space="preserve">celkové výši </w:t>
      </w:r>
      <w:r w:rsidR="00343F18">
        <w:rPr>
          <w:szCs w:val="20"/>
        </w:rPr>
        <w:t>747 </w:t>
      </w:r>
      <w:r w:rsidR="00714559">
        <w:rPr>
          <w:szCs w:val="20"/>
        </w:rPr>
        <w:t>tis.</w:t>
      </w:r>
      <w:r w:rsidR="00343F18">
        <w:rPr>
          <w:szCs w:val="20"/>
        </w:rPr>
        <w:t> </w:t>
      </w:r>
      <w:r w:rsidR="00714559">
        <w:rPr>
          <w:szCs w:val="20"/>
        </w:rPr>
        <w:t>Kč</w:t>
      </w:r>
      <w:r>
        <w:rPr>
          <w:szCs w:val="20"/>
        </w:rPr>
        <w:t>, a to z</w:t>
      </w:r>
      <w:r w:rsidR="001E7BF2">
        <w:rPr>
          <w:szCs w:val="20"/>
        </w:rPr>
        <w:t> </w:t>
      </w:r>
      <w:r>
        <w:rPr>
          <w:szCs w:val="20"/>
        </w:rPr>
        <w:t>pronajímaných pozemků ve vlastnictví kraje a z</w:t>
      </w:r>
      <w:r w:rsidR="001E7BF2">
        <w:rPr>
          <w:szCs w:val="20"/>
        </w:rPr>
        <w:t> </w:t>
      </w:r>
      <w:r>
        <w:rPr>
          <w:szCs w:val="20"/>
        </w:rPr>
        <w:t>pozemků a stav</w:t>
      </w:r>
      <w:r w:rsidR="00714559">
        <w:rPr>
          <w:szCs w:val="20"/>
        </w:rPr>
        <w:t xml:space="preserve">eb, které leží mimo území kraje. 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lastRenderedPageBreak/>
        <w:t>Jiné daně a poplatky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538 jsou účtovány </w:t>
      </w:r>
      <w:r w:rsidR="000C5FD4">
        <w:rPr>
          <w:szCs w:val="20"/>
        </w:rPr>
        <w:t>náklady v</w:t>
      </w:r>
      <w:r w:rsidR="001E7BF2">
        <w:rPr>
          <w:szCs w:val="20"/>
        </w:rPr>
        <w:t> </w:t>
      </w:r>
      <w:r w:rsidR="000C5FD4">
        <w:rPr>
          <w:szCs w:val="20"/>
        </w:rPr>
        <w:t xml:space="preserve">celkové výši </w:t>
      </w:r>
      <w:r w:rsidR="00343F18">
        <w:rPr>
          <w:szCs w:val="20"/>
        </w:rPr>
        <w:t>5.909 </w:t>
      </w:r>
      <w:r w:rsidR="000C5FD4">
        <w:rPr>
          <w:szCs w:val="20"/>
        </w:rPr>
        <w:t>tis.</w:t>
      </w:r>
      <w:r w:rsidR="00343F18">
        <w:rPr>
          <w:szCs w:val="20"/>
        </w:rPr>
        <w:t> </w:t>
      </w:r>
      <w:r w:rsidR="000C5FD4">
        <w:rPr>
          <w:szCs w:val="20"/>
        </w:rPr>
        <w:t>Kč, jedná se o </w:t>
      </w:r>
      <w:r>
        <w:rPr>
          <w:szCs w:val="20"/>
        </w:rPr>
        <w:t>správní poplatky (vč. kolků), daň z</w:t>
      </w:r>
      <w:r w:rsidR="001E7BF2">
        <w:rPr>
          <w:szCs w:val="20"/>
        </w:rPr>
        <w:t> </w:t>
      </w:r>
      <w:r>
        <w:rPr>
          <w:szCs w:val="20"/>
        </w:rPr>
        <w:t>převodu nemovitostí, dálniční známky, soudní poplatky, DPH u</w:t>
      </w:r>
      <w:r w:rsidR="00374651">
        <w:rPr>
          <w:szCs w:val="20"/>
        </w:rPr>
        <w:t> </w:t>
      </w:r>
      <w:r>
        <w:rPr>
          <w:szCs w:val="20"/>
        </w:rPr>
        <w:t>poskytnutých bezúplatných plnění</w:t>
      </w:r>
      <w:r w:rsidR="00374651">
        <w:rPr>
          <w:szCs w:val="20"/>
        </w:rPr>
        <w:t xml:space="preserve"> </w:t>
      </w:r>
      <w:r>
        <w:rPr>
          <w:szCs w:val="20"/>
        </w:rPr>
        <w:t>a odvod poplatk</w:t>
      </w:r>
      <w:r w:rsidR="00D813DC">
        <w:rPr>
          <w:szCs w:val="20"/>
        </w:rPr>
        <w:t>ů</w:t>
      </w:r>
      <w:r>
        <w:rPr>
          <w:szCs w:val="20"/>
        </w:rPr>
        <w:t xml:space="preserve"> </w:t>
      </w:r>
      <w:r w:rsidRPr="00816CE3">
        <w:rPr>
          <w:szCs w:val="20"/>
        </w:rPr>
        <w:t>za odebrané množství podzemních vod</w:t>
      </w:r>
      <w:r>
        <w:rPr>
          <w:szCs w:val="20"/>
        </w:rPr>
        <w:t>.</w:t>
      </w:r>
    </w:p>
    <w:p w:rsidR="00374651" w:rsidRDefault="00374651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Smluvní pokuty a úroky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prodlení </w:t>
      </w:r>
      <w:r>
        <w:rPr>
          <w:szCs w:val="20"/>
        </w:rPr>
        <w:t>– na účtu 541 jsou zaúčtovány pokuty na základě dohody o narovnání za pronájem zdravotnických přístrojů (leasingy) ve výši 18 tis. Kč.</w:t>
      </w:r>
    </w:p>
    <w:p w:rsidR="00685533" w:rsidRPr="00080A97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Jiné pokuty a penále</w:t>
      </w:r>
      <w:r w:rsidRPr="00080A97">
        <w:rPr>
          <w:szCs w:val="20"/>
        </w:rPr>
        <w:t xml:space="preserve"> – na účtu 542 jsou </w:t>
      </w:r>
      <w:r w:rsidR="00374651">
        <w:rPr>
          <w:szCs w:val="20"/>
        </w:rPr>
        <w:t>za</w:t>
      </w:r>
      <w:r w:rsidRPr="00080A97">
        <w:rPr>
          <w:szCs w:val="20"/>
        </w:rPr>
        <w:t xml:space="preserve">účtovány náklady </w:t>
      </w:r>
      <w:r w:rsidR="000C5FD4" w:rsidRPr="00080A97">
        <w:rPr>
          <w:szCs w:val="20"/>
        </w:rPr>
        <w:t>z</w:t>
      </w:r>
      <w:r w:rsidRPr="00080A97">
        <w:rPr>
          <w:szCs w:val="20"/>
        </w:rPr>
        <w:t>a</w:t>
      </w:r>
      <w:r w:rsidR="000C5FD4" w:rsidRPr="00080A97">
        <w:rPr>
          <w:szCs w:val="20"/>
        </w:rPr>
        <w:t> </w:t>
      </w:r>
      <w:r w:rsidRPr="00080A97">
        <w:rPr>
          <w:szCs w:val="20"/>
        </w:rPr>
        <w:t>porušení rozpočtové kázně</w:t>
      </w:r>
      <w:r w:rsidR="005A50BF">
        <w:rPr>
          <w:szCs w:val="20"/>
        </w:rPr>
        <w:t xml:space="preserve">, </w:t>
      </w:r>
      <w:r w:rsidR="00374651">
        <w:rPr>
          <w:szCs w:val="20"/>
        </w:rPr>
        <w:t>penále</w:t>
      </w:r>
      <w:r w:rsidR="005A50BF">
        <w:rPr>
          <w:szCs w:val="20"/>
        </w:rPr>
        <w:t xml:space="preserve"> a ostatní sankce. Největší položku představují</w:t>
      </w:r>
      <w:r w:rsidR="00374651" w:rsidRPr="00374651">
        <w:rPr>
          <w:szCs w:val="20"/>
        </w:rPr>
        <w:t xml:space="preserve"> </w:t>
      </w:r>
      <w:r w:rsidR="005A50BF">
        <w:rPr>
          <w:szCs w:val="20"/>
        </w:rPr>
        <w:t>sankce stanovené</w:t>
      </w:r>
      <w:r w:rsidR="00374651" w:rsidRPr="00080A97">
        <w:rPr>
          <w:szCs w:val="20"/>
        </w:rPr>
        <w:t xml:space="preserve"> Finančním úřadem Ostrava I</w:t>
      </w:r>
      <w:r w:rsidR="00374651">
        <w:rPr>
          <w:szCs w:val="20"/>
        </w:rPr>
        <w:t>, které se týkají projektu Modernizace a obnova přístrojového vybavení Nemocnice s</w:t>
      </w:r>
      <w:r w:rsidR="001E7BF2">
        <w:rPr>
          <w:szCs w:val="20"/>
        </w:rPr>
        <w:t> </w:t>
      </w:r>
      <w:r w:rsidR="00374651">
        <w:rPr>
          <w:szCs w:val="20"/>
        </w:rPr>
        <w:t xml:space="preserve">poliklinikou </w:t>
      </w:r>
      <w:r w:rsidR="005A50BF">
        <w:rPr>
          <w:szCs w:val="20"/>
        </w:rPr>
        <w:t>Nový Jičín ve výši 3.356 tis. Kč (některé vyměřené sankce</w:t>
      </w:r>
      <w:r w:rsidR="00570229">
        <w:rPr>
          <w:szCs w:val="20"/>
        </w:rPr>
        <w:t xml:space="preserve"> v r. 2012 byly </w:t>
      </w:r>
      <w:r w:rsidR="00D66D58">
        <w:rPr>
          <w:szCs w:val="20"/>
        </w:rPr>
        <w:t xml:space="preserve">následně </w:t>
      </w:r>
      <w:r w:rsidR="00570229">
        <w:rPr>
          <w:szCs w:val="20"/>
        </w:rPr>
        <w:t>v r. 2013 prominuty, a </w:t>
      </w:r>
      <w:r w:rsidR="005A50BF">
        <w:rPr>
          <w:szCs w:val="20"/>
        </w:rPr>
        <w:t>proto je celkový stav účtu k</w:t>
      </w:r>
      <w:r w:rsidR="001E7BF2">
        <w:rPr>
          <w:szCs w:val="20"/>
        </w:rPr>
        <w:t> </w:t>
      </w:r>
      <w:r w:rsidR="005A50BF">
        <w:rPr>
          <w:szCs w:val="20"/>
        </w:rPr>
        <w:t>31.</w:t>
      </w:r>
      <w:r w:rsidR="00570229">
        <w:rPr>
          <w:szCs w:val="20"/>
        </w:rPr>
        <w:t> </w:t>
      </w:r>
      <w:r w:rsidR="005A50BF">
        <w:rPr>
          <w:szCs w:val="20"/>
        </w:rPr>
        <w:t>12.</w:t>
      </w:r>
      <w:r w:rsidR="00570229">
        <w:rPr>
          <w:szCs w:val="20"/>
        </w:rPr>
        <w:t> </w:t>
      </w:r>
      <w:r w:rsidR="005A50BF">
        <w:rPr>
          <w:szCs w:val="20"/>
        </w:rPr>
        <w:t xml:space="preserve">2013 ve výši 3.346 tis. Kč). </w:t>
      </w:r>
    </w:p>
    <w:p w:rsidR="00685533" w:rsidRPr="00080A97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Dary</w:t>
      </w:r>
      <w:r w:rsidRPr="00080A97">
        <w:rPr>
          <w:szCs w:val="20"/>
        </w:rPr>
        <w:t xml:space="preserve"> – na účtu 543 jsou</w:t>
      </w:r>
      <w:r w:rsidR="0085013C">
        <w:rPr>
          <w:szCs w:val="20"/>
        </w:rPr>
        <w:t xml:space="preserve"> za</w:t>
      </w:r>
      <w:r w:rsidRPr="00080A97">
        <w:rPr>
          <w:szCs w:val="20"/>
        </w:rPr>
        <w:t xml:space="preserve">účtovány zejména náklady na </w:t>
      </w:r>
      <w:r w:rsidR="0085013C" w:rsidRPr="00080A97">
        <w:rPr>
          <w:szCs w:val="20"/>
        </w:rPr>
        <w:t>věcné dary organizacím a fyzickým osobám – různá ocenění při výročích, soutěžích nebo u příležitosti významných návštěv (</w:t>
      </w:r>
      <w:r w:rsidR="0085013C">
        <w:rPr>
          <w:szCs w:val="20"/>
        </w:rPr>
        <w:t>526 </w:t>
      </w:r>
      <w:r w:rsidR="0085013C" w:rsidRPr="00080A97">
        <w:rPr>
          <w:szCs w:val="20"/>
        </w:rPr>
        <w:t>tis.</w:t>
      </w:r>
      <w:r w:rsidR="0085013C">
        <w:rPr>
          <w:szCs w:val="20"/>
        </w:rPr>
        <w:t> Kč); oproti roku 2012 je pokles na účtu o 31.763 tis. Kč</w:t>
      </w:r>
      <w:r w:rsidR="00853183">
        <w:rPr>
          <w:szCs w:val="20"/>
        </w:rPr>
        <w:t>, a především z</w:t>
      </w:r>
      <w:r w:rsidR="001E7BF2">
        <w:rPr>
          <w:szCs w:val="20"/>
        </w:rPr>
        <w:t> </w:t>
      </w:r>
      <w:r w:rsidR="00853183">
        <w:rPr>
          <w:szCs w:val="20"/>
        </w:rPr>
        <w:t>důvodu, že se na</w:t>
      </w:r>
      <w:r w:rsidR="00CE67F4">
        <w:rPr>
          <w:szCs w:val="20"/>
        </w:rPr>
        <w:t> </w:t>
      </w:r>
      <w:r w:rsidR="00853183">
        <w:rPr>
          <w:szCs w:val="20"/>
        </w:rPr>
        <w:t>účtu v</w:t>
      </w:r>
      <w:r w:rsidR="001E7BF2">
        <w:rPr>
          <w:szCs w:val="20"/>
        </w:rPr>
        <w:t> </w:t>
      </w:r>
      <w:r w:rsidR="00853183">
        <w:rPr>
          <w:szCs w:val="20"/>
        </w:rPr>
        <w:t>r. 2012 promítla hodnota</w:t>
      </w:r>
      <w:r w:rsidRPr="00080A97">
        <w:rPr>
          <w:szCs w:val="20"/>
        </w:rPr>
        <w:t xml:space="preserve"> (zůst</w:t>
      </w:r>
      <w:r w:rsidR="00853183">
        <w:rPr>
          <w:szCs w:val="20"/>
        </w:rPr>
        <w:t xml:space="preserve">atková cena darovaného majetku) </w:t>
      </w:r>
      <w:r w:rsidR="001E7BF2">
        <w:rPr>
          <w:szCs w:val="20"/>
        </w:rPr>
        <w:t>–</w:t>
      </w:r>
      <w:r w:rsidRPr="00080A97">
        <w:rPr>
          <w:szCs w:val="20"/>
        </w:rPr>
        <w:t xml:space="preserve"> jednalo o dar pozemků, uměleckých předmětů, budov, staveb a movitého majetku zájmovému sdružení právnických osob Dolní oblast Vítkovice (31.954 tis. Kč</w:t>
      </w:r>
      <w:r w:rsidR="000C5FD4" w:rsidRPr="00080A97">
        <w:rPr>
          <w:szCs w:val="20"/>
        </w:rPr>
        <w:t>)</w:t>
      </w:r>
      <w:r w:rsidR="00853183">
        <w:rPr>
          <w:szCs w:val="20"/>
        </w:rPr>
        <w:t>.</w:t>
      </w:r>
    </w:p>
    <w:p w:rsidR="0085318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853183">
        <w:rPr>
          <w:szCs w:val="20"/>
          <w:u w:val="single"/>
        </w:rPr>
        <w:t>Prodaný materiál</w:t>
      </w:r>
      <w:r w:rsidR="00853183" w:rsidRPr="00853183">
        <w:rPr>
          <w:szCs w:val="20"/>
        </w:rPr>
        <w:t xml:space="preserve"> – na účtu 544 byla v</w:t>
      </w:r>
      <w:r w:rsidR="001E7BF2">
        <w:rPr>
          <w:szCs w:val="20"/>
        </w:rPr>
        <w:t> </w:t>
      </w:r>
      <w:r w:rsidR="00853183" w:rsidRPr="00853183">
        <w:rPr>
          <w:szCs w:val="20"/>
        </w:rPr>
        <w:t xml:space="preserve">r. 2012 </w:t>
      </w:r>
      <w:r w:rsidRPr="00853183">
        <w:rPr>
          <w:szCs w:val="20"/>
        </w:rPr>
        <w:t>účtována hodnota prodaného materiálu, převzatého 1.</w:t>
      </w:r>
      <w:r w:rsidR="00853183" w:rsidRPr="00853183">
        <w:rPr>
          <w:szCs w:val="20"/>
        </w:rPr>
        <w:t> </w:t>
      </w:r>
      <w:r w:rsidRPr="00853183">
        <w:rPr>
          <w:szCs w:val="20"/>
        </w:rPr>
        <w:t>1.</w:t>
      </w:r>
      <w:r w:rsidR="00853183" w:rsidRPr="00853183">
        <w:rPr>
          <w:szCs w:val="20"/>
        </w:rPr>
        <w:t> </w:t>
      </w:r>
      <w:r w:rsidRPr="00853183">
        <w:rPr>
          <w:szCs w:val="20"/>
        </w:rPr>
        <w:t>2012 ze zrušené Nemocnice s</w:t>
      </w:r>
      <w:r w:rsidR="001E7BF2">
        <w:rPr>
          <w:szCs w:val="20"/>
        </w:rPr>
        <w:t> </w:t>
      </w:r>
      <w:r w:rsidRPr="00853183">
        <w:rPr>
          <w:szCs w:val="20"/>
        </w:rPr>
        <w:t>poliklinikou v</w:t>
      </w:r>
      <w:r w:rsidR="001E7BF2">
        <w:rPr>
          <w:szCs w:val="20"/>
        </w:rPr>
        <w:t> </w:t>
      </w:r>
      <w:r w:rsidRPr="00853183">
        <w:rPr>
          <w:szCs w:val="20"/>
        </w:rPr>
        <w:t>Novém Jičíně</w:t>
      </w:r>
      <w:r w:rsidR="00080A97" w:rsidRPr="00853183">
        <w:rPr>
          <w:szCs w:val="20"/>
        </w:rPr>
        <w:t>, p.o.</w:t>
      </w:r>
      <w:r w:rsidRPr="00853183">
        <w:rPr>
          <w:szCs w:val="20"/>
        </w:rPr>
        <w:t xml:space="preserve"> Materiál byl prodán Nemocnici Nový</w:t>
      </w:r>
      <w:r w:rsidR="00E72155" w:rsidRPr="00853183">
        <w:rPr>
          <w:szCs w:val="20"/>
        </w:rPr>
        <w:t> </w:t>
      </w:r>
      <w:r w:rsidRPr="00853183">
        <w:rPr>
          <w:szCs w:val="20"/>
        </w:rPr>
        <w:t xml:space="preserve">Jičín, a.s. </w:t>
      </w:r>
      <w:r w:rsidR="00D813DC" w:rsidRPr="00853183">
        <w:rPr>
          <w:szCs w:val="20"/>
        </w:rPr>
        <w:t>– hodnota prodaného materiálu byla</w:t>
      </w:r>
      <w:r w:rsidRPr="00853183">
        <w:rPr>
          <w:szCs w:val="20"/>
        </w:rPr>
        <w:t xml:space="preserve"> </w:t>
      </w:r>
      <w:r w:rsidR="00080A97" w:rsidRPr="00853183">
        <w:rPr>
          <w:szCs w:val="20"/>
        </w:rPr>
        <w:t xml:space="preserve">ve výši </w:t>
      </w:r>
      <w:r w:rsidR="00853183" w:rsidRPr="00853183">
        <w:rPr>
          <w:szCs w:val="20"/>
        </w:rPr>
        <w:t>7.412</w:t>
      </w:r>
      <w:r w:rsidR="00D66D58">
        <w:rPr>
          <w:szCs w:val="20"/>
        </w:rPr>
        <w:t> tis. </w:t>
      </w:r>
      <w:r w:rsidR="00853183" w:rsidRPr="00853183">
        <w:rPr>
          <w:szCs w:val="20"/>
        </w:rPr>
        <w:t>Kč. V</w:t>
      </w:r>
      <w:r w:rsidR="001E7BF2">
        <w:rPr>
          <w:szCs w:val="20"/>
        </w:rPr>
        <w:t> </w:t>
      </w:r>
      <w:r w:rsidR="00853183" w:rsidRPr="00853183">
        <w:rPr>
          <w:szCs w:val="20"/>
        </w:rPr>
        <w:t xml:space="preserve">roce 2013 nebyl žádný prodej materiálu realizován, proto </w:t>
      </w:r>
      <w:r w:rsidR="00D66D58">
        <w:rPr>
          <w:szCs w:val="20"/>
        </w:rPr>
        <w:t xml:space="preserve">je </w:t>
      </w:r>
      <w:r w:rsidR="00853183" w:rsidRPr="00853183">
        <w:rPr>
          <w:szCs w:val="20"/>
        </w:rPr>
        <w:t xml:space="preserve">na </w:t>
      </w:r>
      <w:r w:rsidR="00132F60">
        <w:rPr>
          <w:szCs w:val="20"/>
        </w:rPr>
        <w:t xml:space="preserve">nákladovém </w:t>
      </w:r>
      <w:r w:rsidR="00853183" w:rsidRPr="00853183">
        <w:rPr>
          <w:szCs w:val="20"/>
        </w:rPr>
        <w:t>účtu</w:t>
      </w:r>
      <w:r w:rsidR="00D66D58">
        <w:rPr>
          <w:szCs w:val="20"/>
        </w:rPr>
        <w:t xml:space="preserve"> nulový stav</w:t>
      </w:r>
      <w:r w:rsidR="00853183">
        <w:rPr>
          <w:szCs w:val="20"/>
        </w:rPr>
        <w:t>.</w:t>
      </w:r>
    </w:p>
    <w:p w:rsidR="00685533" w:rsidRPr="0085318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853183">
        <w:rPr>
          <w:szCs w:val="20"/>
          <w:u w:val="single"/>
        </w:rPr>
        <w:t>Tvorba fondů</w:t>
      </w:r>
      <w:r w:rsidRPr="00853183">
        <w:rPr>
          <w:szCs w:val="20"/>
        </w:rPr>
        <w:t xml:space="preserve"> – na účtu 548 je účtován příděl do fondů kraje (při čerpání fondů je účtováno na</w:t>
      </w:r>
      <w:r w:rsidR="00267BAE" w:rsidRPr="00853183">
        <w:rPr>
          <w:szCs w:val="20"/>
        </w:rPr>
        <w:t> </w:t>
      </w:r>
      <w:r w:rsidRPr="00853183">
        <w:rPr>
          <w:szCs w:val="20"/>
        </w:rPr>
        <w:t xml:space="preserve">příslušný nákladový účet proti účtu 548; obdobně jsou účtovány také výnosy u jednotlivých fondů). Kraj má zřízeny 4 účelové fondy: Sociální fond, Zajišťovací fond, Regionální rozvojový fond a Fond životního prostředí </w:t>
      </w:r>
      <w:r w:rsidR="00EB62B4" w:rsidRPr="00853183">
        <w:rPr>
          <w:szCs w:val="20"/>
        </w:rPr>
        <w:t>MSK</w:t>
      </w:r>
      <w:r w:rsidRPr="00853183">
        <w:rPr>
          <w:szCs w:val="20"/>
        </w:rPr>
        <w:t xml:space="preserve">. O fondech je účtováno výsledkově (tj. prostřednictvím nákladových a výnosových účtů). </w:t>
      </w:r>
      <w:r w:rsidR="002D3145">
        <w:rPr>
          <w:szCs w:val="20"/>
        </w:rPr>
        <w:t>C</w:t>
      </w:r>
      <w:r w:rsidR="000C5FD4" w:rsidRPr="00853183">
        <w:rPr>
          <w:szCs w:val="20"/>
        </w:rPr>
        <w:t>elkov</w:t>
      </w:r>
      <w:r w:rsidR="002D3145">
        <w:rPr>
          <w:szCs w:val="20"/>
        </w:rPr>
        <w:t>é</w:t>
      </w:r>
      <w:r w:rsidR="000C5FD4" w:rsidRPr="00853183">
        <w:rPr>
          <w:szCs w:val="20"/>
        </w:rPr>
        <w:t xml:space="preserve"> náklad</w:t>
      </w:r>
      <w:r w:rsidR="002D3145">
        <w:rPr>
          <w:szCs w:val="20"/>
        </w:rPr>
        <w:t>y</w:t>
      </w:r>
      <w:r w:rsidR="000C5FD4" w:rsidRPr="00853183">
        <w:rPr>
          <w:szCs w:val="20"/>
        </w:rPr>
        <w:t xml:space="preserve"> ve výši </w:t>
      </w:r>
      <w:r w:rsidR="00853183">
        <w:rPr>
          <w:szCs w:val="20"/>
        </w:rPr>
        <w:t>3.108 </w:t>
      </w:r>
      <w:r w:rsidR="000C5FD4" w:rsidRPr="00853183">
        <w:rPr>
          <w:szCs w:val="20"/>
        </w:rPr>
        <w:t>tis.</w:t>
      </w:r>
      <w:r w:rsidR="00853183">
        <w:rPr>
          <w:szCs w:val="20"/>
        </w:rPr>
        <w:t> </w:t>
      </w:r>
      <w:r w:rsidR="000C5FD4" w:rsidRPr="00853183">
        <w:rPr>
          <w:szCs w:val="20"/>
        </w:rPr>
        <w:t>Kč</w:t>
      </w:r>
      <w:r w:rsidR="002D3145">
        <w:rPr>
          <w:szCs w:val="20"/>
        </w:rPr>
        <w:t xml:space="preserve"> představují saldo </w:t>
      </w:r>
      <w:r w:rsidR="00157ED8">
        <w:rPr>
          <w:szCs w:val="20"/>
        </w:rPr>
        <w:t>na</w:t>
      </w:r>
      <w:r w:rsidR="00CE67F4">
        <w:rPr>
          <w:szCs w:val="20"/>
        </w:rPr>
        <w:t> </w:t>
      </w:r>
      <w:r w:rsidR="00157ED8">
        <w:rPr>
          <w:szCs w:val="20"/>
        </w:rPr>
        <w:t xml:space="preserve">nákladovém účtu 548 </w:t>
      </w:r>
      <w:r w:rsidR="001E7BF2">
        <w:rPr>
          <w:szCs w:val="20"/>
        </w:rPr>
        <w:t>–</w:t>
      </w:r>
      <w:r w:rsidR="00157ED8">
        <w:rPr>
          <w:szCs w:val="20"/>
        </w:rPr>
        <w:t xml:space="preserve"> rozdíl </w:t>
      </w:r>
      <w:r w:rsidR="002D3145">
        <w:rPr>
          <w:szCs w:val="20"/>
        </w:rPr>
        <w:t xml:space="preserve">mezi přídělem do fondů a jejich čerpáním (oproti r. 2012, </w:t>
      </w:r>
      <w:r w:rsidR="00157ED8">
        <w:rPr>
          <w:szCs w:val="20"/>
        </w:rPr>
        <w:t xml:space="preserve">kdy </w:t>
      </w:r>
      <w:r w:rsidR="002D3145">
        <w:rPr>
          <w:szCs w:val="20"/>
        </w:rPr>
        <w:t>byl stav účtu 39.462 tis. Kč, je pokles nákladů o 36.354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Odpisy dlouhodobého majetku</w:t>
      </w:r>
      <w:r w:rsidRPr="002978DF">
        <w:rPr>
          <w:szCs w:val="20"/>
        </w:rPr>
        <w:t xml:space="preserve"> –</w:t>
      </w:r>
      <w:r>
        <w:rPr>
          <w:szCs w:val="20"/>
        </w:rPr>
        <w:t xml:space="preserve"> na účtu 551 jsou účtovány odpisy dlouhodobého hmotného a</w:t>
      </w:r>
      <w:r w:rsidR="000C5FD4">
        <w:rPr>
          <w:szCs w:val="20"/>
        </w:rPr>
        <w:t> nehmotného majetku v</w:t>
      </w:r>
      <w:r w:rsidR="001E7BF2">
        <w:rPr>
          <w:szCs w:val="20"/>
        </w:rPr>
        <w:t> </w:t>
      </w:r>
      <w:r w:rsidR="000C5FD4">
        <w:rPr>
          <w:szCs w:val="20"/>
        </w:rPr>
        <w:t xml:space="preserve">celkové výši </w:t>
      </w:r>
      <w:r w:rsidR="002D3145">
        <w:rPr>
          <w:szCs w:val="20"/>
        </w:rPr>
        <w:t>120.750 </w:t>
      </w:r>
      <w:r w:rsidR="000C5FD4">
        <w:rPr>
          <w:szCs w:val="20"/>
        </w:rPr>
        <w:t>tis.</w:t>
      </w:r>
      <w:r w:rsidR="002D3145">
        <w:rPr>
          <w:szCs w:val="20"/>
        </w:rPr>
        <w:t> </w:t>
      </w:r>
      <w:r w:rsidR="000C5FD4">
        <w:rPr>
          <w:szCs w:val="20"/>
        </w:rPr>
        <w:t>Kč. K</w:t>
      </w:r>
      <w:r>
        <w:rPr>
          <w:szCs w:val="20"/>
        </w:rPr>
        <w:t>raj začal majetek odpisovat</w:t>
      </w:r>
      <w:r w:rsidR="002D3145">
        <w:rPr>
          <w:szCs w:val="20"/>
        </w:rPr>
        <w:t xml:space="preserve"> do nákladů</w:t>
      </w:r>
      <w:r>
        <w:rPr>
          <w:szCs w:val="20"/>
        </w:rPr>
        <w:t xml:space="preserve"> od</w:t>
      </w:r>
      <w:r w:rsidR="002D3145">
        <w:rPr>
          <w:szCs w:val="20"/>
        </w:rPr>
        <w:t> </w:t>
      </w:r>
      <w:r>
        <w:rPr>
          <w:szCs w:val="20"/>
        </w:rPr>
        <w:t>1.</w:t>
      </w:r>
      <w:r w:rsidR="002D3145">
        <w:rPr>
          <w:szCs w:val="20"/>
        </w:rPr>
        <w:t> </w:t>
      </w:r>
      <w:r>
        <w:rPr>
          <w:szCs w:val="20"/>
        </w:rPr>
        <w:t>1.</w:t>
      </w:r>
      <w:r w:rsidR="002D3145">
        <w:rPr>
          <w:szCs w:val="20"/>
        </w:rPr>
        <w:t> </w:t>
      </w:r>
      <w:r>
        <w:rPr>
          <w:szCs w:val="20"/>
        </w:rPr>
        <w:t>2012</w:t>
      </w:r>
      <w:r w:rsidR="00972F8A">
        <w:rPr>
          <w:szCs w:val="20"/>
        </w:rPr>
        <w:t xml:space="preserve"> – oproti r.</w:t>
      </w:r>
      <w:r w:rsidR="00972F8A" w:rsidRPr="00972F8A">
        <w:rPr>
          <w:szCs w:val="20"/>
        </w:rPr>
        <w:t xml:space="preserve"> </w:t>
      </w:r>
      <w:r w:rsidR="00972F8A">
        <w:rPr>
          <w:szCs w:val="20"/>
        </w:rPr>
        <w:t xml:space="preserve"> 2012 došlo ke snížení odpisů o 2.420 tis. Kč. </w:t>
      </w:r>
      <w:r>
        <w:rPr>
          <w:szCs w:val="20"/>
        </w:rPr>
        <w:t>Kraj odpisuje majetek rovnoměrným způsobem. Současně s</w:t>
      </w:r>
      <w:r w:rsidR="001E7BF2">
        <w:rPr>
          <w:szCs w:val="20"/>
        </w:rPr>
        <w:t> </w:t>
      </w:r>
      <w:r>
        <w:rPr>
          <w:szCs w:val="20"/>
        </w:rPr>
        <w:t>odpisy je rozpouštěná alikvotní část investiční</w:t>
      </w:r>
      <w:r w:rsidR="00972F8A">
        <w:rPr>
          <w:szCs w:val="20"/>
        </w:rPr>
        <w:t>ch</w:t>
      </w:r>
      <w:r>
        <w:rPr>
          <w:szCs w:val="20"/>
        </w:rPr>
        <w:t xml:space="preserve"> transfer</w:t>
      </w:r>
      <w:r w:rsidR="00972F8A">
        <w:rPr>
          <w:szCs w:val="20"/>
        </w:rPr>
        <w:t>ů</w:t>
      </w:r>
      <w:r>
        <w:rPr>
          <w:szCs w:val="20"/>
        </w:rPr>
        <w:t xml:space="preserve"> do</w:t>
      </w:r>
      <w:r w:rsidR="00CE67F4">
        <w:rPr>
          <w:szCs w:val="20"/>
        </w:rPr>
        <w:t> </w:t>
      </w:r>
      <w:r>
        <w:rPr>
          <w:szCs w:val="20"/>
        </w:rPr>
        <w:t>výnosů</w:t>
      </w:r>
      <w:r w:rsidR="000C5FD4">
        <w:rPr>
          <w:szCs w:val="20"/>
        </w:rPr>
        <w:t xml:space="preserve">, a to </w:t>
      </w:r>
      <w:r>
        <w:rPr>
          <w:szCs w:val="20"/>
        </w:rPr>
        <w:t>na účet 672 (v r. 201</w:t>
      </w:r>
      <w:r w:rsidR="00972F8A">
        <w:rPr>
          <w:szCs w:val="20"/>
        </w:rPr>
        <w:t>3</w:t>
      </w:r>
      <w:r>
        <w:rPr>
          <w:szCs w:val="20"/>
        </w:rPr>
        <w:t xml:space="preserve"> to byla částka včetně </w:t>
      </w:r>
      <w:r w:rsidR="000C5FD4">
        <w:rPr>
          <w:szCs w:val="20"/>
        </w:rPr>
        <w:t xml:space="preserve">ostatního </w:t>
      </w:r>
      <w:r>
        <w:rPr>
          <w:szCs w:val="20"/>
        </w:rPr>
        <w:t>časového rozlišení</w:t>
      </w:r>
      <w:r w:rsidR="000C5FD4">
        <w:rPr>
          <w:szCs w:val="20"/>
        </w:rPr>
        <w:t xml:space="preserve"> ve výši</w:t>
      </w:r>
      <w:r>
        <w:rPr>
          <w:szCs w:val="20"/>
        </w:rPr>
        <w:t xml:space="preserve"> </w:t>
      </w:r>
      <w:r w:rsidR="00972F8A">
        <w:rPr>
          <w:szCs w:val="20"/>
        </w:rPr>
        <w:t>41.525</w:t>
      </w:r>
      <w:r w:rsidR="000C5FD4">
        <w:rPr>
          <w:szCs w:val="20"/>
        </w:rPr>
        <w:t> </w:t>
      </w:r>
      <w:r>
        <w:rPr>
          <w:szCs w:val="20"/>
        </w:rPr>
        <w:t>tis.</w:t>
      </w:r>
      <w:r w:rsidR="000C5FD4">
        <w:rPr>
          <w:szCs w:val="20"/>
        </w:rPr>
        <w:t> </w:t>
      </w:r>
      <w:r>
        <w:rPr>
          <w:szCs w:val="20"/>
        </w:rPr>
        <w:t>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Prodaný dlouhodobý hmotný majetek </w:t>
      </w:r>
      <w:r>
        <w:rPr>
          <w:szCs w:val="20"/>
        </w:rPr>
        <w:t xml:space="preserve">– na účtu 553 je účtována cena prodávaného dlouhodobého hmotného majetku, a to staveb a </w:t>
      </w:r>
      <w:r w:rsidR="00443E7E">
        <w:rPr>
          <w:szCs w:val="20"/>
        </w:rPr>
        <w:t xml:space="preserve">budov </w:t>
      </w:r>
      <w:r w:rsidR="005E3A39">
        <w:rPr>
          <w:szCs w:val="20"/>
        </w:rPr>
        <w:t>v</w:t>
      </w:r>
      <w:r w:rsidR="001E7BF2">
        <w:rPr>
          <w:szCs w:val="20"/>
        </w:rPr>
        <w:t> </w:t>
      </w:r>
      <w:r w:rsidR="005E3A39">
        <w:rPr>
          <w:szCs w:val="20"/>
        </w:rPr>
        <w:t xml:space="preserve">celkové výši </w:t>
      </w:r>
      <w:r w:rsidR="00972F8A">
        <w:rPr>
          <w:szCs w:val="20"/>
        </w:rPr>
        <w:t>36.448 </w:t>
      </w:r>
      <w:r w:rsidR="000C5FD4">
        <w:rPr>
          <w:szCs w:val="20"/>
        </w:rPr>
        <w:t>tis.</w:t>
      </w:r>
      <w:r w:rsidR="00972F8A">
        <w:rPr>
          <w:szCs w:val="20"/>
        </w:rPr>
        <w:t> </w:t>
      </w:r>
      <w:r w:rsidR="000C5FD4">
        <w:rPr>
          <w:szCs w:val="20"/>
        </w:rPr>
        <w:t>Kč</w:t>
      </w:r>
      <w:r>
        <w:rPr>
          <w:szCs w:val="20"/>
        </w:rPr>
        <w:t>. Majetek určený k</w:t>
      </w:r>
      <w:r w:rsidR="001E7BF2">
        <w:rPr>
          <w:szCs w:val="20"/>
        </w:rPr>
        <w:t> </w:t>
      </w:r>
      <w:r>
        <w:rPr>
          <w:szCs w:val="20"/>
        </w:rPr>
        <w:t>prodeji je v</w:t>
      </w:r>
      <w:r w:rsidR="001E7BF2">
        <w:rPr>
          <w:szCs w:val="20"/>
        </w:rPr>
        <w:t> </w:t>
      </w:r>
      <w:r>
        <w:rPr>
          <w:szCs w:val="20"/>
        </w:rPr>
        <w:t>souladu s</w:t>
      </w:r>
      <w:r w:rsidR="001E7BF2">
        <w:rPr>
          <w:szCs w:val="20"/>
        </w:rPr>
        <w:t> </w:t>
      </w:r>
      <w:r>
        <w:rPr>
          <w:szCs w:val="20"/>
        </w:rPr>
        <w:t xml:space="preserve">vnitřními předpisy přeceněn na reálnou hodnotu. </w:t>
      </w:r>
      <w:r w:rsidR="00972F8A">
        <w:rPr>
          <w:szCs w:val="20"/>
        </w:rPr>
        <w:t>Na účtu je vykázán zejména</w:t>
      </w:r>
      <w:r>
        <w:rPr>
          <w:szCs w:val="20"/>
        </w:rPr>
        <w:t xml:space="preserve"> prodej</w:t>
      </w:r>
      <w:r w:rsidR="00B749C3">
        <w:rPr>
          <w:szCs w:val="20"/>
        </w:rPr>
        <w:t xml:space="preserve"> nepotřebných budov</w:t>
      </w:r>
      <w:r>
        <w:rPr>
          <w:szCs w:val="20"/>
        </w:rPr>
        <w:t>, kter</w:t>
      </w:r>
      <w:r w:rsidR="00B749C3">
        <w:rPr>
          <w:szCs w:val="20"/>
        </w:rPr>
        <w:t>é</w:t>
      </w:r>
      <w:r>
        <w:rPr>
          <w:szCs w:val="20"/>
        </w:rPr>
        <w:t xml:space="preserve"> byl</w:t>
      </w:r>
      <w:r w:rsidR="00B749C3">
        <w:rPr>
          <w:szCs w:val="20"/>
        </w:rPr>
        <w:t>y</w:t>
      </w:r>
      <w:r>
        <w:rPr>
          <w:szCs w:val="20"/>
        </w:rPr>
        <w:t xml:space="preserve"> převeden</w:t>
      </w:r>
      <w:r w:rsidR="00B749C3">
        <w:rPr>
          <w:szCs w:val="20"/>
        </w:rPr>
        <w:t>y</w:t>
      </w:r>
      <w:r>
        <w:rPr>
          <w:szCs w:val="20"/>
        </w:rPr>
        <w:t xml:space="preserve"> z</w:t>
      </w:r>
      <w:r w:rsidR="001E7BF2">
        <w:rPr>
          <w:szCs w:val="20"/>
        </w:rPr>
        <w:t> </w:t>
      </w:r>
      <w:r>
        <w:rPr>
          <w:szCs w:val="20"/>
        </w:rPr>
        <w:t>příspě</w:t>
      </w:r>
      <w:r w:rsidR="00972F8A">
        <w:rPr>
          <w:szCs w:val="20"/>
        </w:rPr>
        <w:t xml:space="preserve">vkových organizací zpět na kraj </w:t>
      </w:r>
      <w:r>
        <w:rPr>
          <w:szCs w:val="20"/>
        </w:rPr>
        <w:t xml:space="preserve">a </w:t>
      </w:r>
      <w:r w:rsidR="00972F8A">
        <w:rPr>
          <w:szCs w:val="20"/>
        </w:rPr>
        <w:t>následně prodán</w:t>
      </w:r>
      <w:r w:rsidR="00B749C3">
        <w:rPr>
          <w:szCs w:val="20"/>
        </w:rPr>
        <w:t>y</w:t>
      </w:r>
      <w:r w:rsidR="00972F8A">
        <w:rPr>
          <w:szCs w:val="20"/>
        </w:rPr>
        <w:t xml:space="preserve"> nebo směněn</w:t>
      </w:r>
      <w:r w:rsidR="00B749C3">
        <w:rPr>
          <w:szCs w:val="20"/>
        </w:rPr>
        <w:t>y</w:t>
      </w:r>
      <w:r w:rsidR="00972F8A">
        <w:rPr>
          <w:szCs w:val="20"/>
        </w:rPr>
        <w:t xml:space="preserve"> za jiný majetek.</w:t>
      </w:r>
      <w:r w:rsidR="00B749C3">
        <w:rPr>
          <w:szCs w:val="20"/>
        </w:rPr>
        <w:t xml:space="preserve"> Oproti r. 2012 byl realizován vyšší prodej majetku – nárůst o 22.918 tis. Kč. 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4B66C2">
        <w:rPr>
          <w:szCs w:val="20"/>
          <w:u w:val="single"/>
        </w:rPr>
        <w:t>Prodané pozemky</w:t>
      </w:r>
      <w:r>
        <w:rPr>
          <w:szCs w:val="20"/>
        </w:rPr>
        <w:t xml:space="preserve"> – na účtu 554 je účtována cena prodávaných pozemků, oceněných v</w:t>
      </w:r>
      <w:r w:rsidR="001E7BF2">
        <w:rPr>
          <w:szCs w:val="20"/>
        </w:rPr>
        <w:t> </w:t>
      </w:r>
      <w:r>
        <w:rPr>
          <w:szCs w:val="20"/>
        </w:rPr>
        <w:t>souladu s</w:t>
      </w:r>
      <w:r w:rsidR="001E7BF2">
        <w:rPr>
          <w:szCs w:val="20"/>
        </w:rPr>
        <w:t> </w:t>
      </w:r>
      <w:r>
        <w:rPr>
          <w:szCs w:val="20"/>
        </w:rPr>
        <w:t xml:space="preserve">vnitřními předpisy na reálnou hodnotu, </w:t>
      </w:r>
      <w:r w:rsidR="005E3A39">
        <w:rPr>
          <w:szCs w:val="20"/>
        </w:rPr>
        <w:t xml:space="preserve">vč. </w:t>
      </w:r>
      <w:r>
        <w:rPr>
          <w:szCs w:val="20"/>
        </w:rPr>
        <w:t>cen</w:t>
      </w:r>
      <w:r w:rsidR="005E3A39">
        <w:rPr>
          <w:szCs w:val="20"/>
        </w:rPr>
        <w:t>y</w:t>
      </w:r>
      <w:r>
        <w:rPr>
          <w:szCs w:val="20"/>
        </w:rPr>
        <w:t xml:space="preserve"> </w:t>
      </w:r>
      <w:r w:rsidR="005E3A39">
        <w:rPr>
          <w:szCs w:val="20"/>
        </w:rPr>
        <w:t>směňovaných pozemků, v</w:t>
      </w:r>
      <w:r w:rsidR="001E7BF2">
        <w:rPr>
          <w:szCs w:val="20"/>
        </w:rPr>
        <w:t> </w:t>
      </w:r>
      <w:r w:rsidR="005E3A39">
        <w:rPr>
          <w:szCs w:val="20"/>
        </w:rPr>
        <w:t xml:space="preserve">celkové výši </w:t>
      </w:r>
      <w:r w:rsidR="00A72B62">
        <w:rPr>
          <w:szCs w:val="20"/>
        </w:rPr>
        <w:t>16.550</w:t>
      </w:r>
      <w:r w:rsidR="005E3A39">
        <w:rPr>
          <w:szCs w:val="20"/>
        </w:rPr>
        <w:t> tis. Kč.</w:t>
      </w:r>
      <w:r>
        <w:rPr>
          <w:szCs w:val="20"/>
        </w:rPr>
        <w:t xml:space="preserve"> Opět se jedná o nevyužité pozemky, převáděné z</w:t>
      </w:r>
      <w:r w:rsidR="001E7BF2">
        <w:rPr>
          <w:szCs w:val="20"/>
        </w:rPr>
        <w:t> </w:t>
      </w:r>
      <w:r>
        <w:rPr>
          <w:szCs w:val="20"/>
        </w:rPr>
        <w:t>příspěvkových organizací, popř. o</w:t>
      </w:r>
      <w:r w:rsidR="00EB62B4">
        <w:rPr>
          <w:szCs w:val="20"/>
        </w:rPr>
        <w:t> </w:t>
      </w:r>
      <w:r w:rsidR="00A72B62">
        <w:rPr>
          <w:szCs w:val="20"/>
        </w:rPr>
        <w:t>pozemky ve vlastnictví kraje. Oproti roku došlo ke snížení prodejů o 9.541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Tvorba a zúčtování opravných položek</w:t>
      </w:r>
      <w:r w:rsidRPr="00080A97">
        <w:rPr>
          <w:szCs w:val="20"/>
        </w:rPr>
        <w:t xml:space="preserve"> </w:t>
      </w:r>
      <w:r>
        <w:rPr>
          <w:szCs w:val="20"/>
        </w:rPr>
        <w:t>– na účtu 556 jsou účtovány opravné položky k</w:t>
      </w:r>
      <w:r w:rsidR="001E7BF2">
        <w:rPr>
          <w:szCs w:val="20"/>
        </w:rPr>
        <w:t> </w:t>
      </w:r>
      <w:r>
        <w:rPr>
          <w:szCs w:val="20"/>
        </w:rPr>
        <w:t xml:space="preserve">pohledávkám </w:t>
      </w:r>
      <w:r w:rsidR="00ED25F5">
        <w:rPr>
          <w:szCs w:val="20"/>
        </w:rPr>
        <w:t>(krátkodobým a dlouhodobým), k</w:t>
      </w:r>
      <w:r w:rsidR="001E7BF2">
        <w:rPr>
          <w:szCs w:val="20"/>
        </w:rPr>
        <w:t> </w:t>
      </w:r>
      <w:r w:rsidR="00ED25F5">
        <w:rPr>
          <w:szCs w:val="20"/>
        </w:rPr>
        <w:t>zásobám a k</w:t>
      </w:r>
      <w:r w:rsidR="001E7BF2">
        <w:rPr>
          <w:szCs w:val="20"/>
        </w:rPr>
        <w:t> </w:t>
      </w:r>
      <w:r w:rsidR="00ED25F5">
        <w:rPr>
          <w:szCs w:val="20"/>
        </w:rPr>
        <w:t>účtu 062 (majetkové účasti v</w:t>
      </w:r>
      <w:r w:rsidR="001E7BF2">
        <w:rPr>
          <w:szCs w:val="20"/>
        </w:rPr>
        <w:t> </w:t>
      </w:r>
      <w:r w:rsidR="00ED25F5">
        <w:rPr>
          <w:szCs w:val="20"/>
        </w:rPr>
        <w:t>osobách s</w:t>
      </w:r>
      <w:r w:rsidR="001E7BF2">
        <w:rPr>
          <w:szCs w:val="20"/>
        </w:rPr>
        <w:t> </w:t>
      </w:r>
      <w:r w:rsidR="00ED25F5">
        <w:rPr>
          <w:szCs w:val="20"/>
        </w:rPr>
        <w:t>podstatným vlivem)</w:t>
      </w:r>
      <w:r w:rsidR="00C244B8">
        <w:rPr>
          <w:szCs w:val="20"/>
        </w:rPr>
        <w:t>, ke kterým došlo v</w:t>
      </w:r>
      <w:r w:rsidR="001E7BF2">
        <w:rPr>
          <w:szCs w:val="20"/>
        </w:rPr>
        <w:t> </w:t>
      </w:r>
      <w:r w:rsidR="00C244B8">
        <w:rPr>
          <w:szCs w:val="20"/>
        </w:rPr>
        <w:t>r. 2013</w:t>
      </w:r>
      <w:r>
        <w:rPr>
          <w:szCs w:val="20"/>
        </w:rPr>
        <w:t>. Opravné položky jsou tvořeny v</w:t>
      </w:r>
      <w:r w:rsidR="001E7BF2">
        <w:rPr>
          <w:szCs w:val="20"/>
        </w:rPr>
        <w:t> </w:t>
      </w:r>
      <w:r>
        <w:rPr>
          <w:szCs w:val="20"/>
        </w:rPr>
        <w:t xml:space="preserve">souladu se zákonnými předpisy (tvoří se </w:t>
      </w:r>
      <w:r w:rsidR="00ED25F5">
        <w:rPr>
          <w:szCs w:val="20"/>
        </w:rPr>
        <w:t xml:space="preserve">např. </w:t>
      </w:r>
      <w:r>
        <w:rPr>
          <w:szCs w:val="20"/>
        </w:rPr>
        <w:t>u stanovených pohledávek, a to za každých 90 dnů po splatnosti ve výši 10 % z</w:t>
      </w:r>
      <w:r w:rsidR="001E7BF2">
        <w:rPr>
          <w:szCs w:val="20"/>
        </w:rPr>
        <w:t> </w:t>
      </w:r>
      <w:r>
        <w:rPr>
          <w:szCs w:val="20"/>
        </w:rPr>
        <w:t xml:space="preserve">hodnoty pohledávky), opravné položky </w:t>
      </w:r>
      <w:r w:rsidR="00ED25F5">
        <w:rPr>
          <w:szCs w:val="20"/>
        </w:rPr>
        <w:t xml:space="preserve">byly vytvořeny </w:t>
      </w:r>
      <w:r>
        <w:rPr>
          <w:szCs w:val="20"/>
        </w:rPr>
        <w:t>k</w:t>
      </w:r>
      <w:r w:rsidR="001E7BF2">
        <w:rPr>
          <w:szCs w:val="20"/>
        </w:rPr>
        <w:t> </w:t>
      </w:r>
      <w:r>
        <w:rPr>
          <w:szCs w:val="20"/>
        </w:rPr>
        <w:t>účtu 311 (</w:t>
      </w:r>
      <w:r w:rsidR="00ED25F5">
        <w:rPr>
          <w:szCs w:val="20"/>
        </w:rPr>
        <w:t>14</w:t>
      </w:r>
      <w:r w:rsidR="00016C87">
        <w:rPr>
          <w:szCs w:val="20"/>
        </w:rPr>
        <w:t>0</w:t>
      </w:r>
      <w:r w:rsidR="00443E7E">
        <w:rPr>
          <w:szCs w:val="20"/>
        </w:rPr>
        <w:t> </w:t>
      </w:r>
      <w:r w:rsidR="00ED25F5">
        <w:rPr>
          <w:szCs w:val="20"/>
        </w:rPr>
        <w:t>tis.</w:t>
      </w:r>
      <w:r w:rsidR="00443E7E">
        <w:rPr>
          <w:szCs w:val="20"/>
        </w:rPr>
        <w:t> </w:t>
      </w:r>
      <w:r w:rsidR="00ED25F5">
        <w:rPr>
          <w:szCs w:val="20"/>
        </w:rPr>
        <w:t>Kč), k</w:t>
      </w:r>
      <w:r w:rsidR="001E7BF2">
        <w:rPr>
          <w:szCs w:val="20"/>
        </w:rPr>
        <w:t> </w:t>
      </w:r>
      <w:r w:rsidR="00ED25F5">
        <w:rPr>
          <w:szCs w:val="20"/>
        </w:rPr>
        <w:t>účtu 315 (</w:t>
      </w:r>
      <w:r>
        <w:rPr>
          <w:szCs w:val="20"/>
        </w:rPr>
        <w:t>zde došlo k</w:t>
      </w:r>
      <w:r w:rsidR="001E7BF2">
        <w:rPr>
          <w:szCs w:val="20"/>
        </w:rPr>
        <w:t> </w:t>
      </w:r>
      <w:r>
        <w:rPr>
          <w:szCs w:val="20"/>
        </w:rPr>
        <w:t>zúčtování opravných položek ve</w:t>
      </w:r>
      <w:r w:rsidR="00DE5CCD">
        <w:rPr>
          <w:szCs w:val="20"/>
        </w:rPr>
        <w:t> </w:t>
      </w:r>
      <w:r>
        <w:rPr>
          <w:szCs w:val="20"/>
        </w:rPr>
        <w:t>vyšší částce než je jejich tvorba – výsledné saldo je</w:t>
      </w:r>
      <w:r w:rsidR="00ED25F5">
        <w:rPr>
          <w:szCs w:val="20"/>
        </w:rPr>
        <w:t xml:space="preserve"> mínus 22.874</w:t>
      </w:r>
      <w:r w:rsidR="00FE2BF8">
        <w:rPr>
          <w:szCs w:val="20"/>
        </w:rPr>
        <w:t> </w:t>
      </w:r>
      <w:r>
        <w:rPr>
          <w:szCs w:val="20"/>
        </w:rPr>
        <w:t>tis.</w:t>
      </w:r>
      <w:r w:rsidR="00FE2BF8">
        <w:rPr>
          <w:szCs w:val="20"/>
        </w:rPr>
        <w:t> </w:t>
      </w:r>
      <w:r>
        <w:rPr>
          <w:szCs w:val="20"/>
        </w:rPr>
        <w:t>Kč</w:t>
      </w:r>
      <w:r w:rsidR="00EB62B4">
        <w:rPr>
          <w:szCs w:val="20"/>
        </w:rPr>
        <w:t xml:space="preserve"> </w:t>
      </w:r>
      <w:r w:rsidR="00EB62B4" w:rsidRPr="00080A97">
        <w:rPr>
          <w:szCs w:val="20"/>
        </w:rPr>
        <w:t xml:space="preserve">a bylo způsobené odúčtováním opravných položek </w:t>
      </w:r>
      <w:r w:rsidR="00EB62B4" w:rsidRPr="00080A97">
        <w:rPr>
          <w:szCs w:val="20"/>
        </w:rPr>
        <w:lastRenderedPageBreak/>
        <w:t>u vyřazených pohledávek a</w:t>
      </w:r>
      <w:r w:rsidR="00FE2BF8">
        <w:rPr>
          <w:szCs w:val="20"/>
        </w:rPr>
        <w:t> </w:t>
      </w:r>
      <w:r w:rsidR="00EB62B4" w:rsidRPr="00080A97">
        <w:rPr>
          <w:szCs w:val="20"/>
        </w:rPr>
        <w:t>úhradami pohledávek po splatnosti</w:t>
      </w:r>
      <w:r>
        <w:rPr>
          <w:szCs w:val="20"/>
        </w:rPr>
        <w:t>)</w:t>
      </w:r>
      <w:r w:rsidR="00FE2BF8">
        <w:rPr>
          <w:szCs w:val="20"/>
        </w:rPr>
        <w:t>,</w:t>
      </w:r>
      <w:r>
        <w:rPr>
          <w:szCs w:val="20"/>
        </w:rPr>
        <w:t xml:space="preserve"> </w:t>
      </w:r>
      <w:r w:rsidR="00FE2BF8">
        <w:rPr>
          <w:szCs w:val="20"/>
        </w:rPr>
        <w:t>u</w:t>
      </w:r>
      <w:r>
        <w:rPr>
          <w:szCs w:val="20"/>
        </w:rPr>
        <w:t xml:space="preserve"> účtu </w:t>
      </w:r>
      <w:r w:rsidR="00FE2BF8">
        <w:rPr>
          <w:szCs w:val="20"/>
        </w:rPr>
        <w:t>112 došlo</w:t>
      </w:r>
      <w:r w:rsidR="00443E7E">
        <w:rPr>
          <w:szCs w:val="20"/>
        </w:rPr>
        <w:t xml:space="preserve"> v r. 2013</w:t>
      </w:r>
      <w:r w:rsidR="00FE2BF8">
        <w:rPr>
          <w:szCs w:val="20"/>
        </w:rPr>
        <w:t xml:space="preserve"> k</w:t>
      </w:r>
      <w:r w:rsidR="001E7BF2">
        <w:rPr>
          <w:szCs w:val="20"/>
        </w:rPr>
        <w:t> </w:t>
      </w:r>
      <w:r w:rsidR="00FE2BF8">
        <w:rPr>
          <w:szCs w:val="20"/>
        </w:rPr>
        <w:t>odúčtování opravné položky z</w:t>
      </w:r>
      <w:r w:rsidR="001E7BF2">
        <w:rPr>
          <w:szCs w:val="20"/>
        </w:rPr>
        <w:t> </w:t>
      </w:r>
      <w:r w:rsidR="00FE2BF8">
        <w:rPr>
          <w:szCs w:val="20"/>
        </w:rPr>
        <w:t xml:space="preserve">důvodu fyzické likvidace materiálu </w:t>
      </w:r>
      <w:r w:rsidR="001E7BF2">
        <w:rPr>
          <w:szCs w:val="20"/>
        </w:rPr>
        <w:t>–</w:t>
      </w:r>
      <w:r w:rsidR="00FE2BF8">
        <w:rPr>
          <w:szCs w:val="20"/>
        </w:rPr>
        <w:t xml:space="preserve"> neplatných pokutových bloků (</w:t>
      </w:r>
      <w:r w:rsidR="00443E7E">
        <w:rPr>
          <w:szCs w:val="20"/>
        </w:rPr>
        <w:t>částka -</w:t>
      </w:r>
      <w:r w:rsidR="00FE2BF8">
        <w:rPr>
          <w:szCs w:val="20"/>
        </w:rPr>
        <w:t>369 tis. Kč); nově byla v</w:t>
      </w:r>
      <w:r w:rsidR="001E7BF2">
        <w:rPr>
          <w:szCs w:val="20"/>
        </w:rPr>
        <w:t> </w:t>
      </w:r>
      <w:r w:rsidR="00FE2BF8">
        <w:rPr>
          <w:szCs w:val="20"/>
        </w:rPr>
        <w:t>r. 2013 vytvořená o</w:t>
      </w:r>
      <w:r>
        <w:rPr>
          <w:szCs w:val="20"/>
        </w:rPr>
        <w:t xml:space="preserve">pravná položka </w:t>
      </w:r>
      <w:r w:rsidR="00FE2BF8">
        <w:rPr>
          <w:szCs w:val="20"/>
        </w:rPr>
        <w:t>k</w:t>
      </w:r>
      <w:r w:rsidR="001E7BF2">
        <w:rPr>
          <w:szCs w:val="20"/>
        </w:rPr>
        <w:t> </w:t>
      </w:r>
      <w:r w:rsidR="00FE2BF8">
        <w:rPr>
          <w:szCs w:val="20"/>
        </w:rPr>
        <w:t xml:space="preserve">majetkové účasti </w:t>
      </w:r>
      <w:r w:rsidR="00443E7E">
        <w:t>ve</w:t>
      </w:r>
      <w:r w:rsidR="00443E7E">
        <w:rPr>
          <w:szCs w:val="20"/>
        </w:rPr>
        <w:t> </w:t>
      </w:r>
      <w:r w:rsidR="00FE2BF8">
        <w:t>společnosti KIC Odpady, a.s. ve výši 4.047</w:t>
      </w:r>
      <w:r w:rsidR="00FE2BF8">
        <w:rPr>
          <w:szCs w:val="20"/>
        </w:rPr>
        <w:t> </w:t>
      </w:r>
      <w:r w:rsidR="00FE2BF8">
        <w:t>tis.</w:t>
      </w:r>
      <w:r w:rsidR="00FE2BF8">
        <w:rPr>
          <w:szCs w:val="20"/>
        </w:rPr>
        <w:t> </w:t>
      </w:r>
      <w:r w:rsidR="00FE2BF8">
        <w:t>Kč, a to z</w:t>
      </w:r>
      <w:r w:rsidR="001E7BF2">
        <w:t> </w:t>
      </w:r>
      <w:r w:rsidR="00FE2BF8">
        <w:t>důvodu poklesu vlastního kapitálu u této společnosti.</w:t>
      </w:r>
      <w:r w:rsidR="00FE2BF8">
        <w:rPr>
          <w:szCs w:val="20"/>
        </w:rPr>
        <w:t xml:space="preserve"> </w:t>
      </w:r>
      <w:r>
        <w:rPr>
          <w:szCs w:val="20"/>
        </w:rPr>
        <w:t xml:space="preserve">Opravné položky </w:t>
      </w:r>
      <w:r w:rsidR="00A313AE">
        <w:rPr>
          <w:szCs w:val="20"/>
        </w:rPr>
        <w:t xml:space="preserve">u pohledávek </w:t>
      </w:r>
      <w:r>
        <w:rPr>
          <w:szCs w:val="20"/>
        </w:rPr>
        <w:t>se ruší při úhradě pohledávky</w:t>
      </w:r>
      <w:r w:rsidR="00C244B8">
        <w:rPr>
          <w:szCs w:val="20"/>
        </w:rPr>
        <w:t xml:space="preserve"> </w:t>
      </w:r>
      <w:r>
        <w:rPr>
          <w:szCs w:val="20"/>
        </w:rPr>
        <w:t>a</w:t>
      </w:r>
      <w:r w:rsidR="00C244B8">
        <w:rPr>
          <w:szCs w:val="20"/>
        </w:rPr>
        <w:t xml:space="preserve">nebo </w:t>
      </w:r>
      <w:r>
        <w:rPr>
          <w:szCs w:val="20"/>
        </w:rPr>
        <w:t>při jej</w:t>
      </w:r>
      <w:r w:rsidR="00C244B8">
        <w:rPr>
          <w:szCs w:val="20"/>
        </w:rPr>
        <w:t>ím</w:t>
      </w:r>
      <w:r>
        <w:rPr>
          <w:szCs w:val="20"/>
        </w:rPr>
        <w:t xml:space="preserve"> vyřazení</w:t>
      </w:r>
      <w:r w:rsidR="00C244B8">
        <w:rPr>
          <w:szCs w:val="20"/>
        </w:rPr>
        <w:t xml:space="preserve"> z</w:t>
      </w:r>
      <w:r w:rsidR="001E7BF2">
        <w:rPr>
          <w:szCs w:val="20"/>
        </w:rPr>
        <w:t> </w:t>
      </w:r>
      <w:r w:rsidR="00C244B8">
        <w:rPr>
          <w:szCs w:val="20"/>
        </w:rPr>
        <w:t>evidence</w:t>
      </w:r>
      <w:r>
        <w:rPr>
          <w:szCs w:val="20"/>
        </w:rPr>
        <w:t>.</w:t>
      </w:r>
      <w:r w:rsidR="005E3A39">
        <w:rPr>
          <w:szCs w:val="20"/>
        </w:rPr>
        <w:t xml:space="preserve"> Celková vý</w:t>
      </w:r>
      <w:r w:rsidR="00C244B8">
        <w:rPr>
          <w:szCs w:val="20"/>
        </w:rPr>
        <w:t>še nákladů z</w:t>
      </w:r>
      <w:r w:rsidR="001E7BF2">
        <w:rPr>
          <w:szCs w:val="20"/>
        </w:rPr>
        <w:t> </w:t>
      </w:r>
      <w:r w:rsidR="00C244B8">
        <w:rPr>
          <w:szCs w:val="20"/>
        </w:rPr>
        <w:t>o</w:t>
      </w:r>
      <w:r w:rsidR="00FE2BF8">
        <w:rPr>
          <w:szCs w:val="20"/>
        </w:rPr>
        <w:t>pravných položek je v</w:t>
      </w:r>
      <w:r w:rsidR="001E7BF2">
        <w:rPr>
          <w:szCs w:val="20"/>
        </w:rPr>
        <w:t> </w:t>
      </w:r>
      <w:r w:rsidR="00FE2BF8">
        <w:rPr>
          <w:szCs w:val="20"/>
        </w:rPr>
        <w:t>záporné výši 19.056 tis. K</w:t>
      </w:r>
      <w:r w:rsidR="005E3A39">
        <w:rPr>
          <w:szCs w:val="20"/>
        </w:rPr>
        <w:t>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vyřazených pohledávek </w:t>
      </w:r>
      <w:r>
        <w:rPr>
          <w:szCs w:val="20"/>
        </w:rPr>
        <w:t xml:space="preserve">– na účtu 557 jsou </w:t>
      </w:r>
      <w:r w:rsidR="00A313AE">
        <w:rPr>
          <w:szCs w:val="20"/>
        </w:rPr>
        <w:t>za</w:t>
      </w:r>
      <w:r>
        <w:rPr>
          <w:szCs w:val="20"/>
        </w:rPr>
        <w:t xml:space="preserve">účtovány náklady </w:t>
      </w:r>
      <w:r w:rsidR="005E3A39">
        <w:rPr>
          <w:szCs w:val="20"/>
        </w:rPr>
        <w:t xml:space="preserve">ve výši </w:t>
      </w:r>
      <w:r w:rsidR="00ED25F5">
        <w:rPr>
          <w:szCs w:val="20"/>
        </w:rPr>
        <w:t>33.121</w:t>
      </w:r>
      <w:r w:rsidR="005E3A39">
        <w:rPr>
          <w:szCs w:val="20"/>
        </w:rPr>
        <w:t xml:space="preserve"> tis. Kč </w:t>
      </w:r>
      <w:r>
        <w:rPr>
          <w:szCs w:val="20"/>
        </w:rPr>
        <w:t>z</w:t>
      </w:r>
      <w:r w:rsidR="001E7BF2">
        <w:rPr>
          <w:szCs w:val="20"/>
        </w:rPr>
        <w:t> </w:t>
      </w:r>
      <w:r>
        <w:rPr>
          <w:szCs w:val="20"/>
        </w:rPr>
        <w:t>vyřazených pohledávek – v</w:t>
      </w:r>
      <w:r w:rsidR="001E7BF2">
        <w:rPr>
          <w:szCs w:val="20"/>
        </w:rPr>
        <w:t> </w:t>
      </w:r>
      <w:r>
        <w:rPr>
          <w:szCs w:val="20"/>
        </w:rPr>
        <w:t>r. 201</w:t>
      </w:r>
      <w:r w:rsidR="00ED25F5">
        <w:rPr>
          <w:szCs w:val="20"/>
        </w:rPr>
        <w:t>3</w:t>
      </w:r>
      <w:r>
        <w:rPr>
          <w:szCs w:val="20"/>
        </w:rPr>
        <w:t xml:space="preserve"> to byly </w:t>
      </w:r>
      <w:r w:rsidR="005E3A39" w:rsidRPr="00ED25F5">
        <w:rPr>
          <w:szCs w:val="20"/>
        </w:rPr>
        <w:t xml:space="preserve">zejména </w:t>
      </w:r>
      <w:r w:rsidRPr="00C244B8">
        <w:rPr>
          <w:szCs w:val="20"/>
        </w:rPr>
        <w:t>pohledávky vyřazen</w:t>
      </w:r>
      <w:r w:rsidR="005E3A39" w:rsidRPr="00C244B8">
        <w:rPr>
          <w:szCs w:val="20"/>
        </w:rPr>
        <w:t>é</w:t>
      </w:r>
      <w:r w:rsidRPr="00C244B8">
        <w:rPr>
          <w:szCs w:val="20"/>
        </w:rPr>
        <w:t xml:space="preserve"> na základě výmazu společností z</w:t>
      </w:r>
      <w:r w:rsidR="001E7BF2">
        <w:rPr>
          <w:szCs w:val="20"/>
        </w:rPr>
        <w:t> </w:t>
      </w:r>
      <w:r w:rsidRPr="00C244B8">
        <w:rPr>
          <w:szCs w:val="20"/>
        </w:rPr>
        <w:t xml:space="preserve">obchodního rejstříku </w:t>
      </w:r>
      <w:r w:rsidR="00C244B8" w:rsidRPr="00C244B8">
        <w:rPr>
          <w:szCs w:val="20"/>
        </w:rPr>
        <w:t xml:space="preserve">a registrů </w:t>
      </w:r>
      <w:r w:rsidR="005E3A39" w:rsidRPr="00C244B8">
        <w:rPr>
          <w:szCs w:val="20"/>
        </w:rPr>
        <w:t xml:space="preserve">ve výši </w:t>
      </w:r>
      <w:r w:rsidR="00ED25F5" w:rsidRPr="00C244B8">
        <w:rPr>
          <w:szCs w:val="20"/>
        </w:rPr>
        <w:t>25.430 </w:t>
      </w:r>
      <w:r w:rsidRPr="00C244B8">
        <w:rPr>
          <w:szCs w:val="20"/>
        </w:rPr>
        <w:t>tis.</w:t>
      </w:r>
      <w:r w:rsidR="00ED25F5" w:rsidRPr="00C244B8">
        <w:rPr>
          <w:szCs w:val="20"/>
        </w:rPr>
        <w:t> </w:t>
      </w:r>
      <w:r w:rsidRPr="00C244B8">
        <w:rPr>
          <w:szCs w:val="20"/>
        </w:rPr>
        <w:t>Kč</w:t>
      </w:r>
      <w:r w:rsidR="00C244B8">
        <w:rPr>
          <w:szCs w:val="20"/>
        </w:rPr>
        <w:t xml:space="preserve"> </w:t>
      </w:r>
      <w:r w:rsidRPr="00ED25F5">
        <w:rPr>
          <w:szCs w:val="20"/>
        </w:rPr>
        <w:t>(jednalo se o pohledávky za</w:t>
      </w:r>
      <w:r w:rsidR="00C244B8">
        <w:t> </w:t>
      </w:r>
      <w:r w:rsidRPr="00ED25F5">
        <w:rPr>
          <w:szCs w:val="20"/>
        </w:rPr>
        <w:t>porušení rozpočtové kázně</w:t>
      </w:r>
      <w:r>
        <w:rPr>
          <w:szCs w:val="20"/>
        </w:rPr>
        <w:t>) a dále to byly pohledávky</w:t>
      </w:r>
      <w:r w:rsidR="005E3A39">
        <w:rPr>
          <w:szCs w:val="20"/>
        </w:rPr>
        <w:t>, které byly</w:t>
      </w:r>
      <w:r>
        <w:rPr>
          <w:szCs w:val="20"/>
        </w:rPr>
        <w:t xml:space="preserve"> prominuty nebo částečně prominuty orgány kraje (většinou se jednalo o</w:t>
      </w:r>
      <w:r w:rsidR="005E3A39">
        <w:rPr>
          <w:szCs w:val="20"/>
        </w:rPr>
        <w:t> </w:t>
      </w:r>
      <w:r>
        <w:rPr>
          <w:szCs w:val="20"/>
        </w:rPr>
        <w:t>pohledávky za porušení rozpočtové kázně a</w:t>
      </w:r>
      <w:r w:rsidR="00C244B8">
        <w:t> </w:t>
      </w:r>
      <w:r>
        <w:rPr>
          <w:szCs w:val="20"/>
        </w:rPr>
        <w:t xml:space="preserve">příslušného penále) – celková výše těchto prominutých pohledávek byla </w:t>
      </w:r>
      <w:r w:rsidR="00ED25F5">
        <w:rPr>
          <w:szCs w:val="20"/>
        </w:rPr>
        <w:t>ve výši 7.691 </w:t>
      </w:r>
      <w:r>
        <w:rPr>
          <w:szCs w:val="20"/>
        </w:rPr>
        <w:t>tis.</w:t>
      </w:r>
      <w:r w:rsidR="00ED25F5">
        <w:rPr>
          <w:szCs w:val="20"/>
        </w:rPr>
        <w:t> </w:t>
      </w:r>
      <w:r>
        <w:rPr>
          <w:szCs w:val="20"/>
        </w:rPr>
        <w:t>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drobného dlouhodobého majetku </w:t>
      </w:r>
      <w:r>
        <w:rPr>
          <w:szCs w:val="20"/>
        </w:rPr>
        <w:t xml:space="preserve">– na účtu 558 jsou účtovány náklady na pořízení drobného </w:t>
      </w:r>
      <w:r w:rsidR="00080A97">
        <w:rPr>
          <w:szCs w:val="20"/>
        </w:rPr>
        <w:t>DNM</w:t>
      </w:r>
      <w:r>
        <w:rPr>
          <w:szCs w:val="20"/>
        </w:rPr>
        <w:t xml:space="preserve"> (</w:t>
      </w:r>
      <w:r w:rsidR="005D1CE0">
        <w:rPr>
          <w:szCs w:val="20"/>
        </w:rPr>
        <w:t xml:space="preserve">majetek </w:t>
      </w:r>
      <w:r>
        <w:rPr>
          <w:szCs w:val="20"/>
        </w:rPr>
        <w:t xml:space="preserve">je evidován na účtu 018, náklady jsou ve výši </w:t>
      </w:r>
      <w:r w:rsidR="00016C87">
        <w:rPr>
          <w:szCs w:val="20"/>
        </w:rPr>
        <w:t>14.618</w:t>
      </w:r>
      <w:r w:rsidR="00624750">
        <w:rPr>
          <w:szCs w:val="20"/>
        </w:rPr>
        <w:t> </w:t>
      </w:r>
      <w:r>
        <w:rPr>
          <w:szCs w:val="20"/>
        </w:rPr>
        <w:t>tis.</w:t>
      </w:r>
      <w:r w:rsidR="00016C87">
        <w:rPr>
          <w:szCs w:val="20"/>
        </w:rPr>
        <w:t> </w:t>
      </w:r>
      <w:r>
        <w:rPr>
          <w:szCs w:val="20"/>
        </w:rPr>
        <w:t xml:space="preserve">Kč) a drobného </w:t>
      </w:r>
      <w:r w:rsidR="00080A97">
        <w:rPr>
          <w:szCs w:val="20"/>
        </w:rPr>
        <w:t>DHM</w:t>
      </w:r>
      <w:r>
        <w:rPr>
          <w:szCs w:val="20"/>
        </w:rPr>
        <w:t xml:space="preserve"> (je evidován na účtu 028, náklady jsou ve výši </w:t>
      </w:r>
      <w:r w:rsidR="00016C87">
        <w:rPr>
          <w:szCs w:val="20"/>
        </w:rPr>
        <w:t>39.301 </w:t>
      </w:r>
      <w:r>
        <w:rPr>
          <w:szCs w:val="20"/>
        </w:rPr>
        <w:t>tis.</w:t>
      </w:r>
      <w:r w:rsidR="00016C87">
        <w:rPr>
          <w:szCs w:val="20"/>
        </w:rPr>
        <w:t> </w:t>
      </w:r>
      <w:r>
        <w:rPr>
          <w:szCs w:val="20"/>
        </w:rPr>
        <w:t>Kč).</w:t>
      </w:r>
      <w:r w:rsidR="005E3A39">
        <w:rPr>
          <w:szCs w:val="20"/>
        </w:rPr>
        <w:t xml:space="preserve"> Celkové náklady ve výši </w:t>
      </w:r>
      <w:r w:rsidR="00016C87">
        <w:rPr>
          <w:szCs w:val="20"/>
        </w:rPr>
        <w:t>53.919 </w:t>
      </w:r>
      <w:r w:rsidR="005E3A39">
        <w:rPr>
          <w:szCs w:val="20"/>
        </w:rPr>
        <w:t>tis.</w:t>
      </w:r>
      <w:r w:rsidR="00016C87">
        <w:rPr>
          <w:szCs w:val="20"/>
        </w:rPr>
        <w:t xml:space="preserve"> Kč </w:t>
      </w:r>
      <w:r w:rsidR="00D25563">
        <w:rPr>
          <w:szCs w:val="20"/>
        </w:rPr>
        <w:t>se ve srovnání s</w:t>
      </w:r>
      <w:r w:rsidR="00016C87">
        <w:rPr>
          <w:szCs w:val="20"/>
        </w:rPr>
        <w:t xml:space="preserve"> r. 2012 </w:t>
      </w:r>
      <w:r w:rsidR="00D25563">
        <w:rPr>
          <w:szCs w:val="20"/>
        </w:rPr>
        <w:t xml:space="preserve">zvýšily </w:t>
      </w:r>
      <w:r w:rsidR="00016C87">
        <w:rPr>
          <w:szCs w:val="20"/>
        </w:rPr>
        <w:t xml:space="preserve">o 32.425 tis. Kč, a to zejména pořízením drobného </w:t>
      </w:r>
      <w:r w:rsidR="006D24C7">
        <w:rPr>
          <w:szCs w:val="20"/>
        </w:rPr>
        <w:t>DNM a DHM</w:t>
      </w:r>
      <w:r w:rsidR="00016C87">
        <w:rPr>
          <w:szCs w:val="20"/>
        </w:rPr>
        <w:t xml:space="preserve"> v</w:t>
      </w:r>
      <w:r w:rsidR="001E7BF2">
        <w:rPr>
          <w:szCs w:val="20"/>
        </w:rPr>
        <w:t> </w:t>
      </w:r>
      <w:r w:rsidR="00016C87">
        <w:rPr>
          <w:szCs w:val="20"/>
        </w:rPr>
        <w:t>rámci projektů (38.716 tis. </w:t>
      </w:r>
      <w:r w:rsidR="006D24C7">
        <w:rPr>
          <w:szCs w:val="20"/>
        </w:rPr>
        <w:t>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Ostatní 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činnosti</w:t>
      </w:r>
      <w:r w:rsidRPr="00080A97">
        <w:rPr>
          <w:szCs w:val="20"/>
        </w:rPr>
        <w:t xml:space="preserve"> </w:t>
      </w:r>
      <w:r>
        <w:rPr>
          <w:szCs w:val="20"/>
        </w:rPr>
        <w:t>– na účtu 549 jsou účtovány náhrady nákladů (náhrady nákladů soudních řízení a ostatní náhrady</w:t>
      </w:r>
      <w:r w:rsidR="006D24C7">
        <w:rPr>
          <w:szCs w:val="20"/>
        </w:rPr>
        <w:t xml:space="preserve"> ve výši 1.262 tis. Kč</w:t>
      </w:r>
      <w:r>
        <w:rPr>
          <w:szCs w:val="20"/>
        </w:rPr>
        <w:t>), refundace mezd</w:t>
      </w:r>
      <w:r w:rsidR="006D24C7">
        <w:rPr>
          <w:szCs w:val="20"/>
        </w:rPr>
        <w:t xml:space="preserve"> (579 tis. Kč</w:t>
      </w:r>
      <w:r w:rsidR="00F91B9B">
        <w:rPr>
          <w:szCs w:val="20"/>
        </w:rPr>
        <w:t>)</w:t>
      </w:r>
      <w:r w:rsidR="006D24C7">
        <w:rPr>
          <w:szCs w:val="20"/>
        </w:rPr>
        <w:t>,</w:t>
      </w:r>
      <w:r>
        <w:rPr>
          <w:szCs w:val="20"/>
        </w:rPr>
        <w:t xml:space="preserve"> náklady na</w:t>
      </w:r>
      <w:r w:rsidR="00CE67F4">
        <w:rPr>
          <w:szCs w:val="20"/>
        </w:rPr>
        <w:t> </w:t>
      </w:r>
      <w:r>
        <w:rPr>
          <w:szCs w:val="20"/>
        </w:rPr>
        <w:t>pojištění majetku, vozidel, komerční pojištění a pojištění profesní odpovědnosti za</w:t>
      </w:r>
      <w:r w:rsidR="005D1CE0">
        <w:rPr>
          <w:szCs w:val="20"/>
        </w:rPr>
        <w:t> </w:t>
      </w:r>
      <w:r>
        <w:rPr>
          <w:szCs w:val="20"/>
        </w:rPr>
        <w:t>škodu (pojistné</w:t>
      </w:r>
      <w:r w:rsidR="006D24C7">
        <w:rPr>
          <w:szCs w:val="20"/>
        </w:rPr>
        <w:t xml:space="preserve"> celkem ve výši 32.001 tis. Kč</w:t>
      </w:r>
      <w:r>
        <w:rPr>
          <w:szCs w:val="20"/>
        </w:rPr>
        <w:t>).</w:t>
      </w:r>
      <w:r w:rsidR="005E3A39">
        <w:rPr>
          <w:szCs w:val="20"/>
        </w:rPr>
        <w:t xml:space="preserve"> </w:t>
      </w:r>
      <w:r w:rsidR="00F91B9B">
        <w:rPr>
          <w:szCs w:val="20"/>
        </w:rPr>
        <w:t>O</w:t>
      </w:r>
      <w:r w:rsidR="005E3A39">
        <w:rPr>
          <w:szCs w:val="20"/>
        </w:rPr>
        <w:t>statní náklady z</w:t>
      </w:r>
      <w:r w:rsidR="001E7BF2">
        <w:rPr>
          <w:szCs w:val="20"/>
        </w:rPr>
        <w:t> </w:t>
      </w:r>
      <w:r w:rsidR="005E3A39">
        <w:rPr>
          <w:szCs w:val="20"/>
        </w:rPr>
        <w:t>činnosti</w:t>
      </w:r>
      <w:r w:rsidR="00157ED8">
        <w:rPr>
          <w:szCs w:val="20"/>
        </w:rPr>
        <w:t xml:space="preserve"> vykázané na účtu 549</w:t>
      </w:r>
      <w:r w:rsidR="005E3A39">
        <w:rPr>
          <w:szCs w:val="20"/>
        </w:rPr>
        <w:t xml:space="preserve"> </w:t>
      </w:r>
      <w:r w:rsidR="00F91B9B">
        <w:rPr>
          <w:szCs w:val="20"/>
        </w:rPr>
        <w:t xml:space="preserve">představují celkem </w:t>
      </w:r>
      <w:r w:rsidR="005E3A39">
        <w:rPr>
          <w:szCs w:val="20"/>
        </w:rPr>
        <w:t>částku 33.</w:t>
      </w:r>
      <w:r w:rsidR="00F91B9B">
        <w:rPr>
          <w:szCs w:val="20"/>
        </w:rPr>
        <w:t>842 </w:t>
      </w:r>
      <w:r w:rsidR="005E3A39">
        <w:rPr>
          <w:szCs w:val="20"/>
        </w:rPr>
        <w:t>tis.</w:t>
      </w:r>
      <w:r w:rsidR="00F91B9B">
        <w:rPr>
          <w:szCs w:val="20"/>
        </w:rPr>
        <w:t> </w:t>
      </w:r>
      <w:r w:rsidR="005E3A39">
        <w:rPr>
          <w:szCs w:val="20"/>
        </w:rPr>
        <w:t>Kč.</w:t>
      </w:r>
    </w:p>
    <w:p w:rsidR="00685533" w:rsidRDefault="00685533" w:rsidP="00CD11C6">
      <w:pPr>
        <w:pStyle w:val="Nadpis3"/>
      </w:pPr>
      <w:bookmarkStart w:id="26" w:name="_Toc388005075"/>
      <w:r>
        <w:t>Finanční náklady</w:t>
      </w:r>
      <w:bookmarkEnd w:id="26"/>
    </w:p>
    <w:p w:rsidR="005E3A39" w:rsidRDefault="005E3A39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1.8 jsou uvedeny</w:t>
      </w:r>
      <w:r>
        <w:rPr>
          <w:rFonts w:ascii="Tahoma" w:hAnsi="Tahoma" w:cs="Tahoma"/>
          <w:sz w:val="20"/>
          <w:szCs w:val="20"/>
        </w:rPr>
        <w:t xml:space="preserve"> údaje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oblasti </w:t>
      </w:r>
      <w:r w:rsidR="008D5601">
        <w:rPr>
          <w:rFonts w:ascii="Tahoma" w:hAnsi="Tahoma" w:cs="Tahoma"/>
          <w:sz w:val="20"/>
          <w:szCs w:val="20"/>
        </w:rPr>
        <w:t xml:space="preserve">finančních nákladů </w:t>
      </w:r>
      <w:r>
        <w:rPr>
          <w:rFonts w:ascii="Tahoma" w:hAnsi="Tahoma" w:cs="Tahoma"/>
          <w:sz w:val="20"/>
          <w:szCs w:val="20"/>
        </w:rPr>
        <w:t>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D2556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D25563">
        <w:rPr>
          <w:rFonts w:ascii="Tahoma" w:hAnsi="Tahoma" w:cs="Tahoma"/>
          <w:sz w:val="20"/>
          <w:szCs w:val="20"/>
        </w:rPr>
        <w:t>2</w:t>
      </w:r>
      <w:r w:rsidR="008D5601">
        <w:rPr>
          <w:rFonts w:ascii="Tahoma" w:hAnsi="Tahoma" w:cs="Tahoma"/>
          <w:sz w:val="20"/>
          <w:szCs w:val="20"/>
        </w:rPr>
        <w:t>.</w:t>
      </w:r>
    </w:p>
    <w:p w:rsidR="008D5601" w:rsidRPr="005E3A39" w:rsidRDefault="008D5601" w:rsidP="005E3A39"/>
    <w:p w:rsidR="00685533" w:rsidRPr="00110CDB" w:rsidRDefault="00685533" w:rsidP="00D949DA">
      <w:pPr>
        <w:pStyle w:val="Styltab"/>
      </w:pPr>
      <w:r w:rsidRPr="00110CDB">
        <w:t>Finanční náklady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225"/>
      </w:tblGrid>
      <w:tr w:rsidR="00685533" w:rsidRPr="00D70D02" w:rsidTr="00BE09BF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FA48C7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D70D02" w:rsidRDefault="00685533" w:rsidP="00BE09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BE09BF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BE09BF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BE09B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D70D02" w:rsidRDefault="00685533" w:rsidP="00BE09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BE09B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D70D02" w:rsidRDefault="00FA48C7" w:rsidP="00FA48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9A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09059A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Pr="0009059A">
              <w:rPr>
                <w:rFonts w:ascii="Tahoma" w:hAnsi="Tahoma" w:cs="Tahoma"/>
                <w:i/>
                <w:sz w:val="16"/>
                <w:szCs w:val="16"/>
              </w:rPr>
              <w:t xml:space="preserve">     (2013-2012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F132E" w:rsidRPr="00D70D02" w:rsidTr="00BE09BF">
        <w:trPr>
          <w:trHeight w:val="5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2E" w:rsidRPr="00D70D02" w:rsidRDefault="006F132E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Finanční náklady,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toho: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E" w:rsidRPr="006F132E" w:rsidRDefault="006F13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132E">
              <w:rPr>
                <w:rFonts w:ascii="Tahoma" w:hAnsi="Tahoma" w:cs="Tahoma"/>
                <w:b/>
                <w:bCs/>
                <w:sz w:val="16"/>
                <w:szCs w:val="16"/>
              </w:rPr>
              <w:t>71 267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E" w:rsidRPr="006F132E" w:rsidRDefault="006F13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132E">
              <w:rPr>
                <w:rFonts w:ascii="Tahoma" w:hAnsi="Tahoma" w:cs="Tahoma"/>
                <w:b/>
                <w:bCs/>
                <w:sz w:val="16"/>
                <w:szCs w:val="16"/>
              </w:rPr>
              <w:t>27 485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32E" w:rsidRPr="006F132E" w:rsidRDefault="006F132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6F132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43 782</w:t>
            </w:r>
          </w:p>
        </w:tc>
      </w:tr>
      <w:tr w:rsidR="00262F9E" w:rsidRPr="00D70D02" w:rsidTr="00262F9E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D70D02" w:rsidRDefault="00262F9E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34 033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26 196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62F9E">
              <w:rPr>
                <w:rFonts w:ascii="Tahoma" w:hAnsi="Tahoma" w:cs="Tahoma"/>
                <w:i/>
                <w:iCs/>
                <w:sz w:val="16"/>
                <w:szCs w:val="16"/>
              </w:rPr>
              <w:t>7 837</w:t>
            </w:r>
          </w:p>
        </w:tc>
      </w:tr>
      <w:tr w:rsidR="00262F9E" w:rsidRPr="00D70D02" w:rsidTr="00262F9E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D70D02" w:rsidRDefault="00262F9E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ztráty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355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62F9E">
              <w:rPr>
                <w:rFonts w:ascii="Tahoma" w:hAnsi="Tahoma" w:cs="Tahoma"/>
                <w:i/>
                <w:iCs/>
                <w:sz w:val="16"/>
                <w:szCs w:val="16"/>
              </w:rPr>
              <w:t>-275</w:t>
            </w:r>
          </w:p>
        </w:tc>
      </w:tr>
      <w:tr w:rsidR="00262F9E" w:rsidRPr="00D70D02" w:rsidTr="00262F9E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D70D02" w:rsidRDefault="00262F9E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7 961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934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62F9E">
              <w:rPr>
                <w:rFonts w:ascii="Tahoma" w:hAnsi="Tahoma" w:cs="Tahoma"/>
                <w:i/>
                <w:iCs/>
                <w:sz w:val="16"/>
                <w:szCs w:val="16"/>
              </w:rPr>
              <w:t>7 027</w:t>
            </w:r>
          </w:p>
        </w:tc>
      </w:tr>
      <w:tr w:rsidR="00262F9E" w:rsidRPr="00D70D02" w:rsidTr="00262F9E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D70D02" w:rsidRDefault="00262F9E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569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29 193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62F9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F9E" w:rsidRPr="00262F9E" w:rsidRDefault="00262F9E" w:rsidP="00262F9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62F9E">
              <w:rPr>
                <w:rFonts w:ascii="Tahoma" w:hAnsi="Tahoma" w:cs="Tahoma"/>
                <w:i/>
                <w:iCs/>
                <w:sz w:val="16"/>
                <w:szCs w:val="16"/>
              </w:rPr>
              <w:t>29 193</w:t>
            </w:r>
          </w:p>
        </w:tc>
      </w:tr>
    </w:tbl>
    <w:p w:rsidR="00685533" w:rsidRPr="00ED5A32" w:rsidRDefault="00685533" w:rsidP="00267BAE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Finanční náklady</w:t>
      </w:r>
      <w:r w:rsidRPr="00ED5A32">
        <w:rPr>
          <w:szCs w:val="20"/>
        </w:rPr>
        <w:t xml:space="preserve"> představují náklady na</w:t>
      </w:r>
      <w:r>
        <w:rPr>
          <w:szCs w:val="20"/>
        </w:rPr>
        <w:t xml:space="preserve"> hrazené úroky, kurzové ztráty, náklady z</w:t>
      </w:r>
      <w:r w:rsidR="001E7BF2">
        <w:rPr>
          <w:szCs w:val="20"/>
        </w:rPr>
        <w:t> </w:t>
      </w:r>
      <w:r>
        <w:rPr>
          <w:szCs w:val="20"/>
        </w:rPr>
        <w:t>přecenění reálnou hodnot</w:t>
      </w:r>
      <w:r w:rsidR="004C6F12">
        <w:rPr>
          <w:szCs w:val="20"/>
        </w:rPr>
        <w:t>ou</w:t>
      </w:r>
      <w:r>
        <w:rPr>
          <w:szCs w:val="20"/>
        </w:rPr>
        <w:t xml:space="preserve"> a ostatní finanční náklady.</w:t>
      </w:r>
    </w:p>
    <w:p w:rsidR="00685533" w:rsidRPr="00ED5A32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Úroky</w:t>
      </w:r>
      <w:r w:rsidRPr="00FA35D0">
        <w:rPr>
          <w:szCs w:val="20"/>
        </w:rPr>
        <w:t xml:space="preserve"> </w:t>
      </w:r>
      <w:r w:rsidR="001E7BF2">
        <w:rPr>
          <w:szCs w:val="20"/>
        </w:rPr>
        <w:t>–</w:t>
      </w:r>
      <w:r w:rsidRPr="00FA35D0">
        <w:rPr>
          <w:szCs w:val="20"/>
        </w:rPr>
        <w:t xml:space="preserve"> na účtu 562 se účtují </w:t>
      </w:r>
      <w:r>
        <w:rPr>
          <w:szCs w:val="20"/>
        </w:rPr>
        <w:t xml:space="preserve">placené </w:t>
      </w:r>
      <w:r w:rsidRPr="00FA35D0">
        <w:rPr>
          <w:szCs w:val="20"/>
        </w:rPr>
        <w:t xml:space="preserve">úroky </w:t>
      </w:r>
      <w:r w:rsidRPr="00ED5A32">
        <w:rPr>
          <w:szCs w:val="20"/>
        </w:rPr>
        <w:t>z</w:t>
      </w:r>
      <w:r w:rsidR="001E7BF2">
        <w:rPr>
          <w:szCs w:val="20"/>
        </w:rPr>
        <w:t> </w:t>
      </w:r>
      <w:r w:rsidRPr="00ED5A32">
        <w:rPr>
          <w:szCs w:val="20"/>
        </w:rPr>
        <w:t>přijatých úvěrů</w:t>
      </w:r>
      <w:r>
        <w:rPr>
          <w:szCs w:val="20"/>
        </w:rPr>
        <w:t xml:space="preserve">, a to </w:t>
      </w:r>
      <w:r w:rsidRPr="00ED5A32">
        <w:rPr>
          <w:szCs w:val="20"/>
        </w:rPr>
        <w:t xml:space="preserve">úroky ze dvou dlouhodobých </w:t>
      </w:r>
      <w:r>
        <w:rPr>
          <w:szCs w:val="20"/>
        </w:rPr>
        <w:t xml:space="preserve">úvěrů </w:t>
      </w:r>
      <w:r w:rsidR="005D1CE0">
        <w:rPr>
          <w:szCs w:val="20"/>
        </w:rPr>
        <w:t>od EIB (</w:t>
      </w:r>
      <w:r w:rsidRPr="00ED5A32">
        <w:rPr>
          <w:szCs w:val="20"/>
        </w:rPr>
        <w:t xml:space="preserve">výše úroků je </w:t>
      </w:r>
      <w:r w:rsidR="006F132E">
        <w:rPr>
          <w:szCs w:val="20"/>
        </w:rPr>
        <w:t>22.824 </w:t>
      </w:r>
      <w:r w:rsidRPr="00ED5A32">
        <w:rPr>
          <w:szCs w:val="20"/>
        </w:rPr>
        <w:t>tis.</w:t>
      </w:r>
      <w:r w:rsidR="006F132E">
        <w:rPr>
          <w:szCs w:val="20"/>
        </w:rPr>
        <w:t> </w:t>
      </w:r>
      <w:r w:rsidRPr="00ED5A32">
        <w:rPr>
          <w:szCs w:val="20"/>
        </w:rPr>
        <w:t>Kč)</w:t>
      </w:r>
      <w:r w:rsidR="00802879">
        <w:rPr>
          <w:szCs w:val="20"/>
        </w:rPr>
        <w:t>,</w:t>
      </w:r>
      <w:r w:rsidRPr="00ED5A32">
        <w:rPr>
          <w:szCs w:val="20"/>
        </w:rPr>
        <w:t xml:space="preserve"> úroky z</w:t>
      </w:r>
      <w:r w:rsidR="001E7BF2">
        <w:rPr>
          <w:szCs w:val="20"/>
        </w:rPr>
        <w:t> </w:t>
      </w:r>
      <w:r>
        <w:rPr>
          <w:szCs w:val="20"/>
        </w:rPr>
        <w:t xml:space="preserve">dlouhodobého </w:t>
      </w:r>
      <w:r w:rsidRPr="00ED5A32">
        <w:rPr>
          <w:szCs w:val="20"/>
        </w:rPr>
        <w:t>úvěru od ČSOB</w:t>
      </w:r>
      <w:r w:rsidR="005D1CE0">
        <w:rPr>
          <w:szCs w:val="20"/>
        </w:rPr>
        <w:t>, a.s.</w:t>
      </w:r>
      <w:r w:rsidRPr="00ED5A32">
        <w:rPr>
          <w:szCs w:val="20"/>
        </w:rPr>
        <w:t xml:space="preserve"> (výše úroků je 4.</w:t>
      </w:r>
      <w:r w:rsidR="00802879">
        <w:rPr>
          <w:szCs w:val="20"/>
        </w:rPr>
        <w:t>411 </w:t>
      </w:r>
      <w:r w:rsidRPr="00ED5A32">
        <w:rPr>
          <w:szCs w:val="20"/>
        </w:rPr>
        <w:t>tis.</w:t>
      </w:r>
      <w:r w:rsidR="00802879">
        <w:rPr>
          <w:szCs w:val="20"/>
        </w:rPr>
        <w:t> </w:t>
      </w:r>
      <w:r w:rsidRPr="00ED5A32">
        <w:rPr>
          <w:szCs w:val="20"/>
        </w:rPr>
        <w:t>Kč</w:t>
      </w:r>
      <w:r w:rsidR="008D5601">
        <w:rPr>
          <w:szCs w:val="20"/>
        </w:rPr>
        <w:t>)</w:t>
      </w:r>
      <w:r w:rsidR="00802879">
        <w:rPr>
          <w:szCs w:val="20"/>
        </w:rPr>
        <w:t xml:space="preserve"> a úroky z</w:t>
      </w:r>
      <w:r w:rsidR="001E7BF2">
        <w:rPr>
          <w:szCs w:val="20"/>
        </w:rPr>
        <w:t> </w:t>
      </w:r>
      <w:r w:rsidR="00802879">
        <w:rPr>
          <w:szCs w:val="20"/>
        </w:rPr>
        <w:t>realizovaných energetických úspor (6.798 tis. Kč)</w:t>
      </w:r>
      <w:r>
        <w:rPr>
          <w:szCs w:val="20"/>
        </w:rPr>
        <w:t>.</w:t>
      </w:r>
      <w:r w:rsidR="00262F9E">
        <w:rPr>
          <w:szCs w:val="20"/>
        </w:rPr>
        <w:t xml:space="preserve"> Oproti r. 2012 došlo k</w:t>
      </w:r>
      <w:r w:rsidR="001E7BF2">
        <w:rPr>
          <w:szCs w:val="20"/>
        </w:rPr>
        <w:t> </w:t>
      </w:r>
      <w:r w:rsidR="00262F9E">
        <w:rPr>
          <w:szCs w:val="20"/>
        </w:rPr>
        <w:t>navýšení úroků o 7.83</w:t>
      </w:r>
      <w:r w:rsidR="00325800">
        <w:rPr>
          <w:szCs w:val="20"/>
        </w:rPr>
        <w:t>7 tis. Kč, a to zejména z</w:t>
      </w:r>
      <w:r w:rsidR="001E7BF2">
        <w:rPr>
          <w:szCs w:val="20"/>
        </w:rPr>
        <w:t> </w:t>
      </w:r>
      <w:r w:rsidR="00325800">
        <w:rPr>
          <w:szCs w:val="20"/>
        </w:rPr>
        <w:t>důvodu úroků z</w:t>
      </w:r>
      <w:r w:rsidR="001E7BF2">
        <w:rPr>
          <w:szCs w:val="20"/>
        </w:rPr>
        <w:t> </w:t>
      </w:r>
      <w:r w:rsidR="00325800">
        <w:rPr>
          <w:szCs w:val="20"/>
        </w:rPr>
        <w:t>realizovaných energetických úspor (nově účtovan</w:t>
      </w:r>
      <w:r w:rsidR="0009059A">
        <w:rPr>
          <w:szCs w:val="20"/>
        </w:rPr>
        <w:t>ý náklad</w:t>
      </w:r>
      <w:r w:rsidR="00325800">
        <w:rPr>
          <w:szCs w:val="20"/>
        </w:rPr>
        <w:t xml:space="preserve"> od r. 2013).</w:t>
      </w:r>
    </w:p>
    <w:p w:rsidR="00157ED8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Kurzové ztráty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– na účtu 563 se účtují </w:t>
      </w:r>
      <w:r w:rsidRPr="00ED5A32">
        <w:rPr>
          <w:szCs w:val="20"/>
        </w:rPr>
        <w:t xml:space="preserve">zejména </w:t>
      </w:r>
      <w:r w:rsidR="00FB3BCD">
        <w:rPr>
          <w:szCs w:val="20"/>
        </w:rPr>
        <w:t>kurzové rozdíly, vzniklé při úhradě závazků v</w:t>
      </w:r>
      <w:r w:rsidR="001E7BF2">
        <w:rPr>
          <w:szCs w:val="20"/>
        </w:rPr>
        <w:t> </w:t>
      </w:r>
      <w:r w:rsidR="00FB3BCD">
        <w:rPr>
          <w:szCs w:val="20"/>
        </w:rPr>
        <w:t>cizí měně a při nákupu valut.</w:t>
      </w:r>
      <w:r w:rsidR="00E867A0">
        <w:rPr>
          <w:szCs w:val="20"/>
        </w:rPr>
        <w:t xml:space="preserve"> C</w:t>
      </w:r>
      <w:r w:rsidR="008D5601">
        <w:rPr>
          <w:szCs w:val="20"/>
        </w:rPr>
        <w:t xml:space="preserve">elkem byly kurzové ztráty ve výši </w:t>
      </w:r>
      <w:r w:rsidR="00E867A0">
        <w:rPr>
          <w:szCs w:val="20"/>
        </w:rPr>
        <w:t>80</w:t>
      </w:r>
      <w:r w:rsidR="00E867A0" w:rsidRPr="00ED5A32">
        <w:rPr>
          <w:szCs w:val="20"/>
        </w:rPr>
        <w:t> </w:t>
      </w:r>
      <w:r w:rsidR="008D5601">
        <w:rPr>
          <w:szCs w:val="20"/>
        </w:rPr>
        <w:t>tis.</w:t>
      </w:r>
      <w:r w:rsidR="00E867A0" w:rsidRPr="00ED5A32">
        <w:rPr>
          <w:szCs w:val="20"/>
        </w:rPr>
        <w:t> </w:t>
      </w:r>
      <w:r w:rsidR="008D5601">
        <w:rPr>
          <w:szCs w:val="20"/>
        </w:rPr>
        <w:t>Kč.</w:t>
      </w:r>
    </w:p>
    <w:p w:rsidR="00685533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 w:rsidRPr="00E31ECB">
        <w:rPr>
          <w:szCs w:val="20"/>
          <w:u w:val="single"/>
        </w:rPr>
        <w:t>přecenění reálnou hodnotou</w:t>
      </w:r>
      <w:r w:rsidRPr="00F31168">
        <w:rPr>
          <w:szCs w:val="20"/>
        </w:rPr>
        <w:t xml:space="preserve"> – na účtu </w:t>
      </w:r>
      <w:r>
        <w:rPr>
          <w:szCs w:val="20"/>
        </w:rPr>
        <w:t>564 se účtují náklady, které vznikly z</w:t>
      </w:r>
      <w:r w:rsidR="001E7BF2">
        <w:rPr>
          <w:szCs w:val="20"/>
        </w:rPr>
        <w:t> </w:t>
      </w:r>
      <w:r>
        <w:rPr>
          <w:szCs w:val="20"/>
        </w:rPr>
        <w:t>ocenění majetku určeného k</w:t>
      </w:r>
      <w:r w:rsidR="001E7BF2">
        <w:rPr>
          <w:szCs w:val="20"/>
        </w:rPr>
        <w:t> </w:t>
      </w:r>
      <w:r>
        <w:rPr>
          <w:szCs w:val="20"/>
        </w:rPr>
        <w:t>prodeji (</w:t>
      </w:r>
      <w:r w:rsidR="006A1782">
        <w:rPr>
          <w:szCs w:val="20"/>
        </w:rPr>
        <w:t xml:space="preserve">u odpisovaného majetku je </w:t>
      </w:r>
      <w:r>
        <w:rPr>
          <w:szCs w:val="20"/>
        </w:rPr>
        <w:t xml:space="preserve">zůstatková cena majetku </w:t>
      </w:r>
      <w:r w:rsidR="005D3DC0">
        <w:rPr>
          <w:szCs w:val="20"/>
        </w:rPr>
        <w:t xml:space="preserve">vyšší </w:t>
      </w:r>
      <w:r>
        <w:rPr>
          <w:szCs w:val="20"/>
        </w:rPr>
        <w:t>než</w:t>
      </w:r>
      <w:r w:rsidR="006A1782">
        <w:rPr>
          <w:szCs w:val="20"/>
        </w:rPr>
        <w:t xml:space="preserve"> nově</w:t>
      </w:r>
      <w:r w:rsidR="005D1CE0">
        <w:rPr>
          <w:szCs w:val="20"/>
        </w:rPr>
        <w:t xml:space="preserve"> </w:t>
      </w:r>
      <w:r>
        <w:rPr>
          <w:szCs w:val="20"/>
        </w:rPr>
        <w:t>stanovená</w:t>
      </w:r>
      <w:r w:rsidR="006A1782">
        <w:rPr>
          <w:szCs w:val="20"/>
        </w:rPr>
        <w:t xml:space="preserve"> hodnota </w:t>
      </w:r>
      <w:r>
        <w:rPr>
          <w:szCs w:val="20"/>
        </w:rPr>
        <w:t>na</w:t>
      </w:r>
      <w:r w:rsidR="00267BAE">
        <w:rPr>
          <w:szCs w:val="20"/>
        </w:rPr>
        <w:t> </w:t>
      </w:r>
      <w:r>
        <w:rPr>
          <w:szCs w:val="20"/>
        </w:rPr>
        <w:t xml:space="preserve">základě ocenění reálnou hodnotou, u pozemků je pořizovací cena </w:t>
      </w:r>
      <w:r w:rsidR="005D3DC0">
        <w:rPr>
          <w:szCs w:val="20"/>
        </w:rPr>
        <w:t xml:space="preserve">vyšší </w:t>
      </w:r>
      <w:r>
        <w:rPr>
          <w:szCs w:val="20"/>
        </w:rPr>
        <w:t xml:space="preserve">než </w:t>
      </w:r>
      <w:r w:rsidR="006A1782">
        <w:rPr>
          <w:szCs w:val="20"/>
        </w:rPr>
        <w:lastRenderedPageBreak/>
        <w:t xml:space="preserve">hodnota </w:t>
      </w:r>
      <w:r>
        <w:rPr>
          <w:szCs w:val="20"/>
        </w:rPr>
        <w:t>nově stanovená). V</w:t>
      </w:r>
      <w:r w:rsidR="001E7BF2">
        <w:rPr>
          <w:szCs w:val="20"/>
        </w:rPr>
        <w:t> </w:t>
      </w:r>
      <w:r>
        <w:rPr>
          <w:szCs w:val="20"/>
        </w:rPr>
        <w:t>r.</w:t>
      </w:r>
      <w:r w:rsidR="005D1CE0">
        <w:rPr>
          <w:szCs w:val="20"/>
        </w:rPr>
        <w:t> </w:t>
      </w:r>
      <w:r>
        <w:rPr>
          <w:szCs w:val="20"/>
        </w:rPr>
        <w:t>201</w:t>
      </w:r>
      <w:r w:rsidR="006A1782">
        <w:rPr>
          <w:szCs w:val="20"/>
        </w:rPr>
        <w:t>3</w:t>
      </w:r>
      <w:r>
        <w:rPr>
          <w:szCs w:val="20"/>
        </w:rPr>
        <w:t xml:space="preserve"> vznikly tyto náklady především při pře</w:t>
      </w:r>
      <w:r w:rsidR="008D5601">
        <w:rPr>
          <w:szCs w:val="20"/>
        </w:rPr>
        <w:t>cenění</w:t>
      </w:r>
      <w:r w:rsidR="006A1782">
        <w:rPr>
          <w:szCs w:val="20"/>
        </w:rPr>
        <w:t xml:space="preserve"> budov a</w:t>
      </w:r>
      <w:r w:rsidR="006A1782" w:rsidRPr="00ED5A32">
        <w:rPr>
          <w:szCs w:val="20"/>
        </w:rPr>
        <w:t> </w:t>
      </w:r>
      <w:r w:rsidR="008D5601">
        <w:rPr>
          <w:szCs w:val="20"/>
        </w:rPr>
        <w:t xml:space="preserve"> pozemků reálnou hodnotou a činí celkem </w:t>
      </w:r>
      <w:r w:rsidR="006A1782">
        <w:rPr>
          <w:szCs w:val="20"/>
        </w:rPr>
        <w:t>7.961</w:t>
      </w:r>
      <w:r w:rsidR="006A1782" w:rsidRPr="00ED5A32">
        <w:rPr>
          <w:szCs w:val="20"/>
        </w:rPr>
        <w:t> </w:t>
      </w:r>
      <w:r w:rsidR="008D5601">
        <w:rPr>
          <w:szCs w:val="20"/>
        </w:rPr>
        <w:t>tis.</w:t>
      </w:r>
      <w:r w:rsidR="006A1782" w:rsidRPr="00ED5A32">
        <w:rPr>
          <w:szCs w:val="20"/>
        </w:rPr>
        <w:t> </w:t>
      </w:r>
      <w:r w:rsidR="008D5601">
        <w:rPr>
          <w:szCs w:val="20"/>
        </w:rPr>
        <w:t>Kč.</w:t>
      </w:r>
    </w:p>
    <w:p w:rsidR="00685533" w:rsidRPr="008D5601" w:rsidRDefault="00685533" w:rsidP="00C16579">
      <w:pPr>
        <w:pStyle w:val="Mjtext"/>
        <w:numPr>
          <w:ilvl w:val="0"/>
          <w:numId w:val="22"/>
        </w:numPr>
      </w:pPr>
      <w:r w:rsidRPr="00E31ECB">
        <w:rPr>
          <w:szCs w:val="20"/>
          <w:u w:val="single"/>
        </w:rPr>
        <w:t>Ostatní finanční náklady</w:t>
      </w:r>
      <w:r>
        <w:rPr>
          <w:szCs w:val="20"/>
        </w:rPr>
        <w:t xml:space="preserve"> – na účtu 569 </w:t>
      </w:r>
      <w:r w:rsidR="006A1782">
        <w:rPr>
          <w:szCs w:val="20"/>
        </w:rPr>
        <w:t>se účtují ostatní finanční náklady, v</w:t>
      </w:r>
      <w:r w:rsidR="001E7BF2">
        <w:rPr>
          <w:szCs w:val="20"/>
        </w:rPr>
        <w:t> </w:t>
      </w:r>
      <w:r w:rsidR="006A1782">
        <w:rPr>
          <w:szCs w:val="20"/>
        </w:rPr>
        <w:t xml:space="preserve">r. 2013 </w:t>
      </w:r>
      <w:r w:rsidR="00F634E3">
        <w:rPr>
          <w:szCs w:val="20"/>
        </w:rPr>
        <w:t xml:space="preserve">se jednalo </w:t>
      </w:r>
      <w:r w:rsidR="006A1782">
        <w:rPr>
          <w:szCs w:val="20"/>
        </w:rPr>
        <w:t>zejména</w:t>
      </w:r>
      <w:r w:rsidR="00F634E3">
        <w:rPr>
          <w:szCs w:val="20"/>
        </w:rPr>
        <w:t xml:space="preserve"> o</w:t>
      </w:r>
      <w:r w:rsidR="006A1782">
        <w:rPr>
          <w:szCs w:val="20"/>
        </w:rPr>
        <w:t xml:space="preserve"> snížení základního kapitálu Letiště Ostrava</w:t>
      </w:r>
      <w:r w:rsidR="00F634E3">
        <w:rPr>
          <w:szCs w:val="20"/>
        </w:rPr>
        <w:t>,</w:t>
      </w:r>
      <w:r w:rsidR="006A1782">
        <w:rPr>
          <w:szCs w:val="20"/>
        </w:rPr>
        <w:t xml:space="preserve"> a.s. (vzetí akc</w:t>
      </w:r>
      <w:r w:rsidR="00F634E3">
        <w:rPr>
          <w:szCs w:val="20"/>
        </w:rPr>
        <w:t>i</w:t>
      </w:r>
      <w:r w:rsidR="006A1782">
        <w:rPr>
          <w:szCs w:val="20"/>
        </w:rPr>
        <w:t>í z</w:t>
      </w:r>
      <w:r w:rsidR="001E7BF2">
        <w:rPr>
          <w:szCs w:val="20"/>
        </w:rPr>
        <w:t> </w:t>
      </w:r>
      <w:r w:rsidR="006A1782">
        <w:rPr>
          <w:szCs w:val="20"/>
        </w:rPr>
        <w:t xml:space="preserve">oběhu) </w:t>
      </w:r>
      <w:r w:rsidR="00763416">
        <w:rPr>
          <w:szCs w:val="20"/>
        </w:rPr>
        <w:t>ve výši 28.874</w:t>
      </w:r>
      <w:r w:rsidR="00763416" w:rsidRPr="00ED5A32">
        <w:rPr>
          <w:szCs w:val="20"/>
        </w:rPr>
        <w:t> </w:t>
      </w:r>
      <w:r w:rsidR="00763416">
        <w:rPr>
          <w:szCs w:val="20"/>
        </w:rPr>
        <w:t>tis.</w:t>
      </w:r>
      <w:r w:rsidR="00763416" w:rsidRPr="00ED5A32">
        <w:rPr>
          <w:szCs w:val="20"/>
        </w:rPr>
        <w:t> </w:t>
      </w:r>
      <w:r w:rsidR="00763416">
        <w:rPr>
          <w:szCs w:val="20"/>
        </w:rPr>
        <w:t xml:space="preserve">Kč, </w:t>
      </w:r>
      <w:r w:rsidR="006A1782">
        <w:rPr>
          <w:szCs w:val="20"/>
        </w:rPr>
        <w:t xml:space="preserve">což se projevilo </w:t>
      </w:r>
      <w:r w:rsidR="00763416">
        <w:rPr>
          <w:szCs w:val="20"/>
        </w:rPr>
        <w:t xml:space="preserve">rovněž ve </w:t>
      </w:r>
      <w:r w:rsidR="006A1782">
        <w:rPr>
          <w:szCs w:val="20"/>
        </w:rPr>
        <w:t>snížení majetkové účasti kraje v</w:t>
      </w:r>
      <w:r w:rsidR="001E7BF2">
        <w:rPr>
          <w:szCs w:val="20"/>
        </w:rPr>
        <w:t> </w:t>
      </w:r>
      <w:r w:rsidR="006A1782">
        <w:rPr>
          <w:szCs w:val="20"/>
        </w:rPr>
        <w:t>této společnosti (na</w:t>
      </w:r>
      <w:r w:rsidR="00763416" w:rsidRPr="00ED5A32">
        <w:rPr>
          <w:szCs w:val="20"/>
        </w:rPr>
        <w:t> </w:t>
      </w:r>
      <w:r w:rsidR="006A1782">
        <w:rPr>
          <w:szCs w:val="20"/>
        </w:rPr>
        <w:t xml:space="preserve"> účtu 061). V</w:t>
      </w:r>
      <w:r w:rsidR="001E7BF2">
        <w:rPr>
          <w:szCs w:val="20"/>
        </w:rPr>
        <w:t> </w:t>
      </w:r>
      <w:r w:rsidR="006A1782">
        <w:rPr>
          <w:szCs w:val="20"/>
        </w:rPr>
        <w:t xml:space="preserve">r. 2013 byly vykázány </w:t>
      </w:r>
      <w:r w:rsidR="00B00131">
        <w:rPr>
          <w:szCs w:val="20"/>
        </w:rPr>
        <w:t xml:space="preserve">ostatní finanční </w:t>
      </w:r>
      <w:r w:rsidR="008D5601">
        <w:rPr>
          <w:szCs w:val="20"/>
        </w:rPr>
        <w:t>náklady v</w:t>
      </w:r>
      <w:r w:rsidR="001E7BF2">
        <w:rPr>
          <w:szCs w:val="20"/>
        </w:rPr>
        <w:t> </w:t>
      </w:r>
      <w:r w:rsidR="00B00131">
        <w:rPr>
          <w:szCs w:val="20"/>
        </w:rPr>
        <w:t>celkové</w:t>
      </w:r>
      <w:r w:rsidR="008D5601">
        <w:rPr>
          <w:szCs w:val="20"/>
        </w:rPr>
        <w:t xml:space="preserve"> výši </w:t>
      </w:r>
      <w:r w:rsidR="00763416">
        <w:rPr>
          <w:szCs w:val="20"/>
        </w:rPr>
        <w:t>29.193</w:t>
      </w:r>
      <w:r w:rsidR="00763416" w:rsidRPr="00ED5A32">
        <w:rPr>
          <w:szCs w:val="20"/>
        </w:rPr>
        <w:t> </w:t>
      </w:r>
      <w:r w:rsidR="008D5601">
        <w:rPr>
          <w:szCs w:val="20"/>
        </w:rPr>
        <w:t>tis.</w:t>
      </w:r>
      <w:r w:rsidR="00763416" w:rsidRPr="00ED5A32">
        <w:rPr>
          <w:szCs w:val="20"/>
        </w:rPr>
        <w:t> </w:t>
      </w:r>
      <w:r w:rsidR="008D5601">
        <w:rPr>
          <w:szCs w:val="20"/>
        </w:rPr>
        <w:t>Kč.</w:t>
      </w:r>
    </w:p>
    <w:p w:rsidR="00E76BC1" w:rsidRDefault="00282DDC" w:rsidP="00267BAE">
      <w:pPr>
        <w:pStyle w:val="Nadpis3"/>
      </w:pPr>
      <w:bookmarkStart w:id="27" w:name="_Toc388005076"/>
      <w:r>
        <w:t>N</w:t>
      </w:r>
      <w:r w:rsidR="00685533" w:rsidRPr="00185749">
        <w:t>áklady na transfery</w:t>
      </w:r>
      <w:bookmarkEnd w:id="27"/>
    </w:p>
    <w:p w:rsidR="008D5601" w:rsidRDefault="008D5601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1.9 jsou uvedeny</w:t>
      </w:r>
      <w:r>
        <w:rPr>
          <w:rFonts w:ascii="Tahoma" w:hAnsi="Tahoma" w:cs="Tahoma"/>
          <w:sz w:val="20"/>
          <w:szCs w:val="20"/>
        </w:rPr>
        <w:t xml:space="preserve"> úd</w:t>
      </w:r>
      <w:r w:rsidR="00B00131">
        <w:rPr>
          <w:rFonts w:ascii="Tahoma" w:hAnsi="Tahoma" w:cs="Tahoma"/>
          <w:sz w:val="20"/>
          <w:szCs w:val="20"/>
        </w:rPr>
        <w:t>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na transfery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BA547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BA54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8D5601" w:rsidRPr="008D5601" w:rsidRDefault="008D5601" w:rsidP="008D5601"/>
    <w:p w:rsidR="00685533" w:rsidRPr="00110CDB" w:rsidRDefault="00685533" w:rsidP="00D949DA">
      <w:pPr>
        <w:pStyle w:val="Styltab"/>
      </w:pPr>
      <w:r w:rsidRPr="00F71C9E">
        <w:t>Náklady na transfery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387"/>
        <w:gridCol w:w="1122"/>
      </w:tblGrid>
      <w:tr w:rsidR="00685533" w:rsidRPr="00D70D02" w:rsidTr="00CC7473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CC7473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CC74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CC7473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CC7473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CC747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CC74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CC747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F634E3" w:rsidRDefault="00CC7473" w:rsidP="00FA48C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634E3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F634E3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 xml:space="preserve">  (2013-2012)</w:t>
            </w:r>
          </w:p>
        </w:tc>
      </w:tr>
      <w:tr w:rsidR="003018DA" w:rsidRPr="00D70D02" w:rsidTr="00CC7473">
        <w:trPr>
          <w:trHeight w:val="4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DA" w:rsidRPr="00D70D02" w:rsidRDefault="003018DA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III. Náklady na transfery, 572-Náklady vybraných místních vládních institucí na transfery,</w:t>
            </w:r>
            <w:r w:rsidRPr="00D70D0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7F59">
              <w:rPr>
                <w:rFonts w:ascii="Tahoma" w:hAnsi="Tahoma" w:cs="Tahoma"/>
                <w:b/>
                <w:bCs/>
                <w:sz w:val="16"/>
                <w:szCs w:val="16"/>
              </w:rPr>
              <w:t>4 135 378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7F5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4 297 180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-161 802</w:t>
            </w:r>
          </w:p>
        </w:tc>
      </w:tr>
      <w:tr w:rsidR="003018DA" w:rsidRPr="00D70D02" w:rsidTr="002050C5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DA" w:rsidRPr="00D70D02" w:rsidRDefault="003018DA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zřízeným příspěvkovým organizacím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 w:rsidP="00447F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>2 200 51</w:t>
            </w:r>
            <w:r w:rsidR="00447F59" w:rsidRPr="00447F5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 xml:space="preserve">2 270 545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 w:rsidP="00447F5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-70 0</w:t>
            </w:r>
            <w:r w:rsidR="00447F59"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29</w:t>
            </w:r>
          </w:p>
        </w:tc>
      </w:tr>
      <w:tr w:rsidR="003018DA" w:rsidRPr="00D70D02" w:rsidTr="002050C5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DA" w:rsidRPr="00D70D02" w:rsidRDefault="003018DA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územním samosprávným celkům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 w:rsidP="00447F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>207 95</w:t>
            </w:r>
            <w:r w:rsidR="00447F59" w:rsidRPr="00447F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 xml:space="preserve">326 067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 w:rsidP="00447F59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-118 11</w:t>
            </w:r>
            <w:r w:rsidR="00447F59"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4</w:t>
            </w:r>
          </w:p>
        </w:tc>
      </w:tr>
      <w:tr w:rsidR="003018DA" w:rsidRPr="00D70D02" w:rsidTr="002050C5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DA" w:rsidRPr="00D70D02" w:rsidRDefault="003018DA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transfery ostatním subjektům, 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toho: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>1 726 909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7F59">
              <w:rPr>
                <w:rFonts w:ascii="Tahoma" w:hAnsi="Tahoma" w:cs="Tahoma"/>
                <w:sz w:val="16"/>
                <w:szCs w:val="16"/>
              </w:rPr>
              <w:t xml:space="preserve">1 700 568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26 341</w:t>
            </w:r>
          </w:p>
        </w:tc>
      </w:tr>
      <w:tr w:rsidR="003018DA" w:rsidRPr="00D70D02" w:rsidTr="002050C5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DA" w:rsidRPr="00D70D02" w:rsidRDefault="003018DA" w:rsidP="00E63DE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dopravní obslužnost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sz w:val="16"/>
                <w:szCs w:val="16"/>
              </w:rPr>
              <w:t>1 249 173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1 189 694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59 479</w:t>
            </w:r>
          </w:p>
        </w:tc>
      </w:tr>
      <w:tr w:rsidR="003018DA" w:rsidRPr="00D70D02" w:rsidTr="002050C5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DA" w:rsidRPr="00D70D02" w:rsidRDefault="003018DA" w:rsidP="00CC7473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          -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ostatní transfery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sz w:val="16"/>
                <w:szCs w:val="16"/>
              </w:rPr>
              <w:t>477 736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510 874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8DA" w:rsidRPr="00447F59" w:rsidRDefault="003018D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47F59">
              <w:rPr>
                <w:rFonts w:ascii="Tahoma" w:hAnsi="Tahoma" w:cs="Tahoma"/>
                <w:i/>
                <w:iCs/>
                <w:sz w:val="16"/>
                <w:szCs w:val="16"/>
              </w:rPr>
              <w:t>-33 138</w:t>
            </w:r>
          </w:p>
        </w:tc>
      </w:tr>
    </w:tbl>
    <w:p w:rsidR="00685533" w:rsidRPr="00161CA6" w:rsidRDefault="00685533" w:rsidP="00282DDC">
      <w:pPr>
        <w:pStyle w:val="Mjtext"/>
        <w:spacing w:before="240"/>
      </w:pPr>
      <w:r w:rsidRPr="006F37AC">
        <w:rPr>
          <w:u w:val="single"/>
        </w:rPr>
        <w:t>Náklady vybraných místních vládních institucí na transfery</w:t>
      </w:r>
      <w:r>
        <w:t xml:space="preserve"> – na účtu 572 se vykazují náklady na poskytnuté transfery (tj. dotace, finanční dary a příspěvky). Jedná se o náklady z</w:t>
      </w:r>
      <w:r w:rsidR="001E7BF2">
        <w:t> </w:t>
      </w:r>
      <w:r>
        <w:t>transferů, které jsou poskytovány z</w:t>
      </w:r>
      <w:r w:rsidR="001E7BF2">
        <w:t> </w:t>
      </w:r>
      <w:r>
        <w:t>rozpočtu kraje; do nákladů nevstupují transfery poskytované z</w:t>
      </w:r>
      <w:r w:rsidR="001E7BF2">
        <w:t> </w:t>
      </w:r>
      <w:r>
        <w:t>ústředních rozpočtů, kdy kraj v</w:t>
      </w:r>
      <w:r w:rsidR="001E7BF2">
        <w:t> </w:t>
      </w:r>
      <w:r>
        <w:t>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</w:t>
      </w:r>
      <w:r w:rsidR="00B00131">
        <w:t xml:space="preserve"> z</w:t>
      </w:r>
      <w:r w:rsidR="001E7BF2">
        <w:t> </w:t>
      </w:r>
      <w:r w:rsidR="00B00131" w:rsidRPr="005762F4">
        <w:t>MŠMT</w:t>
      </w:r>
      <w:r w:rsidRPr="005762F4">
        <w:t xml:space="preserve">) </w:t>
      </w:r>
      <w:r w:rsidR="001E7BF2">
        <w:t>–</w:t>
      </w:r>
      <w:r w:rsidRPr="005762F4">
        <w:t xml:space="preserve"> i když tyto transfery vstupují do</w:t>
      </w:r>
      <w:r w:rsidR="00B00131" w:rsidRPr="005762F4">
        <w:t> </w:t>
      </w:r>
      <w:r w:rsidRPr="005762F4">
        <w:t>rozpočtu kraje (do příjmů a výdajů), z</w:t>
      </w:r>
      <w:r w:rsidR="001E7BF2">
        <w:t> </w:t>
      </w:r>
      <w:r w:rsidRPr="005762F4">
        <w:t>pohledu účetnictví se nejedná o výnos a náklad kraje, ale je zde účtováno podle platné metodiky</w:t>
      </w:r>
      <w:r w:rsidR="008D5601" w:rsidRPr="005762F4">
        <w:t xml:space="preserve"> ČÚS č. 703</w:t>
      </w:r>
      <w:r w:rsidRPr="005762F4">
        <w:t xml:space="preserve"> </w:t>
      </w:r>
      <w:r w:rsidR="003018DA">
        <w:t xml:space="preserve">jen </w:t>
      </w:r>
      <w:r w:rsidRPr="005762F4">
        <w:t>přes závazkové vztahy</w:t>
      </w:r>
      <w:r w:rsidR="003018DA">
        <w:t xml:space="preserve"> (přes účet 374)</w:t>
      </w:r>
      <w:r w:rsidRPr="005762F4">
        <w:t>. Transfery jsou časově rozlišovány, a to nejpozději k</w:t>
      </w:r>
      <w:r w:rsidR="001E7BF2">
        <w:t> </w:t>
      </w:r>
      <w:r w:rsidRPr="005762F4">
        <w:t>rozvahovému dni, kdy náklady a výnosy u transferů jsou účtovány přes dohadné účty tak, aby byly zaúčtovány do období</w:t>
      </w:r>
      <w:r w:rsidR="00F634E3">
        <w:t>,</w:t>
      </w:r>
      <w:r w:rsidRPr="005762F4">
        <w:t xml:space="preserve"> s</w:t>
      </w:r>
      <w:r w:rsidR="001E7BF2">
        <w:t> </w:t>
      </w:r>
      <w:r w:rsidRPr="005762F4">
        <w:t>n</w:t>
      </w:r>
      <w:r w:rsidR="00F634E3">
        <w:t>í</w:t>
      </w:r>
      <w:r w:rsidRPr="005762F4">
        <w:t xml:space="preserve">mž věcně a časově souvisí. </w:t>
      </w:r>
      <w:r w:rsidRPr="00161CA6">
        <w:t>Také v</w:t>
      </w:r>
      <w:r w:rsidR="001E7BF2">
        <w:t> </w:t>
      </w:r>
      <w:r w:rsidRPr="00161CA6">
        <w:t>oblasti transferů dochází každoročně k</w:t>
      </w:r>
      <w:r w:rsidR="001E7BF2">
        <w:t> </w:t>
      </w:r>
      <w:r w:rsidRPr="00161CA6">
        <w:t>úpravám metodiky účtování, proto se obtížně hodnoty v</w:t>
      </w:r>
      <w:r w:rsidR="001E7BF2">
        <w:t> </w:t>
      </w:r>
      <w:r w:rsidRPr="00161CA6">
        <w:t>této oblasti v</w:t>
      </w:r>
      <w:r w:rsidR="001E7BF2">
        <w:t> </w:t>
      </w:r>
      <w:r w:rsidRPr="00161CA6">
        <w:t>jednotlivých letech srovnávají.</w:t>
      </w:r>
    </w:p>
    <w:p w:rsidR="00685533" w:rsidRDefault="00685533" w:rsidP="00685533">
      <w:pPr>
        <w:pStyle w:val="Mjtext"/>
      </w:pPr>
      <w:r>
        <w:t xml:space="preserve">Poskytnuté transfery můžeme podle příjemců jednotlivých transferů rozdělit do několika skupin, a to: </w:t>
      </w:r>
    </w:p>
    <w:p w:rsidR="00685533" w:rsidRDefault="00685533" w:rsidP="00C16579">
      <w:pPr>
        <w:pStyle w:val="Mjtext"/>
        <w:numPr>
          <w:ilvl w:val="0"/>
          <w:numId w:val="23"/>
        </w:numPr>
      </w:pPr>
      <w:r w:rsidRPr="009C123A">
        <w:rPr>
          <w:u w:val="single"/>
        </w:rPr>
        <w:t xml:space="preserve">Neinvestiční transfery </w:t>
      </w:r>
      <w:r>
        <w:rPr>
          <w:u w:val="single"/>
        </w:rPr>
        <w:t xml:space="preserve">zřízeným </w:t>
      </w:r>
      <w:r w:rsidRPr="009C123A">
        <w:rPr>
          <w:u w:val="single"/>
        </w:rPr>
        <w:t>příspěvkovým organizacím</w:t>
      </w:r>
      <w:r>
        <w:t xml:space="preserve"> – jedná se o poskytnuté neinvestiční příspěvky na provoz a ostatní neinvestiční účelové dotace poskytnuté příspěvkovým organizacím, jejichž zřizovatelem je kraj. V</w:t>
      </w:r>
      <w:r w:rsidR="001E7BF2">
        <w:t> </w:t>
      </w:r>
      <w:r>
        <w:t>roce 201</w:t>
      </w:r>
      <w:r w:rsidR="003018DA">
        <w:t>3</w:t>
      </w:r>
      <w:r>
        <w:t xml:space="preserve"> poskytl kraj </w:t>
      </w:r>
      <w:r w:rsidR="002050C5">
        <w:t>229</w:t>
      </w:r>
      <w:r>
        <w:t xml:space="preserve"> příspěvkovým organizacím neinvestiční transfery ve výši 2.</w:t>
      </w:r>
      <w:r w:rsidR="003018DA">
        <w:t>200.51</w:t>
      </w:r>
      <w:r w:rsidR="00447F59">
        <w:t>6</w:t>
      </w:r>
      <w:r>
        <w:t> tis. Kč (poskytnuté investiční transfery nevstupují do nákladů, jsou účtovány vůči účtu 401). Z</w:t>
      </w:r>
      <w:r w:rsidR="001E7BF2">
        <w:t> </w:t>
      </w:r>
      <w:r>
        <w:t>tohoto objemu neinvestičních transferů byly v</w:t>
      </w:r>
      <w:r w:rsidR="001E7BF2">
        <w:t> </w:t>
      </w:r>
      <w:r>
        <w:t xml:space="preserve">rámci projektů poskytnuty transfery ve výši </w:t>
      </w:r>
      <w:r w:rsidR="003018DA">
        <w:t>98.458 </w:t>
      </w:r>
      <w:r>
        <w:t>tis.</w:t>
      </w:r>
      <w:r w:rsidR="003018DA">
        <w:t> </w:t>
      </w:r>
      <w:r>
        <w:t>Kč. Transfery z</w:t>
      </w:r>
      <w:r w:rsidR="001E7BF2">
        <w:t> </w:t>
      </w:r>
      <w:r>
        <w:t>ústředních rozpočtů, určené pro příspěvkové organizace kraje, jsou účtovány průtokem (jedná se zejména o transfery poskytnuté z</w:t>
      </w:r>
      <w:r w:rsidR="001E7BF2">
        <w:t> </w:t>
      </w:r>
      <w:r w:rsidR="00B00131">
        <w:t>MŠMT</w:t>
      </w:r>
      <w:r>
        <w:t>– tyto transfery nevstupují do nákladů kraje).</w:t>
      </w:r>
    </w:p>
    <w:p w:rsidR="00685533" w:rsidRPr="00AC4941" w:rsidRDefault="00685533" w:rsidP="00C16579">
      <w:pPr>
        <w:pStyle w:val="Mjtext"/>
        <w:numPr>
          <w:ilvl w:val="0"/>
          <w:numId w:val="23"/>
        </w:numPr>
      </w:pPr>
      <w:r>
        <w:rPr>
          <w:u w:val="single"/>
        </w:rPr>
        <w:t>Neinvestiční a investiční transfery územním samosprávným celkům</w:t>
      </w:r>
      <w:r w:rsidRPr="00161CA6">
        <w:t xml:space="preserve"> </w:t>
      </w:r>
      <w:r>
        <w:t>– jedná se o investiční a</w:t>
      </w:r>
      <w:r w:rsidR="002A0303">
        <w:t> </w:t>
      </w:r>
      <w:r>
        <w:t>neinvestiční transfery poskytnuté krajům, obcím a jejich příspěvkovým organizacím</w:t>
      </w:r>
      <w:r w:rsidR="003018DA">
        <w:t xml:space="preserve"> a dále transfery poskytnuté RRRS MSK</w:t>
      </w:r>
      <w:r w:rsidR="0068053A">
        <w:t xml:space="preserve"> (</w:t>
      </w:r>
      <w:r w:rsidR="003018DA">
        <w:t>vč. finančního vypořádání dotací</w:t>
      </w:r>
      <w:r w:rsidR="0068053A">
        <w:t>)</w:t>
      </w:r>
      <w:r>
        <w:t>. Z</w:t>
      </w:r>
      <w:r w:rsidR="001E7BF2">
        <w:t> </w:t>
      </w:r>
      <w:r>
        <w:t xml:space="preserve">rozpočtu kraje byly poskytnuty transfery </w:t>
      </w:r>
      <w:r w:rsidR="003018DA">
        <w:t xml:space="preserve">územním rozpočtům </w:t>
      </w:r>
      <w:r>
        <w:t xml:space="preserve">ve výši </w:t>
      </w:r>
      <w:r w:rsidR="003018DA">
        <w:t>207.95</w:t>
      </w:r>
      <w:r w:rsidR="008B5F8A">
        <w:t>3</w:t>
      </w:r>
      <w:r w:rsidR="003018DA">
        <w:t> tis. </w:t>
      </w:r>
      <w:r>
        <w:t>Kč, z</w:t>
      </w:r>
      <w:r w:rsidR="001E7BF2">
        <w:t> </w:t>
      </w:r>
      <w:r>
        <w:t>toho v</w:t>
      </w:r>
      <w:r w:rsidR="001E7BF2">
        <w:t> </w:t>
      </w:r>
      <w:r>
        <w:t xml:space="preserve">rámci projektů ve výši </w:t>
      </w:r>
      <w:r w:rsidR="0068053A">
        <w:t>53.705</w:t>
      </w:r>
      <w:r>
        <w:t> tis. Kč. Transfery z</w:t>
      </w:r>
      <w:r w:rsidR="001E7BF2">
        <w:t> </w:t>
      </w:r>
      <w:r>
        <w:t>ústředních rozpočtů, určené pro obce a jejich příspěvkové organizace, jsou účtovány průtokem (opět se zde jedná zejména o transfery poskytnuté z</w:t>
      </w:r>
      <w:r w:rsidR="001E7BF2">
        <w:t> </w:t>
      </w:r>
      <w:r w:rsidR="00B00131">
        <w:t>MŠMT</w:t>
      </w:r>
      <w:r>
        <w:t>).</w:t>
      </w:r>
    </w:p>
    <w:p w:rsidR="00161CA6" w:rsidRDefault="00685533" w:rsidP="00C16579">
      <w:pPr>
        <w:pStyle w:val="Mjtext"/>
        <w:numPr>
          <w:ilvl w:val="0"/>
          <w:numId w:val="23"/>
        </w:numPr>
        <w:rPr>
          <w:szCs w:val="20"/>
        </w:rPr>
      </w:pPr>
      <w:r>
        <w:rPr>
          <w:u w:val="single"/>
        </w:rPr>
        <w:t>Neinvestiční a investiční transfery ostatním subjektům</w:t>
      </w:r>
      <w:r w:rsidRPr="00161CA6">
        <w:t xml:space="preserve"> </w:t>
      </w:r>
      <w:r>
        <w:t xml:space="preserve">– </w:t>
      </w:r>
      <w:r w:rsidRPr="00C336DC">
        <w:rPr>
          <w:szCs w:val="20"/>
        </w:rPr>
        <w:t>jedná</w:t>
      </w:r>
      <w:r>
        <w:rPr>
          <w:szCs w:val="20"/>
        </w:rPr>
        <w:t xml:space="preserve"> se o investiční a neinvestiční transfery (dotace, peněžité dary a příspěvky) poskytnuté podnikatelským subjektům, neziskovým </w:t>
      </w:r>
      <w:r>
        <w:rPr>
          <w:szCs w:val="20"/>
        </w:rPr>
        <w:lastRenderedPageBreak/>
        <w:t>organizacím, vysokým školám, fyzickým osobám a ostatním subjektům</w:t>
      </w:r>
      <w:r w:rsidR="00F923F5">
        <w:rPr>
          <w:szCs w:val="20"/>
        </w:rPr>
        <w:t xml:space="preserve"> (vč. dotací zahraničním subjektům a finančního vypořádání dotací s</w:t>
      </w:r>
      <w:r w:rsidR="001E7BF2">
        <w:rPr>
          <w:szCs w:val="20"/>
        </w:rPr>
        <w:t> </w:t>
      </w:r>
      <w:r w:rsidR="00F923F5">
        <w:rPr>
          <w:szCs w:val="20"/>
        </w:rPr>
        <w:t>ústředními rozpočty)</w:t>
      </w:r>
      <w:r w:rsidR="00B00131">
        <w:rPr>
          <w:szCs w:val="20"/>
        </w:rPr>
        <w:t xml:space="preserve">. </w:t>
      </w:r>
      <w:r>
        <w:rPr>
          <w:szCs w:val="20"/>
        </w:rPr>
        <w:t xml:space="preserve">Celkem byly poskytnuty transfery ve výši </w:t>
      </w:r>
      <w:r w:rsidR="0068053A">
        <w:rPr>
          <w:szCs w:val="20"/>
        </w:rPr>
        <w:t>1.726.909</w:t>
      </w:r>
      <w:r w:rsidR="0068053A">
        <w:t> </w:t>
      </w:r>
      <w:r>
        <w:rPr>
          <w:szCs w:val="20"/>
        </w:rPr>
        <w:t>tis.</w:t>
      </w:r>
      <w:r w:rsidR="0068053A"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>toho největší objem představují transfery na dopravní obslužnost poskytnuté dopravcům veřejné linkové a drážní dopravy ve výši 1.</w:t>
      </w:r>
      <w:r w:rsidR="0068053A">
        <w:rPr>
          <w:szCs w:val="20"/>
        </w:rPr>
        <w:t>249.173</w:t>
      </w:r>
      <w:r w:rsidR="0068053A">
        <w:t> </w:t>
      </w:r>
      <w:r>
        <w:rPr>
          <w:szCs w:val="20"/>
        </w:rPr>
        <w:t>tis.</w:t>
      </w:r>
      <w:r w:rsidR="0068053A">
        <w:t> </w:t>
      </w:r>
      <w:r>
        <w:rPr>
          <w:szCs w:val="20"/>
        </w:rPr>
        <w:t>Kč; transfery ostatním subjektům</w:t>
      </w:r>
      <w:r w:rsidR="0068053A">
        <w:rPr>
          <w:szCs w:val="20"/>
        </w:rPr>
        <w:t xml:space="preserve"> (vč. finančního vypořádání transferů)</w:t>
      </w:r>
      <w:r>
        <w:rPr>
          <w:szCs w:val="20"/>
        </w:rPr>
        <w:t xml:space="preserve"> byly poskytnuty ve výši </w:t>
      </w:r>
      <w:r w:rsidR="0068053A">
        <w:rPr>
          <w:szCs w:val="20"/>
        </w:rPr>
        <w:t>477.736</w:t>
      </w:r>
      <w:r w:rsidR="0068053A">
        <w:t> </w:t>
      </w:r>
      <w:r>
        <w:rPr>
          <w:szCs w:val="20"/>
        </w:rPr>
        <w:t>tis.</w:t>
      </w:r>
      <w:r w:rsidR="0068053A">
        <w:t> </w:t>
      </w:r>
      <w:r>
        <w:rPr>
          <w:szCs w:val="20"/>
        </w:rPr>
        <w:t>Kč (z toho v</w:t>
      </w:r>
      <w:r w:rsidR="001E7BF2">
        <w:rPr>
          <w:szCs w:val="20"/>
        </w:rPr>
        <w:t> </w:t>
      </w:r>
      <w:r>
        <w:rPr>
          <w:szCs w:val="20"/>
        </w:rPr>
        <w:t xml:space="preserve">rámci projektů byly poskytnuty transfery ve výši </w:t>
      </w:r>
      <w:r w:rsidR="00F923F5">
        <w:rPr>
          <w:szCs w:val="20"/>
        </w:rPr>
        <w:t>208.857</w:t>
      </w:r>
      <w:r w:rsidR="00F923F5">
        <w:t> </w:t>
      </w:r>
      <w:r>
        <w:rPr>
          <w:szCs w:val="20"/>
        </w:rPr>
        <w:t>tis.</w:t>
      </w:r>
      <w:r w:rsidR="00F923F5">
        <w:t> </w:t>
      </w:r>
      <w:r w:rsidR="008B5F8A">
        <w:rPr>
          <w:szCs w:val="20"/>
        </w:rPr>
        <w:t>Kč).</w:t>
      </w:r>
    </w:p>
    <w:p w:rsidR="00685533" w:rsidRDefault="00685533" w:rsidP="00CD11C6">
      <w:pPr>
        <w:pStyle w:val="Nadpis3"/>
      </w:pPr>
      <w:bookmarkStart w:id="28" w:name="_Toc388005077"/>
      <w:r w:rsidRPr="00A97B17">
        <w:t>Daň z</w:t>
      </w:r>
      <w:r w:rsidR="001E7BF2">
        <w:t> </w:t>
      </w:r>
      <w:r w:rsidRPr="00A97B17">
        <w:t>příjmů</w:t>
      </w:r>
      <w:bookmarkEnd w:id="28"/>
    </w:p>
    <w:p w:rsidR="002A0303" w:rsidRDefault="002A0303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0"/>
        </w:smartTagPr>
        <w:r w:rsidRPr="002C14AA">
          <w:rPr>
            <w:rFonts w:ascii="Tahoma" w:hAnsi="Tahoma" w:cs="Tahoma"/>
            <w:sz w:val="20"/>
            <w:szCs w:val="20"/>
          </w:rPr>
          <w:t>1.10</w:t>
        </w:r>
      </w:smartTag>
      <w:r w:rsidR="00B00131" w:rsidRPr="002C14AA">
        <w:rPr>
          <w:rFonts w:ascii="Tahoma" w:hAnsi="Tahoma" w:cs="Tahoma"/>
          <w:sz w:val="20"/>
          <w:szCs w:val="20"/>
        </w:rPr>
        <w:t xml:space="preserve"> jsou uvedeny</w:t>
      </w:r>
      <w:r w:rsidR="00B00131">
        <w:rPr>
          <w:rFonts w:ascii="Tahoma" w:hAnsi="Tahoma" w:cs="Tahoma"/>
          <w:sz w:val="20"/>
          <w:szCs w:val="20"/>
        </w:rPr>
        <w:t xml:space="preserve"> údaje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na daň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příjmů kraje</w:t>
      </w:r>
      <w:r w:rsidR="001D1C06">
        <w:rPr>
          <w:rFonts w:ascii="Tahoma" w:hAnsi="Tahoma" w:cs="Tahoma"/>
          <w:sz w:val="20"/>
          <w:szCs w:val="20"/>
        </w:rPr>
        <w:t xml:space="preserve">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této položky za období 201</w:t>
      </w:r>
      <w:r w:rsidR="00BE09B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BE09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2A0303" w:rsidRPr="002A0303" w:rsidRDefault="002A0303" w:rsidP="002A0303"/>
    <w:p w:rsidR="00685533" w:rsidRPr="00110CDB" w:rsidRDefault="00685533" w:rsidP="00D949DA">
      <w:pPr>
        <w:pStyle w:val="Styltab"/>
      </w:pPr>
      <w:r>
        <w:t>Daň z</w:t>
      </w:r>
      <w:r w:rsidR="001E7BF2">
        <w:t> </w:t>
      </w:r>
      <w:r>
        <w:t>příjmů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109"/>
      </w:tblGrid>
      <w:tr w:rsidR="00685533" w:rsidRPr="00D70D02" w:rsidTr="00CC7473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CC7473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427C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427C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427C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="00427C88">
              <w:rPr>
                <w:rFonts w:ascii="Tahoma" w:hAnsi="Tahoma" w:cs="Tahoma"/>
                <w:sz w:val="16"/>
                <w:szCs w:val="16"/>
              </w:rPr>
              <w:t>31. 12. 2012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384B6D" w:rsidRDefault="00CC7473" w:rsidP="00427C8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384B6D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 xml:space="preserve">  (2013-2012)</w:t>
            </w:r>
          </w:p>
        </w:tc>
      </w:tr>
      <w:tr w:rsidR="00427C88" w:rsidRPr="00D70D02" w:rsidTr="00CC7473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88" w:rsidRPr="00D70D02" w:rsidRDefault="00427C88" w:rsidP="00427C8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Daň z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příjmů (účet 591)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88" w:rsidRPr="00427C88" w:rsidRDefault="00427C88" w:rsidP="00427C8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27C88">
              <w:rPr>
                <w:rFonts w:ascii="Tahoma" w:hAnsi="Tahoma" w:cs="Tahoma"/>
                <w:b/>
                <w:bCs/>
                <w:sz w:val="16"/>
                <w:szCs w:val="16"/>
              </w:rPr>
              <w:t>26 685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88" w:rsidRPr="00427C88" w:rsidRDefault="00427C88" w:rsidP="00427C8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27C88">
              <w:rPr>
                <w:rFonts w:ascii="Tahoma" w:hAnsi="Tahoma" w:cs="Tahoma"/>
                <w:b/>
                <w:bCs/>
                <w:sz w:val="16"/>
                <w:szCs w:val="16"/>
              </w:rPr>
              <w:t>16 913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C88" w:rsidRPr="00427C88" w:rsidRDefault="00427C88" w:rsidP="00427C8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427C88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9 772</w:t>
            </w:r>
          </w:p>
        </w:tc>
      </w:tr>
    </w:tbl>
    <w:p w:rsidR="00685533" w:rsidRDefault="008B5F8A" w:rsidP="00D70D02">
      <w:pPr>
        <w:pStyle w:val="Mjtext"/>
        <w:spacing w:before="240"/>
      </w:pPr>
      <w:r>
        <w:rPr>
          <w:szCs w:val="20"/>
        </w:rPr>
        <w:t>Daň z příjmů u kraje představuje náklad i výnos - k</w:t>
      </w:r>
      <w:r w:rsidR="00685533" w:rsidRPr="00A97B17">
        <w:rPr>
          <w:szCs w:val="20"/>
        </w:rPr>
        <w:t>raj je příjemcem své vlastní daně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příjmů. Daň za</w:t>
      </w:r>
      <w:r>
        <w:rPr>
          <w:szCs w:val="20"/>
        </w:rPr>
        <w:t> </w:t>
      </w:r>
      <w:r w:rsidR="00685533" w:rsidRPr="00A97B17">
        <w:rPr>
          <w:szCs w:val="20"/>
        </w:rPr>
        <w:t>rok 201</w:t>
      </w:r>
      <w:r w:rsidR="00427C88">
        <w:rPr>
          <w:szCs w:val="20"/>
        </w:rPr>
        <w:t>3</w:t>
      </w:r>
      <w:r w:rsidR="00685533" w:rsidRPr="00A97B17">
        <w:rPr>
          <w:szCs w:val="20"/>
        </w:rPr>
        <w:t xml:space="preserve"> byla stanovena odborným odhadem </w:t>
      </w:r>
      <w:r w:rsidR="00685533" w:rsidRPr="00161CA6">
        <w:rPr>
          <w:szCs w:val="20"/>
        </w:rPr>
        <w:t>daňov</w:t>
      </w:r>
      <w:r w:rsidR="00161CA6" w:rsidRPr="00161CA6">
        <w:rPr>
          <w:szCs w:val="20"/>
        </w:rPr>
        <w:t xml:space="preserve">ého </w:t>
      </w:r>
      <w:r w:rsidR="00685533" w:rsidRPr="00161CA6">
        <w:rPr>
          <w:szCs w:val="20"/>
        </w:rPr>
        <w:t>poradce v</w:t>
      </w:r>
      <w:r w:rsidR="001E7BF2">
        <w:rPr>
          <w:szCs w:val="20"/>
        </w:rPr>
        <w:t> </w:t>
      </w:r>
      <w:r w:rsidR="00685533" w:rsidRPr="00161CA6">
        <w:rPr>
          <w:szCs w:val="20"/>
        </w:rPr>
        <w:t>únoru 2013</w:t>
      </w:r>
      <w:r w:rsidR="00161CA6">
        <w:rPr>
          <w:szCs w:val="20"/>
        </w:rPr>
        <w:t>, tj.</w:t>
      </w:r>
      <w:r w:rsidR="001D1C06" w:rsidRPr="00161CA6">
        <w:rPr>
          <w:szCs w:val="20"/>
        </w:rPr>
        <w:t xml:space="preserve"> </w:t>
      </w:r>
      <w:r w:rsidR="00685533" w:rsidRPr="00161CA6">
        <w:rPr>
          <w:szCs w:val="20"/>
        </w:rPr>
        <w:t>před zpracováním řádného daňového přiznání</w:t>
      </w:r>
      <w:r w:rsidR="00685533" w:rsidRPr="00A97B17">
        <w:rPr>
          <w:szCs w:val="20"/>
        </w:rPr>
        <w:t xml:space="preserve"> (vzhledem </w:t>
      </w:r>
      <w:r w:rsidR="00685533">
        <w:rPr>
          <w:szCs w:val="20"/>
        </w:rPr>
        <w:t>ke</w:t>
      </w:r>
      <w:r w:rsidR="00DE5CCD">
        <w:rPr>
          <w:szCs w:val="20"/>
        </w:rPr>
        <w:t> </w:t>
      </w:r>
      <w:r w:rsidR="00685533">
        <w:rPr>
          <w:szCs w:val="20"/>
        </w:rPr>
        <w:t>stanovenému</w:t>
      </w:r>
      <w:r w:rsidR="00685533" w:rsidRPr="00A97B17">
        <w:rPr>
          <w:szCs w:val="20"/>
        </w:rPr>
        <w:t xml:space="preserve"> termín</w:t>
      </w:r>
      <w:r w:rsidR="00685533">
        <w:rPr>
          <w:szCs w:val="20"/>
        </w:rPr>
        <w:t>u</w:t>
      </w:r>
      <w:r w:rsidR="00685533" w:rsidRPr="00A97B17">
        <w:rPr>
          <w:szCs w:val="20"/>
        </w:rPr>
        <w:t xml:space="preserve"> odevzdání výkazů do</w:t>
      </w:r>
      <w:r w:rsidR="00CE67F4">
        <w:rPr>
          <w:szCs w:val="20"/>
        </w:rPr>
        <w:t> </w:t>
      </w:r>
      <w:r w:rsidR="00685533" w:rsidRPr="00A97B17">
        <w:rPr>
          <w:szCs w:val="20"/>
        </w:rPr>
        <w:t>CSÚIS do 25.</w:t>
      </w:r>
      <w:r>
        <w:rPr>
          <w:szCs w:val="20"/>
        </w:rPr>
        <w:t> </w:t>
      </w:r>
      <w:r w:rsidR="00685533" w:rsidRPr="00A97B17">
        <w:rPr>
          <w:szCs w:val="20"/>
        </w:rPr>
        <w:t>2.</w:t>
      </w:r>
      <w:r>
        <w:rPr>
          <w:szCs w:val="20"/>
        </w:rPr>
        <w:t> </w:t>
      </w:r>
      <w:r w:rsidR="00685533" w:rsidRPr="00A97B17">
        <w:rPr>
          <w:szCs w:val="20"/>
        </w:rPr>
        <w:t>201</w:t>
      </w:r>
      <w:r w:rsidR="00427C88">
        <w:rPr>
          <w:szCs w:val="20"/>
        </w:rPr>
        <w:t>4</w:t>
      </w:r>
      <w:r w:rsidR="00685533" w:rsidRPr="00A97B17">
        <w:rPr>
          <w:szCs w:val="20"/>
        </w:rPr>
        <w:t xml:space="preserve"> nebylo možno daň stanovit jiným způsobem). Daň ve výši </w:t>
      </w:r>
      <w:r w:rsidR="00427C88">
        <w:rPr>
          <w:szCs w:val="20"/>
        </w:rPr>
        <w:t>21.888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tis.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Kč byla zaúčtována na nákladový účet 591</w:t>
      </w:r>
      <w:r w:rsidR="00685533">
        <w:rPr>
          <w:szCs w:val="20"/>
        </w:rPr>
        <w:t xml:space="preserve"> </w:t>
      </w:r>
      <w:r w:rsidR="00685533" w:rsidRPr="00A97B17">
        <w:rPr>
          <w:szCs w:val="20"/>
        </w:rPr>
        <w:t>a</w:t>
      </w:r>
      <w:r w:rsidR="00685533">
        <w:rPr>
          <w:szCs w:val="20"/>
        </w:rPr>
        <w:t> </w:t>
      </w:r>
      <w:r w:rsidR="00685533" w:rsidRPr="00A97B17">
        <w:rPr>
          <w:szCs w:val="20"/>
        </w:rPr>
        <w:t>zároveň ve stejné výši na výnosový účet 682. Po zpracování daňového přiznání za rok 201</w:t>
      </w:r>
      <w:r w:rsidR="00427C88">
        <w:rPr>
          <w:szCs w:val="20"/>
        </w:rPr>
        <w:t>3</w:t>
      </w:r>
      <w:r w:rsidR="00685533">
        <w:rPr>
          <w:szCs w:val="20"/>
        </w:rPr>
        <w:t xml:space="preserve">, </w:t>
      </w:r>
      <w:r w:rsidR="00685533" w:rsidRPr="00A97B17">
        <w:rPr>
          <w:szCs w:val="20"/>
        </w:rPr>
        <w:t>tj. do</w:t>
      </w:r>
      <w:r w:rsidR="00685533">
        <w:rPr>
          <w:szCs w:val="20"/>
        </w:rPr>
        <w:t> </w:t>
      </w:r>
      <w:r w:rsidR="00685533" w:rsidRPr="00A97B17">
        <w:rPr>
          <w:szCs w:val="20"/>
        </w:rPr>
        <w:t>30.</w:t>
      </w:r>
      <w:r w:rsidR="00685533">
        <w:rPr>
          <w:szCs w:val="20"/>
        </w:rPr>
        <w:t> </w:t>
      </w:r>
      <w:r w:rsidR="00685533" w:rsidRPr="00A97B17">
        <w:rPr>
          <w:szCs w:val="20"/>
        </w:rPr>
        <w:t>6.</w:t>
      </w:r>
      <w:r w:rsidR="00685533">
        <w:rPr>
          <w:szCs w:val="20"/>
        </w:rPr>
        <w:t> </w:t>
      </w:r>
      <w:r w:rsidR="00685533" w:rsidRPr="00A97B17">
        <w:rPr>
          <w:szCs w:val="20"/>
        </w:rPr>
        <w:t>201</w:t>
      </w:r>
      <w:r w:rsidR="00427C88">
        <w:rPr>
          <w:szCs w:val="20"/>
        </w:rPr>
        <w:t>4</w:t>
      </w:r>
      <w:r w:rsidR="00685533">
        <w:rPr>
          <w:szCs w:val="20"/>
        </w:rPr>
        <w:t xml:space="preserve"> (</w:t>
      </w:r>
      <w:r w:rsidR="00685533" w:rsidRPr="00A97B17">
        <w:rPr>
          <w:szCs w:val="20"/>
        </w:rPr>
        <w:t>daň za</w:t>
      </w:r>
      <w:r w:rsidR="001D1C06">
        <w:rPr>
          <w:szCs w:val="20"/>
        </w:rPr>
        <w:t> </w:t>
      </w:r>
      <w:r w:rsidR="00685533" w:rsidRPr="00A97B17">
        <w:rPr>
          <w:szCs w:val="20"/>
        </w:rPr>
        <w:t>kraj zpracovává daňový poradce) se konečná výše pohledávky a závazku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daně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příjmu kraje vypořádá s</w:t>
      </w:r>
      <w:r w:rsidR="001E7BF2">
        <w:rPr>
          <w:szCs w:val="20"/>
        </w:rPr>
        <w:t> </w:t>
      </w:r>
      <w:r w:rsidR="00685533" w:rsidRPr="00A97B17">
        <w:rPr>
          <w:szCs w:val="20"/>
        </w:rPr>
        <w:t>dohadnými účty a rozdíl se zaúčtuje již do nákladů a výnosů dalšího účetního období (tj.</w:t>
      </w:r>
      <w:r w:rsidR="001D1C06">
        <w:rPr>
          <w:szCs w:val="20"/>
        </w:rPr>
        <w:t> </w:t>
      </w:r>
      <w:r w:rsidR="00685533" w:rsidRPr="00A97B17">
        <w:rPr>
          <w:szCs w:val="20"/>
        </w:rPr>
        <w:t>roku 201</w:t>
      </w:r>
      <w:r w:rsidR="00427C88">
        <w:rPr>
          <w:szCs w:val="20"/>
        </w:rPr>
        <w:t>4</w:t>
      </w:r>
      <w:r w:rsidR="00685533" w:rsidRPr="00A97B17">
        <w:rPr>
          <w:szCs w:val="20"/>
        </w:rPr>
        <w:t>). Rozdíl mezi daní stanovenou odhadem a konečnou výši daně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příjmů za rok 201</w:t>
      </w:r>
      <w:r w:rsidR="00427C88">
        <w:rPr>
          <w:szCs w:val="20"/>
        </w:rPr>
        <w:t>2</w:t>
      </w:r>
      <w:r w:rsidR="00685533" w:rsidRPr="00A97B17">
        <w:rPr>
          <w:szCs w:val="20"/>
        </w:rPr>
        <w:t xml:space="preserve"> </w:t>
      </w:r>
      <w:r w:rsidR="00685533">
        <w:rPr>
          <w:szCs w:val="20"/>
        </w:rPr>
        <w:t xml:space="preserve">byl ve výši </w:t>
      </w:r>
      <w:r w:rsidR="00427C88">
        <w:rPr>
          <w:szCs w:val="20"/>
        </w:rPr>
        <w:t>4.797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tis.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Kč a byl proúčtován do</w:t>
      </w:r>
      <w:r w:rsidR="00CE67F4">
        <w:rPr>
          <w:szCs w:val="20"/>
        </w:rPr>
        <w:t> </w:t>
      </w:r>
      <w:r w:rsidR="00685533" w:rsidRPr="00A97B17">
        <w:rPr>
          <w:szCs w:val="20"/>
        </w:rPr>
        <w:t>nákladů a výnosů roku 201</w:t>
      </w:r>
      <w:r w:rsidR="00427C88">
        <w:rPr>
          <w:szCs w:val="20"/>
        </w:rPr>
        <w:t>3</w:t>
      </w:r>
      <w:r w:rsidR="00685533" w:rsidRPr="00A97B17">
        <w:rPr>
          <w:szCs w:val="20"/>
        </w:rPr>
        <w:t>, proto celková daň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 xml:space="preserve">příjmů </w:t>
      </w:r>
      <w:r w:rsidR="00BE09BF">
        <w:rPr>
          <w:szCs w:val="20"/>
        </w:rPr>
        <w:t>v</w:t>
      </w:r>
      <w:r w:rsidR="001E7BF2">
        <w:rPr>
          <w:szCs w:val="20"/>
        </w:rPr>
        <w:t> </w:t>
      </w:r>
      <w:r w:rsidR="00BE09BF">
        <w:rPr>
          <w:szCs w:val="20"/>
        </w:rPr>
        <w:t>r.</w:t>
      </w:r>
      <w:r w:rsidR="00BE09BF" w:rsidRPr="00A97B17">
        <w:rPr>
          <w:szCs w:val="20"/>
        </w:rPr>
        <w:t> </w:t>
      </w:r>
      <w:r w:rsidR="00BE09BF">
        <w:rPr>
          <w:szCs w:val="20"/>
        </w:rPr>
        <w:t xml:space="preserve">2013 </w:t>
      </w:r>
      <w:r w:rsidR="00685533" w:rsidRPr="00A97B17">
        <w:rPr>
          <w:szCs w:val="20"/>
        </w:rPr>
        <w:t xml:space="preserve">činila </w:t>
      </w:r>
      <w:r w:rsidR="00427C88">
        <w:rPr>
          <w:szCs w:val="20"/>
        </w:rPr>
        <w:t xml:space="preserve">částku </w:t>
      </w:r>
      <w:r w:rsidR="00BE09BF">
        <w:rPr>
          <w:szCs w:val="20"/>
        </w:rPr>
        <w:t>26.685</w:t>
      </w:r>
      <w:r w:rsidR="00BE09BF" w:rsidRPr="00A97B17">
        <w:rPr>
          <w:szCs w:val="20"/>
        </w:rPr>
        <w:t> </w:t>
      </w:r>
      <w:r w:rsidR="00685533" w:rsidRPr="00A97B17">
        <w:rPr>
          <w:szCs w:val="20"/>
        </w:rPr>
        <w:t>tis.</w:t>
      </w:r>
      <w:r w:rsidR="00BE09BF" w:rsidRPr="00A97B17">
        <w:rPr>
          <w:szCs w:val="20"/>
        </w:rPr>
        <w:t> </w:t>
      </w:r>
      <w:r w:rsidR="00685533" w:rsidRPr="00A97B17">
        <w:rPr>
          <w:szCs w:val="20"/>
        </w:rPr>
        <w:t xml:space="preserve">Kč. </w:t>
      </w:r>
      <w:r w:rsidR="00685533" w:rsidRPr="00161CA6">
        <w:rPr>
          <w:szCs w:val="20"/>
        </w:rPr>
        <w:t>Výše daně nemá vliv na výsledek</w:t>
      </w:r>
      <w:r w:rsidR="001D1C06" w:rsidRPr="00161CA6">
        <w:rPr>
          <w:szCs w:val="20"/>
        </w:rPr>
        <w:t xml:space="preserve"> hospodaření</w:t>
      </w:r>
      <w:r w:rsidR="00685533" w:rsidRPr="00161CA6">
        <w:rPr>
          <w:szCs w:val="20"/>
        </w:rPr>
        <w:t xml:space="preserve">, protože částka daně </w:t>
      </w:r>
      <w:r w:rsidR="001D1C06" w:rsidRPr="00161CA6">
        <w:rPr>
          <w:szCs w:val="20"/>
        </w:rPr>
        <w:t xml:space="preserve">je </w:t>
      </w:r>
      <w:r w:rsidR="00685533" w:rsidRPr="00161CA6">
        <w:rPr>
          <w:szCs w:val="20"/>
        </w:rPr>
        <w:t xml:space="preserve">zaúčtována do </w:t>
      </w:r>
      <w:r w:rsidR="001D1C06" w:rsidRPr="00161CA6">
        <w:rPr>
          <w:szCs w:val="20"/>
        </w:rPr>
        <w:t xml:space="preserve">nákladů a do </w:t>
      </w:r>
      <w:r w:rsidR="00685533" w:rsidRPr="00161CA6">
        <w:rPr>
          <w:szCs w:val="20"/>
        </w:rPr>
        <w:t xml:space="preserve">výnosů </w:t>
      </w:r>
      <w:r w:rsidR="001D1C06" w:rsidRPr="00161CA6">
        <w:rPr>
          <w:szCs w:val="20"/>
        </w:rPr>
        <w:t xml:space="preserve">daného </w:t>
      </w:r>
      <w:r w:rsidR="00685533" w:rsidRPr="00161CA6">
        <w:rPr>
          <w:szCs w:val="20"/>
        </w:rPr>
        <w:t>účetního období</w:t>
      </w:r>
      <w:r w:rsidR="00EB3916" w:rsidRPr="00161CA6">
        <w:rPr>
          <w:szCs w:val="20"/>
        </w:rPr>
        <w:t xml:space="preserve"> </w:t>
      </w:r>
      <w:r w:rsidR="001D1C06" w:rsidRPr="00161CA6">
        <w:rPr>
          <w:szCs w:val="20"/>
        </w:rPr>
        <w:t xml:space="preserve">ve stejné </w:t>
      </w:r>
      <w:r w:rsidR="00EB3916" w:rsidRPr="00161CA6">
        <w:rPr>
          <w:szCs w:val="20"/>
        </w:rPr>
        <w:t>výši.</w:t>
      </w:r>
      <w:r w:rsidR="00685533" w:rsidRPr="00A97B17">
        <w:rPr>
          <w:szCs w:val="20"/>
        </w:rPr>
        <w:t xml:space="preserve"> </w:t>
      </w:r>
    </w:p>
    <w:p w:rsidR="00685533" w:rsidRDefault="00685533" w:rsidP="00FB3163">
      <w:pPr>
        <w:pStyle w:val="Nadpis2"/>
      </w:pPr>
      <w:bookmarkStart w:id="29" w:name="_Toc388005078"/>
      <w:r w:rsidRPr="000D7FC2">
        <w:t>Výnosy</w:t>
      </w:r>
      <w:bookmarkEnd w:id="29"/>
    </w:p>
    <w:p w:rsidR="00161CA6" w:rsidRDefault="004830B6" w:rsidP="004830B6">
      <w:pPr>
        <w:pStyle w:val="Mjtext"/>
        <w:rPr>
          <w:szCs w:val="20"/>
        </w:rPr>
      </w:pPr>
      <w:r w:rsidRPr="003875D1">
        <w:rPr>
          <w:szCs w:val="20"/>
          <w:u w:val="single"/>
        </w:rPr>
        <w:t>Výnosy</w:t>
      </w:r>
      <w:r w:rsidRPr="002A0303">
        <w:rPr>
          <w:szCs w:val="20"/>
        </w:rPr>
        <w:t xml:space="preserve"> </w:t>
      </w:r>
      <w:r w:rsidRPr="00E31ECB">
        <w:rPr>
          <w:szCs w:val="20"/>
        </w:rPr>
        <w:t xml:space="preserve">kraje tvoří </w:t>
      </w:r>
      <w:r>
        <w:rPr>
          <w:szCs w:val="20"/>
        </w:rPr>
        <w:t xml:space="preserve">výnosy </w:t>
      </w:r>
      <w:r w:rsidRPr="00E31ECB">
        <w:rPr>
          <w:szCs w:val="20"/>
        </w:rPr>
        <w:t>z</w:t>
      </w:r>
      <w:r w:rsidR="001E7BF2">
        <w:rPr>
          <w:szCs w:val="20"/>
        </w:rPr>
        <w:t> </w:t>
      </w:r>
      <w:r w:rsidRPr="00E31ECB">
        <w:rPr>
          <w:szCs w:val="20"/>
        </w:rPr>
        <w:t>činnosti, finanční</w:t>
      </w:r>
      <w:r>
        <w:rPr>
          <w:szCs w:val="20"/>
        </w:rPr>
        <w:t xml:space="preserve"> výnosy</w:t>
      </w:r>
      <w:r w:rsidRPr="00E31ECB">
        <w:rPr>
          <w:szCs w:val="20"/>
        </w:rPr>
        <w:t xml:space="preserve">, </w:t>
      </w:r>
      <w:r>
        <w:rPr>
          <w:szCs w:val="20"/>
        </w:rPr>
        <w:t>výnosy z</w:t>
      </w:r>
      <w:r w:rsidR="001E7BF2">
        <w:rPr>
          <w:szCs w:val="20"/>
        </w:rPr>
        <w:t> </w:t>
      </w:r>
      <w:r w:rsidRPr="00E31ECB">
        <w:rPr>
          <w:szCs w:val="20"/>
        </w:rPr>
        <w:t>transfe</w:t>
      </w:r>
      <w:r>
        <w:rPr>
          <w:szCs w:val="20"/>
        </w:rPr>
        <w:t>rů</w:t>
      </w:r>
      <w:r w:rsidRPr="00E31ECB">
        <w:rPr>
          <w:szCs w:val="20"/>
        </w:rPr>
        <w:t xml:space="preserve"> </w:t>
      </w:r>
      <w:r w:rsidR="001D1C06">
        <w:rPr>
          <w:szCs w:val="20"/>
        </w:rPr>
        <w:t xml:space="preserve">a </w:t>
      </w:r>
      <w:r>
        <w:rPr>
          <w:szCs w:val="20"/>
        </w:rPr>
        <w:t>výnosy ze sdílených daní a poplatků</w:t>
      </w:r>
      <w:r w:rsidRPr="00E31ECB">
        <w:rPr>
          <w:szCs w:val="20"/>
        </w:rPr>
        <w:t xml:space="preserve">. </w:t>
      </w:r>
      <w:r>
        <w:rPr>
          <w:szCs w:val="20"/>
        </w:rPr>
        <w:t>Výnosy</w:t>
      </w:r>
      <w:r w:rsidRPr="00E31ECB">
        <w:rPr>
          <w:szCs w:val="20"/>
        </w:rPr>
        <w:t xml:space="preserve"> se v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průběhu roku časově nerozlišují, časové rozlišení </w:t>
      </w:r>
      <w:r>
        <w:rPr>
          <w:szCs w:val="20"/>
        </w:rPr>
        <w:t xml:space="preserve">výnosů </w:t>
      </w:r>
      <w:r w:rsidRPr="00E31ECB">
        <w:rPr>
          <w:szCs w:val="20"/>
        </w:rPr>
        <w:t>je realizováno k</w:t>
      </w:r>
      <w:r w:rsidR="001E7BF2">
        <w:rPr>
          <w:szCs w:val="20"/>
        </w:rPr>
        <w:t> </w:t>
      </w:r>
      <w:r w:rsidRPr="00E31ECB">
        <w:rPr>
          <w:szCs w:val="20"/>
        </w:rPr>
        <w:t>termínu účetní závěrky, tj. k</w:t>
      </w:r>
      <w:r w:rsidR="001E7BF2">
        <w:rPr>
          <w:szCs w:val="20"/>
        </w:rPr>
        <w:t> </w:t>
      </w:r>
      <w:r w:rsidRPr="00E31ECB">
        <w:rPr>
          <w:szCs w:val="20"/>
        </w:rPr>
        <w:t>31.</w:t>
      </w:r>
      <w:r>
        <w:rPr>
          <w:szCs w:val="20"/>
        </w:rPr>
        <w:t> </w:t>
      </w:r>
      <w:r w:rsidRPr="00E31ECB">
        <w:rPr>
          <w:szCs w:val="20"/>
        </w:rPr>
        <w:t>12.</w:t>
      </w:r>
      <w:r>
        <w:rPr>
          <w:szCs w:val="20"/>
        </w:rPr>
        <w:t> </w:t>
      </w:r>
      <w:r w:rsidRPr="00E31ECB">
        <w:rPr>
          <w:szCs w:val="20"/>
        </w:rPr>
        <w:t>201</w:t>
      </w:r>
      <w:r w:rsidR="00741CD1">
        <w:rPr>
          <w:szCs w:val="20"/>
        </w:rPr>
        <w:t>3</w:t>
      </w:r>
      <w:r w:rsidRPr="00E31ECB">
        <w:rPr>
          <w:szCs w:val="20"/>
        </w:rPr>
        <w:t>.</w:t>
      </w:r>
      <w:r>
        <w:rPr>
          <w:szCs w:val="20"/>
        </w:rPr>
        <w:t xml:space="preserve"> K</w:t>
      </w:r>
      <w:r w:rsidR="001E7BF2">
        <w:rPr>
          <w:szCs w:val="20"/>
        </w:rPr>
        <w:t> </w:t>
      </w:r>
      <w:r>
        <w:rPr>
          <w:szCs w:val="20"/>
        </w:rPr>
        <w:t xml:space="preserve">tomuto datu dochází </w:t>
      </w:r>
      <w:r w:rsidRPr="00E31ECB">
        <w:rPr>
          <w:szCs w:val="20"/>
        </w:rPr>
        <w:t>k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časovému rozlišení </w:t>
      </w:r>
      <w:r w:rsidR="001D1C06" w:rsidRPr="00E31ECB">
        <w:rPr>
          <w:szCs w:val="20"/>
        </w:rPr>
        <w:t>především</w:t>
      </w:r>
      <w:r w:rsidR="001D1C06">
        <w:rPr>
          <w:szCs w:val="20"/>
        </w:rPr>
        <w:t xml:space="preserve"> </w:t>
      </w:r>
      <w:r>
        <w:rPr>
          <w:szCs w:val="20"/>
        </w:rPr>
        <w:t xml:space="preserve">přijatých </w:t>
      </w:r>
      <w:r w:rsidRPr="00E31ECB">
        <w:rPr>
          <w:szCs w:val="20"/>
        </w:rPr>
        <w:t>neinvestičních transferů</w:t>
      </w:r>
      <w:r>
        <w:rPr>
          <w:szCs w:val="20"/>
        </w:rPr>
        <w:t xml:space="preserve"> (investiční transfery nevstupují do výnosů, jsou účtovány na účtu </w:t>
      </w:r>
      <w:smartTag w:uri="urn:schemas-microsoft-com:office:smarttags" w:element="metricconverter">
        <w:smartTagPr>
          <w:attr w:name="ProductID" w:val="403 a"/>
        </w:smartTagPr>
        <w:r>
          <w:rPr>
            <w:szCs w:val="20"/>
          </w:rPr>
          <w:t>403 a</w:t>
        </w:r>
      </w:smartTag>
      <w:r>
        <w:rPr>
          <w:szCs w:val="20"/>
        </w:rPr>
        <w:t xml:space="preserve"> do výnosů jsou rozpouštěny při odpisování majetku).</w:t>
      </w:r>
      <w:r w:rsidRPr="00E31ECB">
        <w:rPr>
          <w:szCs w:val="20"/>
        </w:rPr>
        <w:t xml:space="preserve"> </w:t>
      </w:r>
      <w:r w:rsidR="001D1C06">
        <w:rPr>
          <w:szCs w:val="20"/>
        </w:rPr>
        <w:t>U</w:t>
      </w:r>
      <w:r w:rsidRPr="00E31ECB">
        <w:rPr>
          <w:szCs w:val="20"/>
        </w:rPr>
        <w:t xml:space="preserve"> akcí, na které je poskytnut transfer, se náklady a výnosy časově rozlišují tak, aby byly náklady a výnosy zaúčtované do daného účetního období v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alikvotní části. </w:t>
      </w:r>
      <w:r>
        <w:rPr>
          <w:szCs w:val="20"/>
        </w:rPr>
        <w:t>Srovnatelnost jednotlivých druhů nákladů a výnosů je mnohdy vzhledem ke</w:t>
      </w:r>
      <w:r w:rsidR="00DE5CCD">
        <w:rPr>
          <w:szCs w:val="20"/>
        </w:rPr>
        <w:t> </w:t>
      </w:r>
      <w:r>
        <w:rPr>
          <w:szCs w:val="20"/>
        </w:rPr>
        <w:t>změnám metodiky účtování v</w:t>
      </w:r>
      <w:r w:rsidR="001E7BF2">
        <w:rPr>
          <w:szCs w:val="20"/>
        </w:rPr>
        <w:t> </w:t>
      </w:r>
      <w:r>
        <w:rPr>
          <w:szCs w:val="20"/>
        </w:rPr>
        <w:t xml:space="preserve">jednotlivých letech těžko </w:t>
      </w:r>
      <w:r w:rsidRPr="00161CA6">
        <w:rPr>
          <w:szCs w:val="20"/>
        </w:rPr>
        <w:t>proveditelná.</w:t>
      </w:r>
      <w:r>
        <w:rPr>
          <w:szCs w:val="20"/>
        </w:rPr>
        <w:t xml:space="preserve"> Změna metodiky účtování vyplývá </w:t>
      </w:r>
      <w:r w:rsidR="00161CA6">
        <w:rPr>
          <w:szCs w:val="20"/>
        </w:rPr>
        <w:t xml:space="preserve">zejména </w:t>
      </w:r>
      <w:r>
        <w:rPr>
          <w:szCs w:val="20"/>
        </w:rPr>
        <w:t xml:space="preserve">ze změn zákonných předpisů a </w:t>
      </w:r>
      <w:r w:rsidR="00904F42">
        <w:rPr>
          <w:szCs w:val="20"/>
        </w:rPr>
        <w:t>stanovených</w:t>
      </w:r>
      <w:r w:rsidR="00161CA6">
        <w:rPr>
          <w:szCs w:val="20"/>
        </w:rPr>
        <w:t xml:space="preserve"> postupů účtování v</w:t>
      </w:r>
      <w:r w:rsidR="001E7BF2">
        <w:rPr>
          <w:szCs w:val="20"/>
        </w:rPr>
        <w:t> </w:t>
      </w:r>
      <w:r w:rsidR="00161CA6">
        <w:rPr>
          <w:szCs w:val="20"/>
        </w:rPr>
        <w:t>ČÚS.</w:t>
      </w:r>
    </w:p>
    <w:p w:rsidR="004830B6" w:rsidRDefault="004830B6" w:rsidP="00F13647">
      <w:pPr>
        <w:pStyle w:val="Nadpis3"/>
      </w:pPr>
      <w:bookmarkStart w:id="30" w:name="_Toc388005079"/>
      <w:r w:rsidRPr="000D7FC2">
        <w:t>Výnosy z</w:t>
      </w:r>
      <w:r w:rsidR="001E7BF2">
        <w:t> </w:t>
      </w:r>
      <w:r w:rsidRPr="000D7FC2">
        <w:t>činnosti</w:t>
      </w:r>
      <w:bookmarkEnd w:id="30"/>
    </w:p>
    <w:p w:rsidR="00267BAE" w:rsidRDefault="002A0303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1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1.11</w:t>
        </w:r>
      </w:smartTag>
      <w:r w:rsidR="001D1C06" w:rsidRPr="002C14AA">
        <w:rPr>
          <w:rFonts w:ascii="Tahoma" w:hAnsi="Tahoma" w:cs="Tahoma"/>
          <w:sz w:val="20"/>
          <w:szCs w:val="20"/>
        </w:rPr>
        <w:t xml:space="preserve"> jsou</w:t>
      </w:r>
      <w:r w:rsidR="001D1C06">
        <w:rPr>
          <w:rFonts w:ascii="Tahoma" w:hAnsi="Tahoma" w:cs="Tahoma"/>
          <w:sz w:val="20"/>
          <w:szCs w:val="20"/>
        </w:rPr>
        <w:t xml:space="preserve"> uvedeny údaje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činnosti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B95B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B95B9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2A0303" w:rsidRDefault="00267BAE" w:rsidP="002A0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830B6" w:rsidRPr="00F71C9E" w:rsidRDefault="004830B6" w:rsidP="00D949DA">
      <w:pPr>
        <w:pStyle w:val="Styltab"/>
      </w:pPr>
      <w:r>
        <w:lastRenderedPageBreak/>
        <w:t>Výnosy z</w:t>
      </w:r>
      <w:r w:rsidR="001E7BF2">
        <w:t> </w:t>
      </w:r>
      <w:r>
        <w:t>činnosti</w:t>
      </w:r>
      <w:r w:rsidR="00D949DA">
        <w:tab/>
      </w:r>
      <w:r w:rsidRPr="00F71C9E">
        <w:t>v</w:t>
      </w:r>
      <w:r w:rsidR="001E7BF2">
        <w:t> </w:t>
      </w:r>
      <w:r w:rsidRPr="00F71C9E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308"/>
        <w:gridCol w:w="1333"/>
        <w:gridCol w:w="1218"/>
      </w:tblGrid>
      <w:tr w:rsidR="004830B6" w:rsidRPr="00D70D02" w:rsidTr="0086061B">
        <w:trPr>
          <w:trHeight w:val="255"/>
        </w:trPr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86061B" w:rsidRPr="00D70D02" w:rsidTr="0086061B">
        <w:trPr>
          <w:trHeight w:val="406"/>
        </w:trPr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FA48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FA48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61B" w:rsidRPr="00384B6D" w:rsidRDefault="00CC7473" w:rsidP="00E63DE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(2013-2012)</w:t>
            </w:r>
            <w:r w:rsidR="0086061B" w:rsidRPr="00384B6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  <w:tr w:rsidR="0086061B" w:rsidRPr="00D70D02" w:rsidTr="0086061B">
        <w:trPr>
          <w:trHeight w:val="51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I. Výnosy z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1B">
              <w:rPr>
                <w:rFonts w:ascii="Tahoma" w:hAnsi="Tahoma" w:cs="Tahoma"/>
                <w:b/>
                <w:bCs/>
                <w:sz w:val="16"/>
                <w:szCs w:val="16"/>
              </w:rPr>
              <w:t>138 452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61B">
              <w:rPr>
                <w:rFonts w:ascii="Tahoma" w:hAnsi="Tahoma" w:cs="Tahoma"/>
                <w:b/>
                <w:bCs/>
                <w:sz w:val="16"/>
                <w:szCs w:val="16"/>
              </w:rPr>
              <w:t>157 136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-18 684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1 138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-793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pronájmu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52 441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51 799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642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prodaného zboží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1 934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-1 934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605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správních poplatků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2 286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2 186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100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609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vlastních výkonů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2 291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6 438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-4 147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smluvní pokuty a úroky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prodlení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1 156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2 324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-1 168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8 558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11 584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-3 026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materiálu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398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7 506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-7 108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646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DHM kromě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39 326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11 236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28 090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647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12 408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28 522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-16 114</w:t>
            </w:r>
          </w:p>
        </w:tc>
      </w:tr>
      <w:tr w:rsidR="0086061B" w:rsidRPr="00D70D02" w:rsidTr="00427C88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– čerpání fondů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2 500</w:t>
            </w:r>
          </w:p>
        </w:tc>
      </w:tr>
      <w:tr w:rsidR="0086061B" w:rsidRPr="00D70D02" w:rsidTr="00427C88">
        <w:trPr>
          <w:trHeight w:val="270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D70D02" w:rsidRDefault="0086061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649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16 743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061B">
              <w:rPr>
                <w:rFonts w:ascii="Tahoma" w:hAnsi="Tahoma" w:cs="Tahoma"/>
                <w:sz w:val="16"/>
                <w:szCs w:val="16"/>
              </w:rPr>
              <w:t>32 469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61B" w:rsidRPr="0086061B" w:rsidRDefault="0086061B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6061B">
              <w:rPr>
                <w:rFonts w:ascii="Tahoma" w:hAnsi="Tahoma" w:cs="Tahoma"/>
                <w:i/>
                <w:iCs/>
                <w:sz w:val="16"/>
                <w:szCs w:val="16"/>
              </w:rPr>
              <w:t>-15 726</w:t>
            </w:r>
          </w:p>
        </w:tc>
      </w:tr>
    </w:tbl>
    <w:p w:rsidR="004830B6" w:rsidRDefault="004830B6" w:rsidP="00F13647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534894">
        <w:rPr>
          <w:szCs w:val="20"/>
          <w:u w:val="single"/>
        </w:rPr>
        <w:t>činnosti</w:t>
      </w:r>
      <w:r>
        <w:rPr>
          <w:szCs w:val="20"/>
        </w:rPr>
        <w:t xml:space="preserve"> představují různé výnosy, které vyplývají z</w:t>
      </w:r>
      <w:r w:rsidR="001E7BF2">
        <w:rPr>
          <w:szCs w:val="20"/>
        </w:rPr>
        <w:t> </w:t>
      </w:r>
      <w:r>
        <w:rPr>
          <w:szCs w:val="20"/>
        </w:rPr>
        <w:t>činnosti k</w:t>
      </w:r>
      <w:r w:rsidR="00BF262E">
        <w:rPr>
          <w:szCs w:val="20"/>
        </w:rPr>
        <w:t>raje</w:t>
      </w:r>
      <w:r w:rsidR="00ED2F16">
        <w:rPr>
          <w:szCs w:val="20"/>
        </w:rPr>
        <w:t xml:space="preserve"> a z</w:t>
      </w:r>
      <w:r w:rsidR="001E7BF2">
        <w:rPr>
          <w:szCs w:val="20"/>
        </w:rPr>
        <w:t> </w:t>
      </w:r>
      <w:r w:rsidR="00BF262E">
        <w:rPr>
          <w:szCs w:val="20"/>
        </w:rPr>
        <w:t>prodeje majetku</w:t>
      </w:r>
      <w:r w:rsidR="00ED2F16">
        <w:rPr>
          <w:szCs w:val="20"/>
        </w:rPr>
        <w:t>;</w:t>
      </w:r>
      <w:r w:rsidR="00FE2D83">
        <w:rPr>
          <w:szCs w:val="20"/>
        </w:rPr>
        <w:t> </w:t>
      </w:r>
      <w:r w:rsidR="00BF262E">
        <w:rPr>
          <w:szCs w:val="20"/>
        </w:rPr>
        <w:t xml:space="preserve">jsou </w:t>
      </w:r>
      <w:r>
        <w:rPr>
          <w:szCs w:val="20"/>
        </w:rPr>
        <w:t>vykaz</w:t>
      </w:r>
      <w:r w:rsidR="00BF262E">
        <w:rPr>
          <w:szCs w:val="20"/>
        </w:rPr>
        <w:t>ovány</w:t>
      </w:r>
      <w:r>
        <w:rPr>
          <w:szCs w:val="20"/>
        </w:rPr>
        <w:t xml:space="preserve"> na těchto syntetických účtech: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prodeje služeb</w:t>
      </w:r>
      <w:r w:rsidRPr="00FA35D0">
        <w:rPr>
          <w:szCs w:val="20"/>
        </w:rPr>
        <w:t xml:space="preserve"> </w:t>
      </w:r>
      <w:r w:rsidR="001E7BF2">
        <w:rPr>
          <w:szCs w:val="20"/>
        </w:rPr>
        <w:t>–</w:t>
      </w:r>
      <w:r w:rsidRPr="00FA35D0">
        <w:rPr>
          <w:szCs w:val="20"/>
        </w:rPr>
        <w:t xml:space="preserve"> na účtu </w:t>
      </w:r>
      <w:r>
        <w:rPr>
          <w:szCs w:val="20"/>
        </w:rPr>
        <w:t>602</w:t>
      </w:r>
      <w:r w:rsidRPr="00FA35D0">
        <w:rPr>
          <w:szCs w:val="20"/>
        </w:rPr>
        <w:t xml:space="preserve"> se účtují</w:t>
      </w:r>
      <w:r>
        <w:rPr>
          <w:szCs w:val="20"/>
        </w:rPr>
        <w:t xml:space="preserve"> výnosy z</w:t>
      </w:r>
      <w:r w:rsidR="001E7BF2">
        <w:rPr>
          <w:szCs w:val="20"/>
        </w:rPr>
        <w:t> </w:t>
      </w:r>
      <w:r>
        <w:rPr>
          <w:szCs w:val="20"/>
        </w:rPr>
        <w:t>prodeje pokutových bloků, příjmy z</w:t>
      </w:r>
      <w:r w:rsidR="001E7BF2">
        <w:rPr>
          <w:szCs w:val="20"/>
        </w:rPr>
        <w:t> </w:t>
      </w:r>
      <w:r>
        <w:rPr>
          <w:szCs w:val="20"/>
        </w:rPr>
        <w:t>reklamy a ostatní výnosy za zabezpečení služeb</w:t>
      </w:r>
      <w:r w:rsidRPr="00ED5A32">
        <w:rPr>
          <w:szCs w:val="20"/>
        </w:rPr>
        <w:t>.</w:t>
      </w:r>
      <w:r>
        <w:rPr>
          <w:szCs w:val="20"/>
        </w:rPr>
        <w:t xml:space="preserve"> Celkem bylo dosaženo výnosů za </w:t>
      </w:r>
      <w:r w:rsidR="00ED2F16">
        <w:rPr>
          <w:szCs w:val="20"/>
        </w:rPr>
        <w:t>345</w:t>
      </w:r>
      <w:r w:rsidR="00ED2F16" w:rsidRPr="00CA1E6A">
        <w:rPr>
          <w:szCs w:val="20"/>
        </w:rPr>
        <w:t> </w:t>
      </w:r>
      <w:r w:rsidR="00ED2F16">
        <w:rPr>
          <w:szCs w:val="20"/>
        </w:rPr>
        <w:t>t</w:t>
      </w:r>
      <w:r>
        <w:rPr>
          <w:szCs w:val="20"/>
        </w:rPr>
        <w:t>is.</w:t>
      </w:r>
      <w:r w:rsidR="00ED2F16" w:rsidRPr="00CA1E6A">
        <w:rPr>
          <w:szCs w:val="20"/>
        </w:rPr>
        <w:t> </w:t>
      </w:r>
      <w:r>
        <w:rPr>
          <w:szCs w:val="20"/>
        </w:rPr>
        <w:t>Kč.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pronájmu</w:t>
      </w:r>
      <w:r w:rsidRPr="00161CA6">
        <w:rPr>
          <w:szCs w:val="20"/>
        </w:rPr>
        <w:t xml:space="preserve"> </w:t>
      </w:r>
      <w:r>
        <w:rPr>
          <w:szCs w:val="20"/>
        </w:rPr>
        <w:t>– na účtu 603 se účtují výnosy z</w:t>
      </w:r>
      <w:r w:rsidR="001E7BF2">
        <w:rPr>
          <w:szCs w:val="20"/>
        </w:rPr>
        <w:t> </w:t>
      </w:r>
      <w:r>
        <w:rPr>
          <w:szCs w:val="20"/>
        </w:rPr>
        <w:t xml:space="preserve">pronájmů movitých věcí, pozemků, </w:t>
      </w:r>
      <w:r w:rsidR="009E6594">
        <w:rPr>
          <w:szCs w:val="20"/>
        </w:rPr>
        <w:t xml:space="preserve">ostatních </w:t>
      </w:r>
      <w:r>
        <w:rPr>
          <w:szCs w:val="20"/>
        </w:rPr>
        <w:t xml:space="preserve">nemovitostí a pronájmů podniků. Celkové výnosy činily </w:t>
      </w:r>
      <w:r w:rsidR="009E6594">
        <w:rPr>
          <w:szCs w:val="20"/>
        </w:rPr>
        <w:t>52.441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 xml:space="preserve">toho pronájem podniku Letiště Ostrava-Mošnov </w:t>
      </w:r>
      <w:r w:rsidR="00904F42">
        <w:rPr>
          <w:szCs w:val="20"/>
        </w:rPr>
        <w:t>představoval v</w:t>
      </w:r>
      <w:r>
        <w:rPr>
          <w:szCs w:val="20"/>
        </w:rPr>
        <w:t xml:space="preserve">ýnos ve výši </w:t>
      </w:r>
      <w:r w:rsidR="009E6594">
        <w:rPr>
          <w:szCs w:val="20"/>
        </w:rPr>
        <w:t>19.678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 w:rsidR="009E6594">
        <w:rPr>
          <w:szCs w:val="20"/>
        </w:rPr>
        <w:t>K</w:t>
      </w:r>
      <w:r>
        <w:rPr>
          <w:szCs w:val="20"/>
        </w:rPr>
        <w:t>č a pronájem podniku Nemocnice Nový</w:t>
      </w:r>
      <w:r w:rsidR="00161CA6">
        <w:rPr>
          <w:szCs w:val="20"/>
        </w:rPr>
        <w:t> </w:t>
      </w:r>
      <w:r>
        <w:rPr>
          <w:szCs w:val="20"/>
        </w:rPr>
        <w:t>Jičín výnos 25.</w:t>
      </w:r>
      <w:r w:rsidR="009E6594">
        <w:rPr>
          <w:szCs w:val="20"/>
        </w:rPr>
        <w:t>342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>
        <w:rPr>
          <w:szCs w:val="20"/>
        </w:rPr>
        <w:t>Kč.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 w:rsidRPr="00F953C7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F953C7">
        <w:rPr>
          <w:szCs w:val="20"/>
          <w:u w:val="single"/>
        </w:rPr>
        <w:t>prodaného zboží</w:t>
      </w:r>
      <w:r w:rsidRPr="00161CA6">
        <w:rPr>
          <w:szCs w:val="20"/>
        </w:rPr>
        <w:t xml:space="preserve"> </w:t>
      </w:r>
      <w:r w:rsidR="00904F42">
        <w:rPr>
          <w:szCs w:val="20"/>
        </w:rPr>
        <w:t>– na účtu 604 byl</w:t>
      </w:r>
      <w:r w:rsidR="009E6594">
        <w:rPr>
          <w:szCs w:val="20"/>
        </w:rPr>
        <w:t xml:space="preserve"> v</w:t>
      </w:r>
      <w:r w:rsidR="001E7BF2">
        <w:rPr>
          <w:szCs w:val="20"/>
        </w:rPr>
        <w:t> </w:t>
      </w:r>
      <w:r w:rsidR="009E6594">
        <w:rPr>
          <w:szCs w:val="20"/>
        </w:rPr>
        <w:t>r. 2012</w:t>
      </w:r>
      <w:r w:rsidRPr="00F953C7">
        <w:rPr>
          <w:szCs w:val="20"/>
        </w:rPr>
        <w:t xml:space="preserve"> vykázán výnos z</w:t>
      </w:r>
      <w:r w:rsidR="001E7BF2">
        <w:rPr>
          <w:szCs w:val="20"/>
        </w:rPr>
        <w:t> </w:t>
      </w:r>
      <w:r w:rsidRPr="00F953C7">
        <w:rPr>
          <w:szCs w:val="20"/>
        </w:rPr>
        <w:t xml:space="preserve">prodeje zboží převzatého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Pr="00F953C7">
          <w:rPr>
            <w:szCs w:val="20"/>
          </w:rPr>
          <w:t>1.</w:t>
        </w:r>
        <w:r>
          <w:rPr>
            <w:szCs w:val="20"/>
          </w:rPr>
          <w:t> </w:t>
        </w:r>
        <w:r w:rsidRPr="00F953C7">
          <w:rPr>
            <w:szCs w:val="20"/>
          </w:rPr>
          <w:t>1.</w:t>
        </w:r>
        <w:r>
          <w:rPr>
            <w:szCs w:val="20"/>
          </w:rPr>
          <w:t> </w:t>
        </w:r>
        <w:r w:rsidRPr="00F953C7">
          <w:rPr>
            <w:szCs w:val="20"/>
          </w:rPr>
          <w:t>2012</w:t>
        </w:r>
      </w:smartTag>
      <w:r w:rsidRPr="00F953C7">
        <w:rPr>
          <w:szCs w:val="20"/>
        </w:rPr>
        <w:t xml:space="preserve"> ze zrušené Nemocnice s</w:t>
      </w:r>
      <w:r w:rsidR="001E7BF2">
        <w:rPr>
          <w:szCs w:val="20"/>
        </w:rPr>
        <w:t> </w:t>
      </w:r>
      <w:r w:rsidRPr="00F953C7">
        <w:rPr>
          <w:szCs w:val="20"/>
        </w:rPr>
        <w:t>poliklinikou v</w:t>
      </w:r>
      <w:r w:rsidR="001E7BF2">
        <w:rPr>
          <w:szCs w:val="20"/>
        </w:rPr>
        <w:t> </w:t>
      </w:r>
      <w:r w:rsidRPr="00F953C7">
        <w:rPr>
          <w:szCs w:val="20"/>
        </w:rPr>
        <w:t>Novém Jičíně</w:t>
      </w:r>
      <w:r w:rsidR="00161CA6">
        <w:rPr>
          <w:szCs w:val="20"/>
        </w:rPr>
        <w:t>, p.o</w:t>
      </w:r>
      <w:r w:rsidRPr="00F953C7">
        <w:rPr>
          <w:szCs w:val="20"/>
        </w:rPr>
        <w:t>. Zboží bylo prodáno Nemocnici Nový</w:t>
      </w:r>
      <w:r w:rsidR="00161CA6">
        <w:rPr>
          <w:szCs w:val="20"/>
        </w:rPr>
        <w:t> </w:t>
      </w:r>
      <w:r w:rsidRPr="00F953C7">
        <w:rPr>
          <w:szCs w:val="20"/>
        </w:rPr>
        <w:t xml:space="preserve">Jičín, a.s. </w:t>
      </w:r>
      <w:r>
        <w:rPr>
          <w:szCs w:val="20"/>
        </w:rPr>
        <w:t>v</w:t>
      </w:r>
      <w:r w:rsidR="001E7BF2">
        <w:rPr>
          <w:szCs w:val="20"/>
        </w:rPr>
        <w:t> </w:t>
      </w:r>
      <w:r>
        <w:rPr>
          <w:szCs w:val="20"/>
        </w:rPr>
        <w:t>rámci pronájmu podniku</w:t>
      </w:r>
      <w:r w:rsidR="00BF262E">
        <w:rPr>
          <w:szCs w:val="20"/>
        </w:rPr>
        <w:t xml:space="preserve"> za </w:t>
      </w:r>
      <w:r>
        <w:rPr>
          <w:szCs w:val="20"/>
        </w:rPr>
        <w:t>1.934</w:t>
      </w:r>
      <w:r w:rsidR="009E6594" w:rsidRPr="00CA1E6A">
        <w:rPr>
          <w:szCs w:val="20"/>
        </w:rPr>
        <w:t> </w:t>
      </w:r>
      <w:r w:rsidR="009E6594">
        <w:rPr>
          <w:szCs w:val="20"/>
        </w:rPr>
        <w:t>t</w:t>
      </w:r>
      <w:r>
        <w:rPr>
          <w:szCs w:val="20"/>
        </w:rPr>
        <w:t>is.</w:t>
      </w:r>
      <w:r w:rsidR="009E6594" w:rsidRPr="00CA1E6A">
        <w:rPr>
          <w:szCs w:val="20"/>
        </w:rPr>
        <w:t> </w:t>
      </w:r>
      <w:r>
        <w:rPr>
          <w:szCs w:val="20"/>
        </w:rPr>
        <w:t>Kč</w:t>
      </w:r>
      <w:r w:rsidR="009E6594">
        <w:rPr>
          <w:szCs w:val="20"/>
        </w:rPr>
        <w:t>; v</w:t>
      </w:r>
      <w:r w:rsidR="001E7BF2">
        <w:rPr>
          <w:szCs w:val="20"/>
        </w:rPr>
        <w:t> </w:t>
      </w:r>
      <w:r w:rsidR="009E6594">
        <w:rPr>
          <w:szCs w:val="20"/>
        </w:rPr>
        <w:t>r. 2013 nebyl prodej realizován.</w:t>
      </w:r>
    </w:p>
    <w:p w:rsidR="004830B6" w:rsidRPr="001A6003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F953C7">
        <w:rPr>
          <w:szCs w:val="20"/>
          <w:u w:val="single"/>
        </w:rPr>
        <w:t>Výnosy ze správních poplatků</w:t>
      </w:r>
      <w:r w:rsidRPr="00B6582C">
        <w:rPr>
          <w:szCs w:val="20"/>
        </w:rPr>
        <w:t xml:space="preserve"> </w:t>
      </w:r>
      <w:r w:rsidRPr="00F953C7">
        <w:rPr>
          <w:szCs w:val="20"/>
        </w:rPr>
        <w:t xml:space="preserve">– na </w:t>
      </w:r>
      <w:r>
        <w:rPr>
          <w:szCs w:val="20"/>
        </w:rPr>
        <w:t>účtu 605 se účtují výnosy z</w:t>
      </w:r>
      <w:r w:rsidR="001E7BF2">
        <w:rPr>
          <w:szCs w:val="20"/>
        </w:rPr>
        <w:t> </w:t>
      </w:r>
      <w:r>
        <w:rPr>
          <w:szCs w:val="20"/>
        </w:rPr>
        <w:t>příjmů za správní poplatky stanovené zákonem č.</w:t>
      </w:r>
      <w:r w:rsidR="00957A2B" w:rsidRPr="00CA1E6A">
        <w:rPr>
          <w:szCs w:val="20"/>
        </w:rPr>
        <w:t> </w:t>
      </w:r>
      <w:r w:rsidR="00957A2B">
        <w:rPr>
          <w:szCs w:val="20"/>
        </w:rPr>
        <w:t>634/2004</w:t>
      </w:r>
      <w:r w:rsidR="00957A2B" w:rsidRPr="00CA1E6A">
        <w:rPr>
          <w:szCs w:val="20"/>
        </w:rPr>
        <w:t> </w:t>
      </w:r>
      <w:r>
        <w:rPr>
          <w:szCs w:val="20"/>
        </w:rPr>
        <w:t>Sb., o správních poplat</w:t>
      </w:r>
      <w:r w:rsidR="00BF262E">
        <w:rPr>
          <w:szCs w:val="20"/>
        </w:rPr>
        <w:t>c</w:t>
      </w:r>
      <w:r>
        <w:rPr>
          <w:szCs w:val="20"/>
        </w:rPr>
        <w:t>ích (</w:t>
      </w:r>
      <w:r w:rsidR="009E6594">
        <w:rPr>
          <w:szCs w:val="20"/>
        </w:rPr>
        <w:t>2.286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 w:rsidR="009E6594">
        <w:rPr>
          <w:szCs w:val="20"/>
        </w:rPr>
        <w:t>K</w:t>
      </w:r>
      <w:r>
        <w:rPr>
          <w:szCs w:val="20"/>
        </w:rPr>
        <w:t>č). Tyto poplatky jsou hrazeny většinou v</w:t>
      </w:r>
      <w:r w:rsidR="001E7BF2">
        <w:rPr>
          <w:szCs w:val="20"/>
        </w:rPr>
        <w:t> </w:t>
      </w:r>
      <w:r>
        <w:rPr>
          <w:szCs w:val="20"/>
        </w:rPr>
        <w:t>hotovosti</w:t>
      </w:r>
      <w:r w:rsidR="00957A2B">
        <w:rPr>
          <w:szCs w:val="20"/>
        </w:rPr>
        <w:t xml:space="preserve"> na příslušných odborech</w:t>
      </w:r>
      <w:r>
        <w:rPr>
          <w:szCs w:val="20"/>
        </w:rPr>
        <w:t>.</w:t>
      </w:r>
    </w:p>
    <w:p w:rsidR="004830B6" w:rsidRPr="00AD475E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Jiné 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vlastních výkonů</w:t>
      </w:r>
      <w:r w:rsidRPr="00161CA6">
        <w:rPr>
          <w:szCs w:val="20"/>
        </w:rPr>
        <w:t xml:space="preserve"> </w:t>
      </w:r>
      <w:r w:rsidRPr="001A6003">
        <w:rPr>
          <w:szCs w:val="20"/>
        </w:rPr>
        <w:t>– na účtu</w:t>
      </w:r>
      <w:r>
        <w:rPr>
          <w:szCs w:val="20"/>
        </w:rPr>
        <w:t xml:space="preserve"> 609 se účtují výnosy z</w:t>
      </w:r>
      <w:r w:rsidR="001E7BF2">
        <w:rPr>
          <w:szCs w:val="20"/>
        </w:rPr>
        <w:t> </w:t>
      </w:r>
      <w:r>
        <w:rPr>
          <w:szCs w:val="20"/>
        </w:rPr>
        <w:t xml:space="preserve">věcných </w:t>
      </w:r>
      <w:r w:rsidRPr="00161CA6">
        <w:rPr>
          <w:szCs w:val="20"/>
        </w:rPr>
        <w:t>břemen (2.</w:t>
      </w:r>
      <w:r w:rsidR="00957A2B">
        <w:rPr>
          <w:szCs w:val="20"/>
        </w:rPr>
        <w:t>167</w:t>
      </w:r>
      <w:r w:rsidR="00957A2B" w:rsidRPr="00CA1E6A">
        <w:rPr>
          <w:szCs w:val="20"/>
        </w:rPr>
        <w:t> </w:t>
      </w:r>
      <w:r w:rsidRPr="00161CA6">
        <w:rPr>
          <w:szCs w:val="20"/>
        </w:rPr>
        <w:t>tis.</w:t>
      </w:r>
      <w:r w:rsidR="00957A2B" w:rsidRPr="00CA1E6A">
        <w:rPr>
          <w:szCs w:val="20"/>
        </w:rPr>
        <w:t> </w:t>
      </w:r>
      <w:r w:rsidRPr="00161CA6">
        <w:rPr>
          <w:szCs w:val="20"/>
        </w:rPr>
        <w:t>Kč)</w:t>
      </w:r>
      <w:r>
        <w:rPr>
          <w:szCs w:val="20"/>
        </w:rPr>
        <w:t xml:space="preserve"> a dále pak výnosy kraje za zabezpečení různých akcí</w:t>
      </w:r>
      <w:r w:rsidR="00957A2B">
        <w:rPr>
          <w:szCs w:val="20"/>
        </w:rPr>
        <w:t xml:space="preserve"> (124</w:t>
      </w:r>
      <w:r w:rsidR="00957A2B" w:rsidRPr="00CA1E6A">
        <w:rPr>
          <w:szCs w:val="20"/>
        </w:rPr>
        <w:t> </w:t>
      </w:r>
      <w:r w:rsidR="00957A2B">
        <w:rPr>
          <w:szCs w:val="20"/>
        </w:rPr>
        <w:t>tis.</w:t>
      </w:r>
      <w:r w:rsidR="00957A2B" w:rsidRPr="00CA1E6A">
        <w:rPr>
          <w:szCs w:val="20"/>
        </w:rPr>
        <w:t> </w:t>
      </w:r>
      <w:r w:rsidR="00957A2B">
        <w:rPr>
          <w:szCs w:val="20"/>
        </w:rPr>
        <w:t>Kč)</w:t>
      </w:r>
      <w:r w:rsidR="00BC1DDE">
        <w:rPr>
          <w:szCs w:val="20"/>
        </w:rPr>
        <w:t>. O</w:t>
      </w:r>
      <w:r w:rsidR="00957A2B">
        <w:rPr>
          <w:szCs w:val="20"/>
        </w:rPr>
        <w:t>proti r.</w:t>
      </w:r>
      <w:r w:rsidR="00957A2B" w:rsidRPr="00CA1E6A">
        <w:rPr>
          <w:szCs w:val="20"/>
        </w:rPr>
        <w:t> </w:t>
      </w:r>
      <w:r>
        <w:rPr>
          <w:szCs w:val="20"/>
        </w:rPr>
        <w:t xml:space="preserve">2012 </w:t>
      </w:r>
      <w:r w:rsidR="00BC1DDE">
        <w:rPr>
          <w:szCs w:val="20"/>
        </w:rPr>
        <w:t xml:space="preserve">došlo ke snížení </w:t>
      </w:r>
      <w:r w:rsidR="00B6582C">
        <w:rPr>
          <w:szCs w:val="20"/>
        </w:rPr>
        <w:t>výnosů</w:t>
      </w:r>
      <w:r w:rsidR="00BC1DDE">
        <w:rPr>
          <w:szCs w:val="20"/>
        </w:rPr>
        <w:t xml:space="preserve"> o 4.147</w:t>
      </w:r>
      <w:r w:rsidR="00B6582C" w:rsidRPr="00741CD1">
        <w:rPr>
          <w:szCs w:val="20"/>
        </w:rPr>
        <w:t> </w:t>
      </w:r>
      <w:r w:rsidR="00BC1DDE">
        <w:rPr>
          <w:szCs w:val="20"/>
        </w:rPr>
        <w:t>tis.</w:t>
      </w:r>
      <w:r w:rsidR="00BC1DDE" w:rsidRPr="00CA1E6A">
        <w:rPr>
          <w:szCs w:val="20"/>
        </w:rPr>
        <w:t> </w:t>
      </w:r>
      <w:r w:rsidR="00BC1DDE">
        <w:rPr>
          <w:szCs w:val="20"/>
        </w:rPr>
        <w:t>Kč (v r.</w:t>
      </w:r>
      <w:r w:rsidR="00BC1DDE" w:rsidRPr="00CA1E6A">
        <w:rPr>
          <w:szCs w:val="20"/>
        </w:rPr>
        <w:t> </w:t>
      </w:r>
      <w:r w:rsidR="00BC1DDE">
        <w:rPr>
          <w:szCs w:val="20"/>
        </w:rPr>
        <w:t xml:space="preserve">2012 </w:t>
      </w:r>
      <w:r w:rsidR="00B6582C">
        <w:rPr>
          <w:szCs w:val="20"/>
        </w:rPr>
        <w:t xml:space="preserve">zde byly např. </w:t>
      </w:r>
      <w:r w:rsidR="00BC1DDE">
        <w:rPr>
          <w:szCs w:val="20"/>
        </w:rPr>
        <w:t>výnosy za zab</w:t>
      </w:r>
      <w:r>
        <w:rPr>
          <w:szCs w:val="20"/>
        </w:rPr>
        <w:t xml:space="preserve">ezpečení </w:t>
      </w:r>
      <w:r w:rsidRPr="00AD475E">
        <w:rPr>
          <w:szCs w:val="20"/>
        </w:rPr>
        <w:t>V.</w:t>
      </w:r>
      <w:r w:rsidR="002A0303">
        <w:rPr>
          <w:szCs w:val="20"/>
        </w:rPr>
        <w:t> </w:t>
      </w:r>
      <w:r w:rsidRPr="00AD475E">
        <w:rPr>
          <w:szCs w:val="20"/>
        </w:rPr>
        <w:t>zimní olympiády dětí a</w:t>
      </w:r>
      <w:r w:rsidR="00BC1DDE" w:rsidRPr="00CA1E6A">
        <w:rPr>
          <w:szCs w:val="20"/>
        </w:rPr>
        <w:t> </w:t>
      </w:r>
      <w:r w:rsidRPr="00AD475E">
        <w:rPr>
          <w:szCs w:val="20"/>
        </w:rPr>
        <w:t>mládeže ČR 2012</w:t>
      </w:r>
      <w:r w:rsidR="00BC1DDE">
        <w:rPr>
          <w:szCs w:val="20"/>
        </w:rPr>
        <w:t xml:space="preserve"> ve výši </w:t>
      </w:r>
      <w:r>
        <w:rPr>
          <w:szCs w:val="20"/>
        </w:rPr>
        <w:t>4.41</w:t>
      </w:r>
      <w:r w:rsidR="000D7898">
        <w:rPr>
          <w:szCs w:val="20"/>
        </w:rPr>
        <w:t>8</w:t>
      </w:r>
      <w:r w:rsidR="00B6582C" w:rsidRPr="00741CD1">
        <w:rPr>
          <w:szCs w:val="20"/>
        </w:rPr>
        <w:t> </w:t>
      </w:r>
      <w:r>
        <w:rPr>
          <w:szCs w:val="20"/>
        </w:rPr>
        <w:t>tis.</w:t>
      </w:r>
      <w:r w:rsidR="00B6582C" w:rsidRPr="00741CD1">
        <w:rPr>
          <w:szCs w:val="20"/>
        </w:rPr>
        <w:t> </w:t>
      </w:r>
      <w:r>
        <w:rPr>
          <w:szCs w:val="20"/>
        </w:rPr>
        <w:t>Kč).</w:t>
      </w:r>
      <w:r w:rsidR="002A0303">
        <w:rPr>
          <w:szCs w:val="20"/>
        </w:rPr>
        <w:t xml:space="preserve"> Celkové výnosy jsou </w:t>
      </w:r>
      <w:r w:rsidR="00BC1DDE">
        <w:rPr>
          <w:szCs w:val="20"/>
        </w:rPr>
        <w:t>v</w:t>
      </w:r>
      <w:r w:rsidR="001E7BF2">
        <w:rPr>
          <w:szCs w:val="20"/>
        </w:rPr>
        <w:t> </w:t>
      </w:r>
      <w:r w:rsidR="00BC1DDE">
        <w:rPr>
          <w:szCs w:val="20"/>
        </w:rPr>
        <w:t>r.</w:t>
      </w:r>
      <w:r w:rsidR="00786BC4">
        <w:rPr>
          <w:szCs w:val="20"/>
        </w:rPr>
        <w:t xml:space="preserve"> </w:t>
      </w:r>
      <w:r w:rsidR="00BC1DDE">
        <w:rPr>
          <w:szCs w:val="20"/>
        </w:rPr>
        <w:t>2013 ve</w:t>
      </w:r>
      <w:r w:rsidR="002A0303">
        <w:rPr>
          <w:szCs w:val="20"/>
        </w:rPr>
        <w:t xml:space="preserve"> výši </w:t>
      </w:r>
      <w:r w:rsidR="00BC1DDE">
        <w:rPr>
          <w:szCs w:val="20"/>
        </w:rPr>
        <w:t>2.291</w:t>
      </w:r>
      <w:r w:rsidR="00BC1DDE" w:rsidRPr="00CA1E6A">
        <w:rPr>
          <w:szCs w:val="20"/>
        </w:rPr>
        <w:t> </w:t>
      </w:r>
      <w:r w:rsidR="002A0303">
        <w:rPr>
          <w:szCs w:val="20"/>
        </w:rPr>
        <w:t>tis. Kč.</w:t>
      </w:r>
    </w:p>
    <w:p w:rsidR="004830B6" w:rsidRPr="00FA0F91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Smluvní pokuty a úroky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prodlení</w:t>
      </w:r>
      <w:r w:rsidRPr="00161CA6">
        <w:rPr>
          <w:szCs w:val="20"/>
        </w:rPr>
        <w:t xml:space="preserve"> </w:t>
      </w:r>
      <w:r w:rsidRPr="00703D19">
        <w:rPr>
          <w:szCs w:val="20"/>
        </w:rPr>
        <w:t>– na účtu</w:t>
      </w:r>
      <w:r>
        <w:rPr>
          <w:szCs w:val="20"/>
        </w:rPr>
        <w:t xml:space="preserve"> 641 se účtují výnosy z</w:t>
      </w:r>
      <w:r w:rsidR="001E7BF2">
        <w:rPr>
          <w:szCs w:val="20"/>
        </w:rPr>
        <w:t> </w:t>
      </w:r>
      <w:r>
        <w:rPr>
          <w:szCs w:val="20"/>
        </w:rPr>
        <w:t>pokut a úroků z</w:t>
      </w:r>
      <w:r w:rsidR="001E7BF2">
        <w:rPr>
          <w:szCs w:val="20"/>
        </w:rPr>
        <w:t> </w:t>
      </w:r>
      <w:r>
        <w:rPr>
          <w:szCs w:val="20"/>
        </w:rPr>
        <w:t>prodlení v</w:t>
      </w:r>
      <w:r w:rsidR="001E7BF2">
        <w:rPr>
          <w:szCs w:val="20"/>
        </w:rPr>
        <w:t> </w:t>
      </w:r>
      <w:r>
        <w:rPr>
          <w:szCs w:val="20"/>
        </w:rPr>
        <w:t>oblasti soukromoprávních vztahů, které vyplývají z</w:t>
      </w:r>
      <w:r w:rsidR="001E7BF2">
        <w:rPr>
          <w:szCs w:val="20"/>
        </w:rPr>
        <w:t> </w:t>
      </w:r>
      <w:r>
        <w:rPr>
          <w:szCs w:val="20"/>
        </w:rPr>
        <w:t>porušení ustanovení kupních smluv</w:t>
      </w:r>
      <w:r w:rsidR="00B6582C">
        <w:rPr>
          <w:szCs w:val="20"/>
        </w:rPr>
        <w:t>,</w:t>
      </w:r>
      <w:r>
        <w:rPr>
          <w:szCs w:val="20"/>
        </w:rPr>
        <w:t xml:space="preserve"> smluv o</w:t>
      </w:r>
      <w:r w:rsidR="00786BC4" w:rsidRPr="00CA1E6A">
        <w:rPr>
          <w:szCs w:val="20"/>
        </w:rPr>
        <w:t> </w:t>
      </w:r>
      <w:r>
        <w:rPr>
          <w:szCs w:val="20"/>
        </w:rPr>
        <w:t>dílo</w:t>
      </w:r>
      <w:r w:rsidR="00786BC4">
        <w:rPr>
          <w:szCs w:val="20"/>
        </w:rPr>
        <w:t xml:space="preserve"> a jiných smluv</w:t>
      </w:r>
      <w:r>
        <w:rPr>
          <w:szCs w:val="20"/>
        </w:rPr>
        <w:t>, dále pak sankce za nedodržení smluv v</w:t>
      </w:r>
      <w:r w:rsidR="001E7BF2">
        <w:rPr>
          <w:szCs w:val="20"/>
        </w:rPr>
        <w:t> </w:t>
      </w:r>
      <w:r>
        <w:rPr>
          <w:szCs w:val="20"/>
        </w:rPr>
        <w:t>oblasti  zabezpečení veřejné dopravy</w:t>
      </w:r>
      <w:r w:rsidR="002A0303">
        <w:rPr>
          <w:szCs w:val="20"/>
        </w:rPr>
        <w:t xml:space="preserve">. Celková výše </w:t>
      </w:r>
      <w:r w:rsidR="00161CA6">
        <w:rPr>
          <w:szCs w:val="20"/>
        </w:rPr>
        <w:t>sankcí</w:t>
      </w:r>
      <w:r w:rsidR="002A0303">
        <w:rPr>
          <w:szCs w:val="20"/>
        </w:rPr>
        <w:t xml:space="preserve"> je </w:t>
      </w:r>
      <w:r w:rsidR="00786BC4">
        <w:rPr>
          <w:szCs w:val="20"/>
        </w:rPr>
        <w:t>1.156</w:t>
      </w:r>
      <w:r w:rsidR="00786BC4" w:rsidRPr="00CA1E6A">
        <w:rPr>
          <w:szCs w:val="20"/>
        </w:rPr>
        <w:t> </w:t>
      </w:r>
      <w:r>
        <w:rPr>
          <w:szCs w:val="20"/>
        </w:rPr>
        <w:t>tis.</w:t>
      </w:r>
      <w:r w:rsidR="00786BC4" w:rsidRPr="00CA1E6A">
        <w:rPr>
          <w:szCs w:val="20"/>
        </w:rPr>
        <w:t> </w:t>
      </w:r>
      <w:r>
        <w:rPr>
          <w:szCs w:val="20"/>
        </w:rPr>
        <w:t>Kč.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Jiné pokuty a penále</w:t>
      </w:r>
      <w:r w:rsidRPr="002A0303">
        <w:rPr>
          <w:szCs w:val="20"/>
        </w:rPr>
        <w:t xml:space="preserve"> </w:t>
      </w:r>
      <w:r w:rsidRPr="00FA0F91">
        <w:rPr>
          <w:szCs w:val="20"/>
        </w:rPr>
        <w:t>– na účtu 642</w:t>
      </w:r>
      <w:r>
        <w:rPr>
          <w:szCs w:val="20"/>
        </w:rPr>
        <w:t xml:space="preserve"> se účtují výnosy z</w:t>
      </w:r>
      <w:r w:rsidR="001E7BF2">
        <w:rPr>
          <w:szCs w:val="20"/>
        </w:rPr>
        <w:t> </w:t>
      </w:r>
      <w:r>
        <w:rPr>
          <w:szCs w:val="20"/>
        </w:rPr>
        <w:t>pokut a správních deliktů</w:t>
      </w:r>
      <w:r w:rsidR="00786BC4">
        <w:rPr>
          <w:szCs w:val="20"/>
        </w:rPr>
        <w:t xml:space="preserve"> v</w:t>
      </w:r>
      <w:r w:rsidR="001E7BF2">
        <w:rPr>
          <w:szCs w:val="20"/>
        </w:rPr>
        <w:t> </w:t>
      </w:r>
      <w:r w:rsidR="00786BC4">
        <w:rPr>
          <w:szCs w:val="20"/>
        </w:rPr>
        <w:t>oblasti veřejnoprávních vztahů</w:t>
      </w:r>
      <w:r>
        <w:rPr>
          <w:szCs w:val="20"/>
        </w:rPr>
        <w:t>. Na celkovém výnosu z</w:t>
      </w:r>
      <w:r w:rsidR="001E7BF2">
        <w:rPr>
          <w:szCs w:val="20"/>
        </w:rPr>
        <w:t> </w:t>
      </w:r>
      <w:r>
        <w:rPr>
          <w:szCs w:val="20"/>
        </w:rPr>
        <w:t xml:space="preserve">pokut </w:t>
      </w:r>
      <w:r w:rsidR="00BD0306">
        <w:rPr>
          <w:szCs w:val="20"/>
        </w:rPr>
        <w:t xml:space="preserve">ve výši </w:t>
      </w:r>
      <w:r w:rsidR="00766115">
        <w:rPr>
          <w:szCs w:val="20"/>
        </w:rPr>
        <w:t>8.558</w:t>
      </w:r>
      <w:r w:rsidR="00766115" w:rsidRPr="00CA1E6A">
        <w:rPr>
          <w:szCs w:val="20"/>
        </w:rPr>
        <w:t> </w:t>
      </w:r>
      <w:r w:rsidR="00BD0306">
        <w:rPr>
          <w:szCs w:val="20"/>
        </w:rPr>
        <w:t>tis.</w:t>
      </w:r>
      <w:r w:rsidR="00766115" w:rsidRPr="00CA1E6A">
        <w:rPr>
          <w:szCs w:val="20"/>
        </w:rPr>
        <w:t> </w:t>
      </w:r>
      <w:r w:rsidR="00BD0306">
        <w:rPr>
          <w:szCs w:val="20"/>
        </w:rPr>
        <w:t>Kč</w:t>
      </w:r>
      <w:r>
        <w:rPr>
          <w:szCs w:val="20"/>
        </w:rPr>
        <w:t xml:space="preserve"> se nejvíce podílel odbor dopravy a silničního hospodářství (</w:t>
      </w:r>
      <w:r w:rsidR="00766115">
        <w:rPr>
          <w:szCs w:val="20"/>
        </w:rPr>
        <w:t>7.951</w:t>
      </w:r>
      <w:r>
        <w:rPr>
          <w:szCs w:val="20"/>
        </w:rPr>
        <w:t> tis.</w:t>
      </w:r>
      <w:r w:rsidR="00766115" w:rsidRPr="00CA1E6A">
        <w:rPr>
          <w:szCs w:val="20"/>
        </w:rPr>
        <w:t> </w:t>
      </w:r>
      <w:r>
        <w:rPr>
          <w:szCs w:val="20"/>
        </w:rPr>
        <w:t>Kč</w:t>
      </w:r>
      <w:r w:rsidR="00766115">
        <w:rPr>
          <w:szCs w:val="20"/>
        </w:rPr>
        <w:t xml:space="preserve"> – příjem z</w:t>
      </w:r>
      <w:r w:rsidR="001E7BF2">
        <w:rPr>
          <w:szCs w:val="20"/>
        </w:rPr>
        <w:t> </w:t>
      </w:r>
      <w:r w:rsidR="00766115">
        <w:rPr>
          <w:szCs w:val="20"/>
        </w:rPr>
        <w:t xml:space="preserve">pokut vč. </w:t>
      </w:r>
      <w:r w:rsidR="009829E5">
        <w:rPr>
          <w:szCs w:val="20"/>
        </w:rPr>
        <w:t xml:space="preserve">sankcí </w:t>
      </w:r>
      <w:r w:rsidR="00766115">
        <w:rPr>
          <w:szCs w:val="20"/>
        </w:rPr>
        <w:t>zahraničních dopravců</w:t>
      </w:r>
      <w:r>
        <w:rPr>
          <w:szCs w:val="20"/>
        </w:rPr>
        <w:t>)</w:t>
      </w:r>
      <w:r w:rsidR="00766115">
        <w:rPr>
          <w:szCs w:val="20"/>
        </w:rPr>
        <w:t>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prodeje materiálu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644 se účtují </w:t>
      </w:r>
      <w:r w:rsidRPr="00F953C7">
        <w:rPr>
          <w:szCs w:val="20"/>
        </w:rPr>
        <w:t>výnos</w:t>
      </w:r>
      <w:r>
        <w:rPr>
          <w:szCs w:val="20"/>
        </w:rPr>
        <w:t>y</w:t>
      </w:r>
      <w:r w:rsidRPr="00F953C7">
        <w:rPr>
          <w:szCs w:val="20"/>
        </w:rPr>
        <w:t xml:space="preserve"> z</w:t>
      </w:r>
      <w:r w:rsidR="001E7BF2">
        <w:rPr>
          <w:szCs w:val="20"/>
        </w:rPr>
        <w:t> </w:t>
      </w:r>
      <w:r w:rsidRPr="00F953C7">
        <w:rPr>
          <w:szCs w:val="20"/>
        </w:rPr>
        <w:t xml:space="preserve">prodeje </w:t>
      </w:r>
      <w:r>
        <w:rPr>
          <w:szCs w:val="20"/>
        </w:rPr>
        <w:t>materiálu. V</w:t>
      </w:r>
      <w:r w:rsidR="001E7BF2">
        <w:rPr>
          <w:szCs w:val="20"/>
        </w:rPr>
        <w:t> </w:t>
      </w:r>
      <w:r>
        <w:rPr>
          <w:szCs w:val="20"/>
        </w:rPr>
        <w:t xml:space="preserve">roce 2012 se jednalo </w:t>
      </w:r>
      <w:r w:rsidR="0077698C">
        <w:rPr>
          <w:szCs w:val="20"/>
        </w:rPr>
        <w:t xml:space="preserve">zejména </w:t>
      </w:r>
      <w:r>
        <w:rPr>
          <w:szCs w:val="20"/>
        </w:rPr>
        <w:t>o materiál</w:t>
      </w:r>
      <w:r w:rsidRPr="00F953C7">
        <w:rPr>
          <w:szCs w:val="20"/>
        </w:rPr>
        <w:t xml:space="preserve"> převzat</w:t>
      </w:r>
      <w:r>
        <w:rPr>
          <w:szCs w:val="20"/>
        </w:rPr>
        <w:t>ý</w:t>
      </w:r>
      <w:r w:rsidRPr="00F953C7">
        <w:rPr>
          <w:szCs w:val="20"/>
        </w:rPr>
        <w:t xml:space="preserve"> </w:t>
      </w:r>
      <w:smartTag w:uri="urn:schemas-microsoft-com:office:smarttags" w:element="date">
        <w:smartTagPr>
          <w:attr w:name="Year" w:val="2012"/>
          <w:attr w:name="Day" w:val="1"/>
          <w:attr w:name="Month" w:val="1"/>
          <w:attr w:name="ls" w:val="trans"/>
        </w:smartTagPr>
        <w:r w:rsidRPr="00F953C7">
          <w:rPr>
            <w:szCs w:val="20"/>
          </w:rPr>
          <w:t>1.</w:t>
        </w:r>
        <w:r>
          <w:rPr>
            <w:szCs w:val="20"/>
          </w:rPr>
          <w:t> </w:t>
        </w:r>
        <w:r w:rsidRPr="00F953C7">
          <w:rPr>
            <w:szCs w:val="20"/>
          </w:rPr>
          <w:t>1.</w:t>
        </w:r>
        <w:r>
          <w:rPr>
            <w:szCs w:val="20"/>
          </w:rPr>
          <w:t> </w:t>
        </w:r>
        <w:r w:rsidRPr="00F953C7">
          <w:rPr>
            <w:szCs w:val="20"/>
          </w:rPr>
          <w:t>2012</w:t>
        </w:r>
      </w:smartTag>
      <w:r w:rsidRPr="00F953C7">
        <w:rPr>
          <w:szCs w:val="20"/>
        </w:rPr>
        <w:t xml:space="preserve"> ze zrušené Nemocnic</w:t>
      </w:r>
      <w:r>
        <w:rPr>
          <w:szCs w:val="20"/>
        </w:rPr>
        <w:t>e s</w:t>
      </w:r>
      <w:r w:rsidR="001E7BF2">
        <w:rPr>
          <w:szCs w:val="20"/>
        </w:rPr>
        <w:t> </w:t>
      </w:r>
      <w:r>
        <w:rPr>
          <w:szCs w:val="20"/>
        </w:rPr>
        <w:t>poliklinikou v</w:t>
      </w:r>
      <w:r w:rsidR="001E7BF2">
        <w:rPr>
          <w:szCs w:val="20"/>
        </w:rPr>
        <w:t> </w:t>
      </w:r>
      <w:r>
        <w:rPr>
          <w:szCs w:val="20"/>
        </w:rPr>
        <w:t>Novém Jičíně</w:t>
      </w:r>
      <w:r w:rsidR="00161CA6">
        <w:rPr>
          <w:szCs w:val="20"/>
        </w:rPr>
        <w:t>, p.o.</w:t>
      </w:r>
      <w:r>
        <w:rPr>
          <w:szCs w:val="20"/>
        </w:rPr>
        <w:t xml:space="preserve">, který </w:t>
      </w:r>
      <w:r w:rsidRPr="00F953C7">
        <w:rPr>
          <w:szCs w:val="20"/>
        </w:rPr>
        <w:t xml:space="preserve">byl prodán Nemocnici Nový Jičín, a.s. </w:t>
      </w:r>
      <w:r>
        <w:rPr>
          <w:szCs w:val="20"/>
        </w:rPr>
        <w:t>v</w:t>
      </w:r>
      <w:r w:rsidR="001E7BF2">
        <w:rPr>
          <w:szCs w:val="20"/>
        </w:rPr>
        <w:t> </w:t>
      </w:r>
      <w:r>
        <w:rPr>
          <w:szCs w:val="20"/>
        </w:rPr>
        <w:t>rámci pronájmu podniku (5.838 tis. Kč)</w:t>
      </w:r>
      <w:r w:rsidR="0077698C">
        <w:rPr>
          <w:szCs w:val="20"/>
        </w:rPr>
        <w:t>.</w:t>
      </w:r>
      <w:r>
        <w:rPr>
          <w:szCs w:val="20"/>
        </w:rPr>
        <w:t xml:space="preserve"> </w:t>
      </w:r>
      <w:r w:rsidR="0077698C">
        <w:rPr>
          <w:szCs w:val="20"/>
        </w:rPr>
        <w:lastRenderedPageBreak/>
        <w:t>V</w:t>
      </w:r>
      <w:r w:rsidR="001E7BF2">
        <w:rPr>
          <w:szCs w:val="20"/>
        </w:rPr>
        <w:t> </w:t>
      </w:r>
      <w:r w:rsidR="0077698C">
        <w:rPr>
          <w:szCs w:val="20"/>
        </w:rPr>
        <w:t>r.</w:t>
      </w:r>
      <w:r w:rsidR="0077698C" w:rsidRPr="00CA1E6A">
        <w:rPr>
          <w:szCs w:val="20"/>
        </w:rPr>
        <w:t> </w:t>
      </w:r>
      <w:r w:rsidR="0077698C">
        <w:rPr>
          <w:szCs w:val="20"/>
        </w:rPr>
        <w:t>2013 se jedná zejména o</w:t>
      </w:r>
      <w:r>
        <w:rPr>
          <w:szCs w:val="20"/>
        </w:rPr>
        <w:t xml:space="preserve"> prodej vyfrézovaného materiálu při rekonstrukci silnic a ostatního materiálu </w:t>
      </w:r>
      <w:r w:rsidR="001E7BF2">
        <w:rPr>
          <w:szCs w:val="20"/>
        </w:rPr>
        <w:t>–</w:t>
      </w:r>
      <w:r w:rsidR="0077698C">
        <w:rPr>
          <w:szCs w:val="20"/>
        </w:rPr>
        <w:t xml:space="preserve"> </w:t>
      </w:r>
      <w:r w:rsidR="002A0303">
        <w:rPr>
          <w:szCs w:val="20"/>
        </w:rPr>
        <w:t>celkové výnosy jsou ve výši</w:t>
      </w:r>
      <w:r w:rsidR="00BD0306">
        <w:rPr>
          <w:szCs w:val="20"/>
        </w:rPr>
        <w:t xml:space="preserve"> </w:t>
      </w:r>
      <w:r w:rsidR="0077698C">
        <w:rPr>
          <w:szCs w:val="20"/>
        </w:rPr>
        <w:t>398</w:t>
      </w:r>
      <w:r w:rsidR="0077698C" w:rsidRPr="00CA1E6A">
        <w:rPr>
          <w:szCs w:val="20"/>
        </w:rPr>
        <w:t> </w:t>
      </w:r>
      <w:r w:rsidR="002A0303">
        <w:rPr>
          <w:szCs w:val="20"/>
        </w:rPr>
        <w:t>tis</w:t>
      </w:r>
      <w:r w:rsidR="0077698C">
        <w:rPr>
          <w:szCs w:val="20"/>
        </w:rPr>
        <w:t>.</w:t>
      </w:r>
      <w:r w:rsidR="0077698C" w:rsidRPr="00CA1E6A">
        <w:rPr>
          <w:szCs w:val="20"/>
        </w:rPr>
        <w:t> </w:t>
      </w:r>
      <w:r w:rsidR="002A0303">
        <w:rPr>
          <w:szCs w:val="20"/>
        </w:rPr>
        <w:t>Kč</w:t>
      </w:r>
      <w:r>
        <w:rPr>
          <w:szCs w:val="20"/>
        </w:rPr>
        <w:t>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 w:rsidRPr="007D0F6E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7D0F6E">
        <w:rPr>
          <w:szCs w:val="20"/>
          <w:u w:val="single"/>
        </w:rPr>
        <w:t>prodeje dlouhodobého hmotného majetku kromě pozemků</w:t>
      </w:r>
      <w:r>
        <w:rPr>
          <w:szCs w:val="20"/>
        </w:rPr>
        <w:t xml:space="preserve"> – na účtu 646 je účtován výnos z</w:t>
      </w:r>
      <w:r w:rsidR="001E7BF2">
        <w:rPr>
          <w:szCs w:val="20"/>
        </w:rPr>
        <w:t> </w:t>
      </w:r>
      <w:r>
        <w:rPr>
          <w:szCs w:val="20"/>
        </w:rPr>
        <w:t xml:space="preserve">prodeje nemovitostí (staveb) a dlouhodobého movitého majetku, které byly oceněny reálnou hodnotou. Celkový výnos byl </w:t>
      </w:r>
      <w:r w:rsidR="0077698C">
        <w:rPr>
          <w:szCs w:val="20"/>
        </w:rPr>
        <w:t>ve výši 39.326</w:t>
      </w:r>
      <w:r w:rsidR="0077698C" w:rsidRPr="00CA1E6A">
        <w:rPr>
          <w:szCs w:val="20"/>
        </w:rPr>
        <w:t> </w:t>
      </w:r>
      <w:r>
        <w:rPr>
          <w:szCs w:val="20"/>
        </w:rPr>
        <w:t>tis.</w:t>
      </w:r>
      <w:r w:rsidR="0077698C" w:rsidRPr="00CA1E6A">
        <w:rPr>
          <w:szCs w:val="20"/>
        </w:rPr>
        <w:t> </w:t>
      </w:r>
      <w:r>
        <w:rPr>
          <w:szCs w:val="20"/>
        </w:rPr>
        <w:t xml:space="preserve">Kč. Prodeje byly realizovány většinou </w:t>
      </w:r>
      <w:r w:rsidR="00C35406">
        <w:rPr>
          <w:szCs w:val="20"/>
        </w:rPr>
        <w:t>na</w:t>
      </w:r>
      <w:r w:rsidR="00CE67F4">
        <w:rPr>
          <w:szCs w:val="20"/>
        </w:rPr>
        <w:t> </w:t>
      </w:r>
      <w:r w:rsidR="00C35406">
        <w:rPr>
          <w:szCs w:val="20"/>
        </w:rPr>
        <w:t>základě kupních a směnných smluv</w:t>
      </w:r>
      <w:r w:rsidR="00B260AC">
        <w:rPr>
          <w:szCs w:val="20"/>
        </w:rPr>
        <w:t>, popř. dražby.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 w:rsidRPr="00CC3592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CC3592">
        <w:rPr>
          <w:szCs w:val="20"/>
          <w:u w:val="single"/>
        </w:rPr>
        <w:t>prodeje pozemků</w:t>
      </w:r>
      <w:r>
        <w:rPr>
          <w:szCs w:val="20"/>
        </w:rPr>
        <w:t xml:space="preserve"> – na účtu 647 je účtován výnos z</w:t>
      </w:r>
      <w:r w:rsidR="001E7BF2">
        <w:rPr>
          <w:szCs w:val="20"/>
        </w:rPr>
        <w:t> </w:t>
      </w:r>
      <w:r>
        <w:rPr>
          <w:szCs w:val="20"/>
        </w:rPr>
        <w:t>prodeje a ze směny</w:t>
      </w:r>
      <w:r w:rsidRPr="00CC3592">
        <w:rPr>
          <w:szCs w:val="20"/>
        </w:rPr>
        <w:t xml:space="preserve"> </w:t>
      </w:r>
      <w:r>
        <w:rPr>
          <w:szCs w:val="20"/>
        </w:rPr>
        <w:t>pozemků. Prodeje pozemků jsou uskutečňov</w:t>
      </w:r>
      <w:r w:rsidR="00B260AC">
        <w:rPr>
          <w:szCs w:val="20"/>
        </w:rPr>
        <w:t>ány na základě kupních smluv, popř.</w:t>
      </w:r>
      <w:r>
        <w:rPr>
          <w:szCs w:val="20"/>
        </w:rPr>
        <w:t xml:space="preserve"> dražb</w:t>
      </w:r>
      <w:r w:rsidR="00B260AC">
        <w:rPr>
          <w:szCs w:val="20"/>
        </w:rPr>
        <w:t>y</w:t>
      </w:r>
      <w:r>
        <w:rPr>
          <w:szCs w:val="20"/>
        </w:rPr>
        <w:t>, u směn na</w:t>
      </w:r>
      <w:r w:rsidR="00B260AC" w:rsidRPr="00CA1E6A">
        <w:rPr>
          <w:szCs w:val="20"/>
        </w:rPr>
        <w:t> </w:t>
      </w:r>
      <w:r>
        <w:rPr>
          <w:szCs w:val="20"/>
        </w:rPr>
        <w:t>základě směnných smluv. Celkový výnos z</w:t>
      </w:r>
      <w:r w:rsidR="001E7BF2">
        <w:rPr>
          <w:szCs w:val="20"/>
        </w:rPr>
        <w:t> </w:t>
      </w:r>
      <w:r>
        <w:rPr>
          <w:szCs w:val="20"/>
        </w:rPr>
        <w:t xml:space="preserve">prodeje pozemků byl </w:t>
      </w:r>
      <w:r w:rsidR="00B260AC">
        <w:rPr>
          <w:szCs w:val="20"/>
        </w:rPr>
        <w:t>12.408</w:t>
      </w:r>
      <w:r w:rsidR="00B260AC" w:rsidRPr="00CA1E6A">
        <w:rPr>
          <w:szCs w:val="20"/>
        </w:rPr>
        <w:t> </w:t>
      </w:r>
      <w:r w:rsidR="00B260AC">
        <w:rPr>
          <w:szCs w:val="20"/>
        </w:rPr>
        <w:t>tis.</w:t>
      </w:r>
      <w:r w:rsidR="00B260AC" w:rsidRPr="00CA1E6A">
        <w:rPr>
          <w:szCs w:val="20"/>
        </w:rPr>
        <w:t> </w:t>
      </w:r>
      <w:r w:rsidR="00B260AC">
        <w:rPr>
          <w:szCs w:val="20"/>
        </w:rPr>
        <w:t>K</w:t>
      </w:r>
      <w:r>
        <w:rPr>
          <w:szCs w:val="20"/>
        </w:rPr>
        <w:t>č.</w:t>
      </w:r>
    </w:p>
    <w:p w:rsidR="00B260AC" w:rsidRDefault="00B260AC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Čerpání fondů</w:t>
      </w:r>
      <w:r w:rsidRPr="00AD7446">
        <w:rPr>
          <w:szCs w:val="20"/>
        </w:rPr>
        <w:t xml:space="preserve"> </w:t>
      </w:r>
      <w:r>
        <w:rPr>
          <w:szCs w:val="20"/>
        </w:rPr>
        <w:t>– na účtu 648</w:t>
      </w:r>
      <w:r w:rsidR="004325AE">
        <w:rPr>
          <w:szCs w:val="20"/>
        </w:rPr>
        <w:t xml:space="preserve"> je účtováno čerpání Regionálního rozvojového fondu – převod finančních prostředků z</w:t>
      </w:r>
      <w:r w:rsidR="001E7BF2">
        <w:rPr>
          <w:szCs w:val="20"/>
        </w:rPr>
        <w:t> </w:t>
      </w:r>
      <w:r w:rsidR="004325AE">
        <w:rPr>
          <w:szCs w:val="20"/>
        </w:rPr>
        <w:t>účtu fondu na účet sdružených prostředků, a to za účelem podpory malých a středních podnikatelů formou mikropůjček. V</w:t>
      </w:r>
      <w:r w:rsidR="001E7BF2">
        <w:rPr>
          <w:szCs w:val="20"/>
        </w:rPr>
        <w:t> </w:t>
      </w:r>
      <w:r w:rsidR="004325AE">
        <w:rPr>
          <w:szCs w:val="20"/>
        </w:rPr>
        <w:t>r. 2012 nebylo čerpání fondů (o</w:t>
      </w:r>
      <w:r w:rsidR="004325AE" w:rsidRPr="00CA1E6A">
        <w:rPr>
          <w:szCs w:val="20"/>
        </w:rPr>
        <w:t> </w:t>
      </w:r>
      <w:r w:rsidR="004325AE">
        <w:rPr>
          <w:szCs w:val="20"/>
        </w:rPr>
        <w:t xml:space="preserve"> tvorbě a</w:t>
      </w:r>
      <w:r w:rsidR="004325AE" w:rsidRPr="00CA1E6A">
        <w:rPr>
          <w:szCs w:val="20"/>
        </w:rPr>
        <w:t> </w:t>
      </w:r>
      <w:r w:rsidR="004325AE">
        <w:rPr>
          <w:szCs w:val="20"/>
        </w:rPr>
        <w:t>čerpání fondů je účtováno prostřednictvím nákladových a výnosových účtů).</w:t>
      </w:r>
    </w:p>
    <w:p w:rsidR="000A5D85" w:rsidRDefault="00ED049A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Ostatní 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činnosti</w:t>
      </w:r>
      <w:r>
        <w:rPr>
          <w:szCs w:val="20"/>
        </w:rPr>
        <w:t xml:space="preserve"> – na účtu 649 je zaúčtován </w:t>
      </w:r>
      <w:r w:rsidR="000369AB">
        <w:rPr>
          <w:szCs w:val="20"/>
        </w:rPr>
        <w:t xml:space="preserve">celkový </w:t>
      </w:r>
      <w:r>
        <w:rPr>
          <w:szCs w:val="20"/>
        </w:rPr>
        <w:t>výnos</w:t>
      </w:r>
      <w:r w:rsidR="000369AB">
        <w:rPr>
          <w:szCs w:val="20"/>
        </w:rPr>
        <w:t xml:space="preserve"> ve výši </w:t>
      </w:r>
      <w:r w:rsidR="00714D57">
        <w:rPr>
          <w:szCs w:val="20"/>
        </w:rPr>
        <w:t>16.743</w:t>
      </w:r>
      <w:r w:rsidR="00714D57" w:rsidRPr="00CA1E6A">
        <w:rPr>
          <w:szCs w:val="20"/>
        </w:rPr>
        <w:t> </w:t>
      </w:r>
      <w:r w:rsidR="000369AB">
        <w:rPr>
          <w:szCs w:val="20"/>
        </w:rPr>
        <w:t>tis.</w:t>
      </w:r>
      <w:r w:rsidR="00714D57" w:rsidRPr="00CA1E6A">
        <w:rPr>
          <w:szCs w:val="20"/>
        </w:rPr>
        <w:t> </w:t>
      </w:r>
      <w:r w:rsidR="000369AB">
        <w:rPr>
          <w:szCs w:val="20"/>
        </w:rPr>
        <w:t>Kč. Na</w:t>
      </w:r>
      <w:r w:rsidR="00DE5CCD">
        <w:rPr>
          <w:szCs w:val="20"/>
        </w:rPr>
        <w:t> </w:t>
      </w:r>
      <w:r w:rsidR="000369AB">
        <w:rPr>
          <w:szCs w:val="20"/>
        </w:rPr>
        <w:t xml:space="preserve">těchto výnosech se nejvíce podílely </w:t>
      </w:r>
      <w:r w:rsidR="00714D57">
        <w:rPr>
          <w:szCs w:val="20"/>
        </w:rPr>
        <w:t>příjmy za porušení rozpočtové kázně (11.688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714D57" w:rsidRPr="00CA1E6A">
        <w:rPr>
          <w:szCs w:val="20"/>
        </w:rPr>
        <w:t> </w:t>
      </w:r>
      <w:r w:rsidR="00384B6D">
        <w:rPr>
          <w:szCs w:val="20"/>
        </w:rPr>
        <w:t>Kč)</w:t>
      </w:r>
      <w:r w:rsidR="00714D57">
        <w:rPr>
          <w:szCs w:val="20"/>
        </w:rPr>
        <w:t xml:space="preserve"> a</w:t>
      </w:r>
      <w:r w:rsidR="00714D57" w:rsidRPr="00CA1E6A">
        <w:rPr>
          <w:szCs w:val="20"/>
        </w:rPr>
        <w:t> </w:t>
      </w:r>
      <w:r w:rsidR="000369AB">
        <w:rPr>
          <w:szCs w:val="20"/>
        </w:rPr>
        <w:t>přijaté náhrady z</w:t>
      </w:r>
      <w:r w:rsidR="001E7BF2">
        <w:rPr>
          <w:szCs w:val="20"/>
        </w:rPr>
        <w:t> </w:t>
      </w:r>
      <w:r w:rsidR="000369AB">
        <w:rPr>
          <w:szCs w:val="20"/>
        </w:rPr>
        <w:t>pojistných událost</w:t>
      </w:r>
      <w:r w:rsidR="006274F1">
        <w:rPr>
          <w:szCs w:val="20"/>
        </w:rPr>
        <w:t>í</w:t>
      </w:r>
      <w:r w:rsidR="000369AB">
        <w:rPr>
          <w:szCs w:val="20"/>
        </w:rPr>
        <w:t xml:space="preserve"> (</w:t>
      </w:r>
      <w:r w:rsidR="00714D57">
        <w:rPr>
          <w:szCs w:val="20"/>
        </w:rPr>
        <w:t>3.758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714D57" w:rsidRPr="00CA1E6A">
        <w:rPr>
          <w:szCs w:val="20"/>
        </w:rPr>
        <w:t> </w:t>
      </w:r>
      <w:r w:rsidR="00714D57">
        <w:rPr>
          <w:szCs w:val="20"/>
        </w:rPr>
        <w:t>K</w:t>
      </w:r>
      <w:r w:rsidR="000369AB">
        <w:rPr>
          <w:szCs w:val="20"/>
        </w:rPr>
        <w:t>č), další výnosy představují přijaté náhrady nákladů řízení, soudních poplatků, ostatní náhrady, dobropisy a ostatní výnosy (</w:t>
      </w:r>
      <w:r w:rsidR="00714D57">
        <w:rPr>
          <w:szCs w:val="20"/>
        </w:rPr>
        <w:t>1.297</w:t>
      </w:r>
      <w:r w:rsidR="00714D57" w:rsidRPr="00CA1E6A">
        <w:rPr>
          <w:szCs w:val="20"/>
        </w:rPr>
        <w:t> </w:t>
      </w:r>
      <w:r w:rsidR="000369AB">
        <w:rPr>
          <w:szCs w:val="20"/>
        </w:rPr>
        <w:t>tis.</w:t>
      </w:r>
      <w:r w:rsidR="00714D57" w:rsidRPr="00CA1E6A">
        <w:rPr>
          <w:szCs w:val="20"/>
        </w:rPr>
        <w:t> </w:t>
      </w:r>
      <w:r w:rsidR="000369AB">
        <w:rPr>
          <w:szCs w:val="20"/>
        </w:rPr>
        <w:t>Kč).</w:t>
      </w:r>
      <w:r w:rsidR="000A5D85">
        <w:rPr>
          <w:szCs w:val="20"/>
        </w:rPr>
        <w:t xml:space="preserve"> </w:t>
      </w:r>
      <w:r w:rsidR="00714D57">
        <w:rPr>
          <w:szCs w:val="20"/>
        </w:rPr>
        <w:t>Oproti r. 2012 došlo ke snížení výnosů o 15.726 tis. Kč, a to zejména nižšími náhradami z</w:t>
      </w:r>
      <w:r w:rsidR="001E7BF2">
        <w:rPr>
          <w:szCs w:val="20"/>
        </w:rPr>
        <w:t> </w:t>
      </w:r>
      <w:r w:rsidR="00714D57">
        <w:rPr>
          <w:szCs w:val="20"/>
        </w:rPr>
        <w:t>pojistných událost</w:t>
      </w:r>
      <w:r w:rsidR="00384B6D">
        <w:rPr>
          <w:szCs w:val="20"/>
        </w:rPr>
        <w:t>í (</w:t>
      </w:r>
      <w:r w:rsidR="00714D57">
        <w:rPr>
          <w:szCs w:val="20"/>
        </w:rPr>
        <w:t>v</w:t>
      </w:r>
      <w:r w:rsidR="001E7BF2">
        <w:rPr>
          <w:szCs w:val="20"/>
        </w:rPr>
        <w:t> </w:t>
      </w:r>
      <w:r w:rsidR="00714D57">
        <w:rPr>
          <w:szCs w:val="20"/>
        </w:rPr>
        <w:t>r.</w:t>
      </w:r>
      <w:r w:rsidR="00714D57" w:rsidRPr="00CA1E6A">
        <w:rPr>
          <w:szCs w:val="20"/>
        </w:rPr>
        <w:t> </w:t>
      </w:r>
      <w:r w:rsidR="00714D57">
        <w:rPr>
          <w:szCs w:val="20"/>
        </w:rPr>
        <w:t>2012 byly tyto náhrady ve výši 24.952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B95B96" w:rsidRPr="00CA1E6A">
        <w:rPr>
          <w:szCs w:val="20"/>
        </w:rPr>
        <w:t> </w:t>
      </w:r>
      <w:r w:rsidR="00714D57">
        <w:rPr>
          <w:szCs w:val="20"/>
        </w:rPr>
        <w:t>Kč).</w:t>
      </w:r>
    </w:p>
    <w:p w:rsidR="004830B6" w:rsidRDefault="004830B6" w:rsidP="00CD11C6">
      <w:pPr>
        <w:pStyle w:val="Nadpis3"/>
      </w:pPr>
      <w:bookmarkStart w:id="31" w:name="_Toc388005080"/>
      <w:r w:rsidRPr="00534894">
        <w:t>Finanční výnosy</w:t>
      </w:r>
      <w:bookmarkEnd w:id="31"/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2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1.12</w:t>
        </w:r>
      </w:smartTag>
      <w:r w:rsidR="000A5D85" w:rsidRPr="002C14AA">
        <w:rPr>
          <w:rFonts w:ascii="Tahoma" w:hAnsi="Tahoma" w:cs="Tahoma"/>
          <w:sz w:val="20"/>
          <w:szCs w:val="20"/>
        </w:rPr>
        <w:t xml:space="preserve"> jsou</w:t>
      </w:r>
      <w:r w:rsidR="000A5D85">
        <w:rPr>
          <w:rFonts w:ascii="Tahoma" w:hAnsi="Tahoma" w:cs="Tahoma"/>
          <w:sz w:val="20"/>
          <w:szCs w:val="20"/>
        </w:rPr>
        <w:t xml:space="preserve"> uvedeny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finančních výnosů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B95B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B95B9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E818F0" w:rsidRPr="00E818F0" w:rsidRDefault="00E818F0" w:rsidP="00E818F0"/>
    <w:p w:rsidR="001F03B7" w:rsidRPr="001F03B7" w:rsidRDefault="001F03B7" w:rsidP="001F03B7">
      <w:pPr>
        <w:pStyle w:val="Styltab"/>
      </w:pPr>
      <w:r>
        <w:t>Finanční výnosy</w:t>
      </w:r>
      <w:r>
        <w:tab/>
        <w:t>v</w:t>
      </w:r>
      <w:r w:rsidR="001E7BF2">
        <w:t> </w:t>
      </w:r>
      <w:r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417"/>
        <w:gridCol w:w="1450"/>
        <w:gridCol w:w="1275"/>
      </w:tblGrid>
      <w:tr w:rsidR="004830B6" w:rsidRPr="00D70D02" w:rsidTr="00081017">
        <w:trPr>
          <w:trHeight w:val="255"/>
        </w:trPr>
        <w:tc>
          <w:tcPr>
            <w:tcW w:w="4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 w:rsidTr="00081017">
        <w:trPr>
          <w:trHeight w:val="430"/>
        </w:trPr>
        <w:tc>
          <w:tcPr>
            <w:tcW w:w="4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0810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08101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8606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08101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384B6D" w:rsidRDefault="00CC7473" w:rsidP="00E63DE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 (2013-2012)</w:t>
            </w:r>
          </w:p>
        </w:tc>
      </w:tr>
      <w:tr w:rsidR="00081017" w:rsidRPr="00384B6D" w:rsidTr="00081017">
        <w:trPr>
          <w:trHeight w:val="51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17" w:rsidRPr="00D70D02" w:rsidRDefault="00081017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Finanční výnosy,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81017">
              <w:rPr>
                <w:rFonts w:ascii="Tahoma" w:hAnsi="Tahoma" w:cs="Tahoma"/>
                <w:b/>
                <w:bCs/>
                <w:sz w:val="16"/>
                <w:szCs w:val="16"/>
              </w:rPr>
              <w:t>69 892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81017">
              <w:rPr>
                <w:rFonts w:ascii="Tahoma" w:hAnsi="Tahoma" w:cs="Tahoma"/>
                <w:b/>
                <w:bCs/>
                <w:sz w:val="16"/>
                <w:szCs w:val="16"/>
              </w:rPr>
              <w:t>66 693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1017" w:rsidRPr="00384B6D" w:rsidRDefault="00081017">
            <w:pPr>
              <w:jc w:val="right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3 199</w:t>
            </w:r>
          </w:p>
        </w:tc>
      </w:tr>
      <w:tr w:rsidR="00081017" w:rsidRPr="00D70D02" w:rsidTr="00427C88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D70D02" w:rsidRDefault="00081017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41 313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49 509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81017">
              <w:rPr>
                <w:rFonts w:ascii="Tahoma" w:hAnsi="Tahoma" w:cs="Tahoma"/>
                <w:i/>
                <w:iCs/>
                <w:sz w:val="16"/>
                <w:szCs w:val="16"/>
              </w:rPr>
              <w:t>-8 196</w:t>
            </w:r>
          </w:p>
        </w:tc>
      </w:tr>
      <w:tr w:rsidR="00081017" w:rsidRPr="00D70D02" w:rsidTr="00427C88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D70D02" w:rsidRDefault="00081017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663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zisky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81017">
              <w:rPr>
                <w:rFonts w:ascii="Tahoma" w:hAnsi="Tahoma" w:cs="Tahoma"/>
                <w:i/>
                <w:iCs/>
                <w:sz w:val="16"/>
                <w:szCs w:val="16"/>
              </w:rPr>
              <w:t>605</w:t>
            </w:r>
          </w:p>
        </w:tc>
      </w:tr>
      <w:tr w:rsidR="00081017" w:rsidRPr="00D70D02" w:rsidTr="00427C88">
        <w:trPr>
          <w:trHeight w:val="27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D70D02" w:rsidRDefault="00081017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27 891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81017">
              <w:rPr>
                <w:rFonts w:ascii="Tahoma" w:hAnsi="Tahoma" w:cs="Tahoma"/>
                <w:sz w:val="16"/>
                <w:szCs w:val="16"/>
              </w:rPr>
              <w:t>17 101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1017" w:rsidRPr="00081017" w:rsidRDefault="00081017" w:rsidP="00427C8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81017">
              <w:rPr>
                <w:rFonts w:ascii="Tahoma" w:hAnsi="Tahoma" w:cs="Tahoma"/>
                <w:i/>
                <w:iCs/>
                <w:sz w:val="16"/>
                <w:szCs w:val="16"/>
              </w:rPr>
              <w:t>10 790</w:t>
            </w:r>
          </w:p>
        </w:tc>
      </w:tr>
    </w:tbl>
    <w:p w:rsidR="004830B6" w:rsidRDefault="004830B6" w:rsidP="00267BAE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Finanční výnosy</w:t>
      </w:r>
      <w:r>
        <w:rPr>
          <w:szCs w:val="20"/>
        </w:rPr>
        <w:t xml:space="preserve"> obsahují zejména výnosy z</w:t>
      </w:r>
      <w:r w:rsidR="001E7BF2">
        <w:rPr>
          <w:szCs w:val="20"/>
        </w:rPr>
        <w:t> </w:t>
      </w:r>
      <w:r>
        <w:rPr>
          <w:szCs w:val="20"/>
        </w:rPr>
        <w:t>přijatých úroků z</w:t>
      </w:r>
      <w:r w:rsidR="001E7BF2">
        <w:rPr>
          <w:szCs w:val="20"/>
        </w:rPr>
        <w:t> </w:t>
      </w:r>
      <w:r>
        <w:rPr>
          <w:szCs w:val="20"/>
        </w:rPr>
        <w:t>peněžních vkladů, dále kurzové zisky a výnosy z</w:t>
      </w:r>
      <w:r w:rsidR="001E7BF2">
        <w:rPr>
          <w:szCs w:val="20"/>
        </w:rPr>
        <w:t> </w:t>
      </w:r>
      <w:r>
        <w:rPr>
          <w:szCs w:val="20"/>
        </w:rPr>
        <w:t>přecenění reálnou hodnotou.</w:t>
      </w:r>
    </w:p>
    <w:p w:rsidR="004830B6" w:rsidRDefault="004830B6" w:rsidP="00C16579">
      <w:pPr>
        <w:pStyle w:val="Mjtext"/>
        <w:numPr>
          <w:ilvl w:val="0"/>
          <w:numId w:val="25"/>
        </w:numPr>
        <w:rPr>
          <w:szCs w:val="20"/>
        </w:rPr>
      </w:pPr>
      <w:r w:rsidRPr="00534894">
        <w:rPr>
          <w:szCs w:val="20"/>
          <w:u w:val="single"/>
        </w:rPr>
        <w:t>Úroky</w:t>
      </w:r>
      <w:r w:rsidRPr="00534894">
        <w:rPr>
          <w:szCs w:val="20"/>
        </w:rPr>
        <w:t xml:space="preserve"> </w:t>
      </w:r>
      <w:r>
        <w:rPr>
          <w:szCs w:val="20"/>
        </w:rPr>
        <w:t>– na účtu 662 jsou účtovány přijaté úroky z</w:t>
      </w:r>
      <w:r w:rsidR="001E7BF2">
        <w:rPr>
          <w:szCs w:val="20"/>
        </w:rPr>
        <w:t> </w:t>
      </w:r>
      <w:r>
        <w:rPr>
          <w:szCs w:val="20"/>
        </w:rPr>
        <w:t>peněžních vkladů na běžných účtech kraje a úroky z</w:t>
      </w:r>
      <w:r w:rsidR="001E7BF2">
        <w:rPr>
          <w:szCs w:val="20"/>
        </w:rPr>
        <w:t> </w:t>
      </w:r>
      <w:r>
        <w:rPr>
          <w:szCs w:val="20"/>
        </w:rPr>
        <w:t>termínovaných vkladů v</w:t>
      </w:r>
      <w:r w:rsidR="001E7BF2">
        <w:rPr>
          <w:szCs w:val="20"/>
        </w:rPr>
        <w:t> </w:t>
      </w:r>
      <w:r>
        <w:rPr>
          <w:szCs w:val="20"/>
        </w:rPr>
        <w:t xml:space="preserve">celkovém objemu </w:t>
      </w:r>
      <w:r w:rsidR="00081017">
        <w:rPr>
          <w:szCs w:val="20"/>
        </w:rPr>
        <w:t>41.313 tis. </w:t>
      </w:r>
      <w:r>
        <w:rPr>
          <w:szCs w:val="20"/>
        </w:rPr>
        <w:t xml:space="preserve">Kč. </w:t>
      </w:r>
      <w:r w:rsidR="00A26E5E">
        <w:rPr>
          <w:szCs w:val="20"/>
        </w:rPr>
        <w:t>Oproti r. 2012 došlo ke snížení úroků o 8.196 tis. Kč.</w:t>
      </w:r>
    </w:p>
    <w:p w:rsidR="004830B6" w:rsidRPr="009F0AE6" w:rsidRDefault="004830B6" w:rsidP="00C16579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Kurzové zisky</w:t>
      </w:r>
      <w:r w:rsidRPr="004A25FF">
        <w:rPr>
          <w:szCs w:val="20"/>
        </w:rPr>
        <w:t xml:space="preserve"> </w:t>
      </w:r>
      <w:r w:rsidRPr="006B6ABC">
        <w:rPr>
          <w:szCs w:val="20"/>
        </w:rPr>
        <w:t>– na účtu 663</w:t>
      </w:r>
      <w:r>
        <w:rPr>
          <w:szCs w:val="20"/>
        </w:rPr>
        <w:t xml:space="preserve"> jsou vykázány kurzové zisky ve výši </w:t>
      </w:r>
      <w:r w:rsidR="00081017">
        <w:rPr>
          <w:szCs w:val="20"/>
        </w:rPr>
        <w:t>688 </w:t>
      </w:r>
      <w:r>
        <w:rPr>
          <w:szCs w:val="20"/>
        </w:rPr>
        <w:t>tis.</w:t>
      </w:r>
      <w:r w:rsidR="00081017">
        <w:rPr>
          <w:szCs w:val="20"/>
        </w:rPr>
        <w:t> </w:t>
      </w:r>
      <w:r>
        <w:rPr>
          <w:szCs w:val="20"/>
        </w:rPr>
        <w:t xml:space="preserve">Kč, které vznikly zejména při inkasu </w:t>
      </w:r>
      <w:r w:rsidRPr="009F0AE6">
        <w:rPr>
          <w:szCs w:val="20"/>
        </w:rPr>
        <w:t>pohledávek v</w:t>
      </w:r>
      <w:r w:rsidR="001E7BF2">
        <w:rPr>
          <w:szCs w:val="20"/>
        </w:rPr>
        <w:t> </w:t>
      </w:r>
      <w:r w:rsidRPr="009F0AE6">
        <w:rPr>
          <w:szCs w:val="20"/>
        </w:rPr>
        <w:t>cizí měně</w:t>
      </w:r>
      <w:r w:rsidR="009F0AE6">
        <w:rPr>
          <w:szCs w:val="20"/>
        </w:rPr>
        <w:t>, nákupu valut, devizových operací</w:t>
      </w:r>
      <w:r w:rsidR="004A25FF">
        <w:rPr>
          <w:szCs w:val="20"/>
        </w:rPr>
        <w:t>ch</w:t>
      </w:r>
      <w:r w:rsidR="009F0AE6">
        <w:rPr>
          <w:szCs w:val="20"/>
        </w:rPr>
        <w:t xml:space="preserve"> a při přecenění devizových účtů k</w:t>
      </w:r>
      <w:r w:rsidR="001E7BF2">
        <w:rPr>
          <w:szCs w:val="20"/>
        </w:rPr>
        <w:t> </w:t>
      </w:r>
      <w:r w:rsidR="009F0AE6">
        <w:rPr>
          <w:szCs w:val="20"/>
        </w:rPr>
        <w:t>rozvahovému dni (v r. 2013 vznikl při přecenění devizových účtů kurzový zisk 256</w:t>
      </w:r>
      <w:r w:rsidR="009F0AE6" w:rsidRPr="00CA1E6A">
        <w:rPr>
          <w:szCs w:val="20"/>
        </w:rPr>
        <w:t> </w:t>
      </w:r>
      <w:r w:rsidR="009F0AE6">
        <w:rPr>
          <w:szCs w:val="20"/>
        </w:rPr>
        <w:t>tis.</w:t>
      </w:r>
      <w:r w:rsidR="009F0AE6" w:rsidRPr="00CA1E6A">
        <w:rPr>
          <w:szCs w:val="20"/>
        </w:rPr>
        <w:t> </w:t>
      </w:r>
      <w:r w:rsidR="009F0AE6">
        <w:rPr>
          <w:szCs w:val="20"/>
        </w:rPr>
        <w:t>Kč)</w:t>
      </w:r>
      <w:r w:rsidRPr="009F0AE6">
        <w:rPr>
          <w:szCs w:val="20"/>
        </w:rPr>
        <w:t>.</w:t>
      </w:r>
      <w:r w:rsidR="00FB3BCD" w:rsidRPr="00FB3BCD">
        <w:rPr>
          <w:szCs w:val="20"/>
        </w:rPr>
        <w:t xml:space="preserve"> </w:t>
      </w:r>
      <w:r w:rsidR="00FB3BCD" w:rsidRPr="00ED5A32">
        <w:rPr>
          <w:szCs w:val="20"/>
        </w:rPr>
        <w:t>Kraj používá</w:t>
      </w:r>
      <w:r w:rsidR="00FB3BCD">
        <w:rPr>
          <w:szCs w:val="20"/>
        </w:rPr>
        <w:t xml:space="preserve"> během roku</w:t>
      </w:r>
      <w:r w:rsidR="00FB3BCD" w:rsidRPr="00ED5A32">
        <w:rPr>
          <w:szCs w:val="20"/>
        </w:rPr>
        <w:t xml:space="preserve"> pevný kurz</w:t>
      </w:r>
      <w:r w:rsidR="00FB3BCD">
        <w:rPr>
          <w:szCs w:val="20"/>
        </w:rPr>
        <w:t xml:space="preserve"> a zůstatky devizových bankovních účtů se k</w:t>
      </w:r>
      <w:r w:rsidR="001E7BF2">
        <w:rPr>
          <w:szCs w:val="20"/>
        </w:rPr>
        <w:t> </w:t>
      </w:r>
      <w:r w:rsidR="00FB3BCD">
        <w:rPr>
          <w:szCs w:val="20"/>
        </w:rPr>
        <w:t>31.</w:t>
      </w:r>
      <w:r w:rsidR="009F0AE6" w:rsidRPr="00CA1E6A">
        <w:rPr>
          <w:szCs w:val="20"/>
        </w:rPr>
        <w:t> </w:t>
      </w:r>
      <w:r w:rsidR="009F0AE6">
        <w:rPr>
          <w:szCs w:val="20"/>
        </w:rPr>
        <w:t>12.</w:t>
      </w:r>
      <w:r w:rsidR="009F0AE6" w:rsidRPr="00CA1E6A">
        <w:rPr>
          <w:szCs w:val="20"/>
        </w:rPr>
        <w:t> </w:t>
      </w:r>
      <w:r w:rsidR="00FB3BCD">
        <w:rPr>
          <w:szCs w:val="20"/>
        </w:rPr>
        <w:t>201</w:t>
      </w:r>
      <w:r w:rsidR="009F0AE6">
        <w:rPr>
          <w:szCs w:val="20"/>
        </w:rPr>
        <w:t>3</w:t>
      </w:r>
      <w:r w:rsidR="00FB3BCD">
        <w:rPr>
          <w:szCs w:val="20"/>
        </w:rPr>
        <w:t xml:space="preserve"> přecení kurzem platným k</w:t>
      </w:r>
      <w:r w:rsidR="001E7BF2">
        <w:rPr>
          <w:szCs w:val="20"/>
        </w:rPr>
        <w:t> </w:t>
      </w:r>
      <w:r w:rsidR="00FB3BCD">
        <w:rPr>
          <w:szCs w:val="20"/>
        </w:rPr>
        <w:t>tomuto dni; tento kurz je pak stanoven jako pevný kurz pro příští rok</w:t>
      </w:r>
      <w:r w:rsidR="00FB3BCD" w:rsidRPr="009F0AE6">
        <w:rPr>
          <w:szCs w:val="20"/>
        </w:rPr>
        <w:t>.</w:t>
      </w:r>
    </w:p>
    <w:p w:rsidR="00D70D02" w:rsidRDefault="004830B6" w:rsidP="00C16579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přecenění reálnou hodnotou</w:t>
      </w:r>
      <w:r>
        <w:rPr>
          <w:szCs w:val="20"/>
        </w:rPr>
        <w:t xml:space="preserve"> – na účtu 664 jsou vykázány výnosy ve výši </w:t>
      </w:r>
      <w:r w:rsidR="00081017">
        <w:rPr>
          <w:szCs w:val="20"/>
        </w:rPr>
        <w:t>27.891 </w:t>
      </w:r>
      <w:r>
        <w:rPr>
          <w:szCs w:val="20"/>
        </w:rPr>
        <w:t>tis.</w:t>
      </w:r>
      <w:r w:rsidR="00081017">
        <w:rPr>
          <w:szCs w:val="20"/>
        </w:rPr>
        <w:t> </w:t>
      </w:r>
      <w:r>
        <w:rPr>
          <w:szCs w:val="20"/>
        </w:rPr>
        <w:t>Kč, jsou to výnosy z</w:t>
      </w:r>
      <w:r w:rsidR="001E7BF2">
        <w:rPr>
          <w:szCs w:val="20"/>
        </w:rPr>
        <w:t> </w:t>
      </w:r>
      <w:r>
        <w:rPr>
          <w:szCs w:val="20"/>
        </w:rPr>
        <w:t>přecenění majetku určeného k</w:t>
      </w:r>
      <w:r w:rsidR="001E7BF2">
        <w:rPr>
          <w:szCs w:val="20"/>
        </w:rPr>
        <w:t> </w:t>
      </w:r>
      <w:r>
        <w:rPr>
          <w:szCs w:val="20"/>
        </w:rPr>
        <w:t>prodeji na reálnou hodnotu podle § 64 vyhlášky č. 410/2009</w:t>
      </w:r>
      <w:r w:rsidR="009F0AE6" w:rsidRPr="00CA1E6A">
        <w:rPr>
          <w:szCs w:val="20"/>
        </w:rPr>
        <w:t> </w:t>
      </w:r>
      <w:r>
        <w:rPr>
          <w:szCs w:val="20"/>
        </w:rPr>
        <w:t>Sb.</w:t>
      </w:r>
      <w:r w:rsidR="009F0AE6" w:rsidRPr="009F0AE6">
        <w:rPr>
          <w:szCs w:val="20"/>
        </w:rPr>
        <w:t xml:space="preserve"> </w:t>
      </w:r>
      <w:r w:rsidR="009F0AE6">
        <w:rPr>
          <w:szCs w:val="20"/>
        </w:rPr>
        <w:t xml:space="preserve">(zůstatková cena prodávaných budov a pořizovací cena pozemků byla nižší než prodejní – rozdíl </w:t>
      </w:r>
      <w:r w:rsidR="004137BF">
        <w:rPr>
          <w:szCs w:val="20"/>
        </w:rPr>
        <w:t>z</w:t>
      </w:r>
      <w:r w:rsidR="001E7BF2">
        <w:rPr>
          <w:szCs w:val="20"/>
        </w:rPr>
        <w:t> </w:t>
      </w:r>
      <w:r w:rsidR="004137BF">
        <w:rPr>
          <w:szCs w:val="20"/>
        </w:rPr>
        <w:t xml:space="preserve">ocenění </w:t>
      </w:r>
      <w:r w:rsidR="009F0AE6">
        <w:rPr>
          <w:szCs w:val="20"/>
        </w:rPr>
        <w:t>je vykázán na účtu 664).</w:t>
      </w:r>
      <w:r>
        <w:rPr>
          <w:szCs w:val="20"/>
        </w:rPr>
        <w:t xml:space="preserve"> </w:t>
      </w:r>
      <w:r w:rsidR="00081017">
        <w:rPr>
          <w:szCs w:val="20"/>
        </w:rPr>
        <w:t>Oproti r.</w:t>
      </w:r>
      <w:r w:rsidR="009F0AE6" w:rsidRPr="00CA1E6A">
        <w:rPr>
          <w:szCs w:val="20"/>
        </w:rPr>
        <w:t> </w:t>
      </w:r>
      <w:r w:rsidR="00081017">
        <w:rPr>
          <w:szCs w:val="20"/>
        </w:rPr>
        <w:t>2012 došlo ke zvýšení v</w:t>
      </w:r>
      <w:r w:rsidR="004137BF">
        <w:rPr>
          <w:szCs w:val="20"/>
        </w:rPr>
        <w:t>ýnosů o</w:t>
      </w:r>
      <w:r w:rsidR="004137BF" w:rsidRPr="00CA1E6A">
        <w:rPr>
          <w:szCs w:val="20"/>
        </w:rPr>
        <w:t> </w:t>
      </w:r>
      <w:r w:rsidR="004137BF">
        <w:rPr>
          <w:szCs w:val="20"/>
        </w:rPr>
        <w:t>10.790</w:t>
      </w:r>
      <w:r w:rsidR="004137BF" w:rsidRPr="00CA1E6A">
        <w:rPr>
          <w:szCs w:val="20"/>
        </w:rPr>
        <w:t> </w:t>
      </w:r>
      <w:r w:rsidR="004137BF">
        <w:rPr>
          <w:szCs w:val="20"/>
        </w:rPr>
        <w:t>tis.</w:t>
      </w:r>
      <w:r w:rsidR="004137BF" w:rsidRPr="00CA1E6A">
        <w:rPr>
          <w:szCs w:val="20"/>
        </w:rPr>
        <w:t> </w:t>
      </w:r>
      <w:r w:rsidR="004137BF">
        <w:rPr>
          <w:szCs w:val="20"/>
        </w:rPr>
        <w:t>Kč.</w:t>
      </w:r>
    </w:p>
    <w:p w:rsidR="004830B6" w:rsidRDefault="004830B6" w:rsidP="00CD11C6">
      <w:pPr>
        <w:pStyle w:val="Nadpis3"/>
      </w:pPr>
      <w:bookmarkStart w:id="32" w:name="_Toc388005081"/>
      <w:r w:rsidRPr="00BA15B5">
        <w:lastRenderedPageBreak/>
        <w:t>Výnosy z</w:t>
      </w:r>
      <w:r w:rsidR="001E7BF2">
        <w:t> </w:t>
      </w:r>
      <w:r w:rsidRPr="00BA15B5">
        <w:t>transferů</w:t>
      </w:r>
      <w:bookmarkEnd w:id="32"/>
    </w:p>
    <w:p w:rsidR="00267BAE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3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1.13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transferů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4137B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4137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</w:p>
    <w:p w:rsidR="001F03B7" w:rsidRPr="001F03B7" w:rsidRDefault="001F03B7" w:rsidP="001F03B7">
      <w:pPr>
        <w:pStyle w:val="Styltab"/>
      </w:pPr>
      <w:r>
        <w:t>Výnosy z</w:t>
      </w:r>
      <w:r w:rsidR="001E7BF2">
        <w:t> </w:t>
      </w:r>
      <w:r>
        <w:t>transferů</w:t>
      </w:r>
      <w:r>
        <w:tab/>
        <w:t>v</w:t>
      </w:r>
      <w:r w:rsidR="001E7BF2">
        <w:t> </w:t>
      </w:r>
      <w:r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65"/>
        <w:gridCol w:w="1153"/>
      </w:tblGrid>
      <w:tr w:rsidR="004830B6" w:rsidRPr="00D70D02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CC74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CC747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CC74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CC747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A26E5E" w:rsidRDefault="00CC7473" w:rsidP="00E63DE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26E5E">
              <w:rPr>
                <w:rFonts w:ascii="Tahoma" w:hAnsi="Tahoma" w:cs="Tahoma"/>
                <w:i/>
                <w:sz w:val="16"/>
                <w:szCs w:val="16"/>
              </w:rPr>
              <w:t>Rozdíl   (2013-2012)</w:t>
            </w:r>
          </w:p>
        </w:tc>
      </w:tr>
      <w:tr w:rsidR="00BF77A4" w:rsidRPr="00D70D02" w:rsidTr="00BF77A4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A4" w:rsidRPr="00D70D02" w:rsidRDefault="00BF77A4" w:rsidP="00BF77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IV. Výnosy z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transferů, 672 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výnosy vybraných místních vládních institucí z</w:t>
            </w:r>
            <w:r w:rsidR="001E7BF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transferů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700 804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677 900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22 904</w:t>
            </w:r>
          </w:p>
        </w:tc>
      </w:tr>
      <w:tr w:rsidR="00BF77A4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Pr="00D70D02" w:rsidRDefault="00BF77A4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ústředních rozpočtů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583 956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551 076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32 880</w:t>
            </w:r>
          </w:p>
        </w:tc>
      </w:tr>
      <w:tr w:rsidR="00BF77A4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Pr="00D70D02" w:rsidRDefault="00BF77A4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ÚSC a </w:t>
            </w:r>
            <w:r>
              <w:rPr>
                <w:rFonts w:ascii="Tahoma" w:hAnsi="Tahoma" w:cs="Tahoma"/>
                <w:sz w:val="16"/>
                <w:szCs w:val="16"/>
              </w:rPr>
              <w:t>RRRS MSK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52 858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48 477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4 381</w:t>
            </w:r>
          </w:p>
        </w:tc>
      </w:tr>
      <w:tr w:rsidR="00BF77A4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Pr="00D70D02" w:rsidRDefault="00BF77A4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od ostatních subjektů</w:t>
            </w:r>
            <w:r w:rsidR="009F6515">
              <w:rPr>
                <w:rFonts w:ascii="Tahoma" w:hAnsi="Tahoma" w:cs="Tahoma"/>
                <w:sz w:val="16"/>
                <w:szCs w:val="16"/>
              </w:rPr>
              <w:t xml:space="preserve"> vč. subjektů ze zahraničí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22 465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-18 943</w:t>
            </w:r>
          </w:p>
        </w:tc>
      </w:tr>
      <w:tr w:rsidR="00BF77A4" w:rsidRPr="00D70D02" w:rsidTr="00BF77A4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Pr="00D70D02" w:rsidRDefault="00BF77A4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časové rozlišení investičních transferů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41 525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36 939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A4" w:rsidRDefault="00BF77A4" w:rsidP="00BF77A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4 586</w:t>
            </w:r>
          </w:p>
        </w:tc>
      </w:tr>
    </w:tbl>
    <w:p w:rsidR="004830B6" w:rsidRDefault="004830B6" w:rsidP="00D70D02">
      <w:pPr>
        <w:pStyle w:val="Mjtext"/>
        <w:spacing w:before="240"/>
      </w:pPr>
      <w:r>
        <w:rPr>
          <w:u w:val="single"/>
        </w:rPr>
        <w:t>Výnosy</w:t>
      </w:r>
      <w:r w:rsidRPr="006F37AC">
        <w:rPr>
          <w:u w:val="single"/>
        </w:rPr>
        <w:t xml:space="preserve"> vybraných místních vládních institucí </w:t>
      </w:r>
      <w:r>
        <w:rPr>
          <w:u w:val="single"/>
        </w:rPr>
        <w:t>z</w:t>
      </w:r>
      <w:r w:rsidR="001E7BF2">
        <w:rPr>
          <w:u w:val="single"/>
        </w:rPr>
        <w:t> </w:t>
      </w:r>
      <w:r w:rsidRPr="006F37AC">
        <w:rPr>
          <w:u w:val="single"/>
        </w:rPr>
        <w:t>transfer</w:t>
      </w:r>
      <w:r>
        <w:rPr>
          <w:u w:val="single"/>
        </w:rPr>
        <w:t>ů</w:t>
      </w:r>
      <w:r>
        <w:t xml:space="preserve"> – na účtu 672 se vykazují výnosy z</w:t>
      </w:r>
      <w:r w:rsidR="001E7BF2">
        <w:t> </w:t>
      </w:r>
      <w:r>
        <w:t>přijatých transferů (tj. přijaté dotace, finanční dary a příspěvky). Jedná se o neinvestiční transfery, jejichž konečným příjemcem je kraj; do výnosů nevstupují transfery poskytované z</w:t>
      </w:r>
      <w:r w:rsidR="001E7BF2">
        <w:t> </w:t>
      </w:r>
      <w:r>
        <w:t>ústředních rozpočtů, kdy kraj v</w:t>
      </w:r>
      <w:r w:rsidR="001E7BF2">
        <w:t> </w:t>
      </w:r>
      <w:r>
        <w:t xml:space="preserve">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vzdělání) </w:t>
      </w:r>
      <w:r w:rsidR="001E7BF2">
        <w:t>–</w:t>
      </w:r>
      <w:r>
        <w:t xml:space="preserve"> i když tyto transfery vstupují do rozpočtu kraje (do příjmů a výdajů), z</w:t>
      </w:r>
      <w:r w:rsidR="001E7BF2">
        <w:t> </w:t>
      </w:r>
      <w:r>
        <w:t>pohledu účetnictví se nejedná o výnos a náklad kraje, ale je zde účtováno podle platné metodiky</w:t>
      </w:r>
      <w:r w:rsidR="00E818F0">
        <w:t xml:space="preserve"> stanovené ČÚS č. 703</w:t>
      </w:r>
      <w:r>
        <w:t xml:space="preserve"> přes závazkové vztahy</w:t>
      </w:r>
      <w:r w:rsidR="00BF77A4">
        <w:t xml:space="preserve"> (prostřednictvím účtu 374)</w:t>
      </w:r>
      <w:r>
        <w:t>. Transfery jsou časově rozlišovány, a to nejpozději k</w:t>
      </w:r>
      <w:r w:rsidR="001E7BF2">
        <w:t> </w:t>
      </w:r>
      <w:r>
        <w:t>rozvahovému dni, kdy náklady a výnosy u transferů jsou účtovány přes dohadné účty tak, aby byly zaúčtovány do</w:t>
      </w:r>
      <w:r w:rsidR="00DE5CCD">
        <w:t> </w:t>
      </w:r>
      <w:r>
        <w:t>období</w:t>
      </w:r>
      <w:r w:rsidR="005C03F7">
        <w:t>,</w:t>
      </w:r>
      <w:r>
        <w:t xml:space="preserve"> s</w:t>
      </w:r>
      <w:r w:rsidR="001E7BF2">
        <w:t> </w:t>
      </w:r>
      <w:r>
        <w:t xml:space="preserve">nímž věcně a časově souvisí. </w:t>
      </w:r>
      <w:r w:rsidRPr="00161CA6">
        <w:t>Také v</w:t>
      </w:r>
      <w:r w:rsidR="001E7BF2">
        <w:t> </w:t>
      </w:r>
      <w:r w:rsidRPr="00161CA6">
        <w:t>oblasti transferů dochází každoročně k</w:t>
      </w:r>
      <w:r w:rsidR="001E7BF2">
        <w:t> </w:t>
      </w:r>
      <w:r w:rsidRPr="00161CA6">
        <w:t>úpravám metodiky účtování, proto se obtížně hodnoty v</w:t>
      </w:r>
      <w:r w:rsidR="001E7BF2">
        <w:t> </w:t>
      </w:r>
      <w:r w:rsidRPr="00161CA6">
        <w:t>této oblasti v</w:t>
      </w:r>
      <w:r w:rsidR="001E7BF2">
        <w:t> </w:t>
      </w:r>
      <w:r w:rsidRPr="00161CA6">
        <w:t>jednotlivých letech srovnávají.</w:t>
      </w:r>
      <w:r>
        <w:t xml:space="preserve"> Investiční tra</w:t>
      </w:r>
      <w:r w:rsidR="00E818F0">
        <w:t xml:space="preserve">nsfery se vykazují na účtu </w:t>
      </w:r>
      <w:smartTag w:uri="urn:schemas-microsoft-com:office:smarttags" w:element="metricconverter">
        <w:smartTagPr>
          <w:attr w:name="ProductID" w:val="403 a"/>
        </w:smartTagPr>
        <w:r w:rsidR="00E818F0">
          <w:t>403 a</w:t>
        </w:r>
      </w:smartTag>
      <w:r w:rsidR="00E818F0">
        <w:t xml:space="preserve"> </w:t>
      </w:r>
      <w:r>
        <w:t>do výnosů jsou rozpouštěny postupně</w:t>
      </w:r>
      <w:r w:rsidR="00BF77A4">
        <w:t xml:space="preserve"> prostřednictvím účtu 672</w:t>
      </w:r>
      <w:r w:rsidR="00654339">
        <w:t xml:space="preserve"> (jedná se o časové rozlišení investičních transferů).</w:t>
      </w:r>
    </w:p>
    <w:p w:rsidR="004830B6" w:rsidRDefault="004830B6" w:rsidP="004830B6">
      <w:pPr>
        <w:pStyle w:val="Mjtext"/>
        <w:rPr>
          <w:szCs w:val="20"/>
        </w:rPr>
      </w:pPr>
      <w:r>
        <w:t>Přijaté transfery můžeme podle poskytovatelů jednotlivých transferů rozdělit do několika skupin, a to:</w:t>
      </w:r>
    </w:p>
    <w:p w:rsidR="004830B6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 w:rsidRPr="00017287">
        <w:rPr>
          <w:szCs w:val="20"/>
          <w:u w:val="single"/>
        </w:rPr>
        <w:t>Přijaté transfery z</w:t>
      </w:r>
      <w:r w:rsidR="001E7BF2">
        <w:rPr>
          <w:szCs w:val="20"/>
          <w:u w:val="single"/>
        </w:rPr>
        <w:t> </w:t>
      </w:r>
      <w:r w:rsidRPr="00017287">
        <w:rPr>
          <w:szCs w:val="20"/>
          <w:u w:val="single"/>
        </w:rPr>
        <w:t>ústředních rozpočtů</w:t>
      </w:r>
      <w:r w:rsidRPr="00017287">
        <w:rPr>
          <w:szCs w:val="20"/>
        </w:rPr>
        <w:t xml:space="preserve"> </w:t>
      </w:r>
      <w:r>
        <w:rPr>
          <w:szCs w:val="20"/>
        </w:rPr>
        <w:t>–</w:t>
      </w:r>
      <w:r w:rsidRPr="00017287">
        <w:rPr>
          <w:szCs w:val="20"/>
        </w:rPr>
        <w:t xml:space="preserve"> poskytovatelem</w:t>
      </w:r>
      <w:r>
        <w:rPr>
          <w:szCs w:val="20"/>
        </w:rPr>
        <w:t xml:space="preserve"> těchto transferů jsou ústřední rozpočty (ministerstva, všeobecná pokladní správa, Národní fond, státní fondy a ostatní organizační složky státu) – výše výnosů z</w:t>
      </w:r>
      <w:r w:rsidR="001E7BF2">
        <w:rPr>
          <w:szCs w:val="20"/>
        </w:rPr>
        <w:t> </w:t>
      </w:r>
      <w:r>
        <w:rPr>
          <w:szCs w:val="20"/>
        </w:rPr>
        <w:t xml:space="preserve">těchto transferů činí </w:t>
      </w:r>
      <w:r w:rsidR="00BF77A4">
        <w:rPr>
          <w:szCs w:val="20"/>
        </w:rPr>
        <w:t>583.956 </w:t>
      </w:r>
      <w:r>
        <w:rPr>
          <w:szCs w:val="20"/>
        </w:rPr>
        <w:t>tis.</w:t>
      </w:r>
      <w:r w:rsidR="00BF77A4">
        <w:rPr>
          <w:szCs w:val="20"/>
        </w:rPr>
        <w:t> </w:t>
      </w:r>
      <w:r>
        <w:rPr>
          <w:szCs w:val="20"/>
        </w:rPr>
        <w:t>Kč. Převážná část těchto transferů je poskytována v</w:t>
      </w:r>
      <w:r w:rsidR="001E7BF2">
        <w:rPr>
          <w:szCs w:val="20"/>
        </w:rPr>
        <w:t> </w:t>
      </w:r>
      <w:r>
        <w:rPr>
          <w:szCs w:val="20"/>
        </w:rPr>
        <w:t>rámci projektů spolufinancovaných EU</w:t>
      </w:r>
      <w:r w:rsidR="00BF77A4">
        <w:rPr>
          <w:szCs w:val="20"/>
        </w:rPr>
        <w:t>, především v</w:t>
      </w:r>
      <w:r w:rsidR="001E7BF2">
        <w:rPr>
          <w:szCs w:val="20"/>
        </w:rPr>
        <w:t> </w:t>
      </w:r>
      <w:r w:rsidR="00BF77A4">
        <w:rPr>
          <w:szCs w:val="20"/>
        </w:rPr>
        <w:t>oblasti globálních grantů</w:t>
      </w:r>
      <w:r w:rsidR="00760706">
        <w:rPr>
          <w:szCs w:val="20"/>
        </w:rPr>
        <w:t>.</w:t>
      </w:r>
      <w:r w:rsidR="00D65B52">
        <w:rPr>
          <w:szCs w:val="20"/>
        </w:rPr>
        <w:t xml:space="preserve"> Oproti roku 201</w:t>
      </w:r>
      <w:r w:rsidR="00BF77A4">
        <w:rPr>
          <w:szCs w:val="20"/>
        </w:rPr>
        <w:t>2</w:t>
      </w:r>
      <w:r w:rsidR="00D65B52">
        <w:rPr>
          <w:szCs w:val="20"/>
        </w:rPr>
        <w:t xml:space="preserve"> došlo k</w:t>
      </w:r>
      <w:r w:rsidR="001E7BF2">
        <w:rPr>
          <w:szCs w:val="20"/>
        </w:rPr>
        <w:t> </w:t>
      </w:r>
      <w:r w:rsidR="00BF77A4">
        <w:rPr>
          <w:szCs w:val="20"/>
        </w:rPr>
        <w:t>nárůstu</w:t>
      </w:r>
      <w:r w:rsidR="00D65B52">
        <w:rPr>
          <w:szCs w:val="20"/>
        </w:rPr>
        <w:t xml:space="preserve"> těchto dotací o </w:t>
      </w:r>
      <w:r w:rsidR="004C6F12">
        <w:rPr>
          <w:szCs w:val="20"/>
        </w:rPr>
        <w:t>32.880</w:t>
      </w:r>
      <w:r w:rsidR="00BF77A4">
        <w:rPr>
          <w:szCs w:val="20"/>
        </w:rPr>
        <w:t> </w:t>
      </w:r>
      <w:r w:rsidR="00D65B52">
        <w:rPr>
          <w:szCs w:val="20"/>
        </w:rPr>
        <w:t>tis.</w:t>
      </w:r>
      <w:r w:rsidR="00BF77A4">
        <w:rPr>
          <w:szCs w:val="20"/>
        </w:rPr>
        <w:t> </w:t>
      </w:r>
      <w:r w:rsidR="00D65B52">
        <w:rPr>
          <w:szCs w:val="20"/>
        </w:rPr>
        <w:t>Kč.</w:t>
      </w:r>
    </w:p>
    <w:p w:rsidR="004830B6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z</w:t>
      </w:r>
      <w:r w:rsidR="001E7BF2">
        <w:rPr>
          <w:szCs w:val="20"/>
          <w:u w:val="single"/>
        </w:rPr>
        <w:t> </w:t>
      </w:r>
      <w:r w:rsidR="009714DD">
        <w:rPr>
          <w:szCs w:val="20"/>
          <w:u w:val="single"/>
        </w:rPr>
        <w:t>ÚSC</w:t>
      </w:r>
      <w:r>
        <w:rPr>
          <w:szCs w:val="20"/>
          <w:u w:val="single"/>
        </w:rPr>
        <w:t xml:space="preserve"> </w:t>
      </w:r>
      <w:r w:rsidR="00E818F0">
        <w:rPr>
          <w:szCs w:val="20"/>
          <w:u w:val="single"/>
        </w:rPr>
        <w:t xml:space="preserve">a </w:t>
      </w:r>
      <w:r w:rsidR="009714DD">
        <w:rPr>
          <w:szCs w:val="20"/>
          <w:u w:val="single"/>
        </w:rPr>
        <w:t>RRRS MSK</w:t>
      </w:r>
      <w:r w:rsidR="009714DD" w:rsidRPr="009714DD">
        <w:rPr>
          <w:szCs w:val="20"/>
        </w:rPr>
        <w:t xml:space="preserve"> </w:t>
      </w:r>
      <w:r>
        <w:rPr>
          <w:szCs w:val="20"/>
        </w:rPr>
        <w:t>–</w:t>
      </w:r>
      <w:r w:rsidRPr="00BA5E69">
        <w:rPr>
          <w:szCs w:val="20"/>
        </w:rPr>
        <w:t xml:space="preserve"> pos</w:t>
      </w:r>
      <w:r>
        <w:rPr>
          <w:szCs w:val="20"/>
        </w:rPr>
        <w:t>kytovateli těchto transferů jsou jednotlivé kraje, obce,</w:t>
      </w:r>
      <w:r w:rsidR="009714DD">
        <w:rPr>
          <w:szCs w:val="20"/>
        </w:rPr>
        <w:t xml:space="preserve"> RRRS MSK,</w:t>
      </w:r>
      <w:r w:rsidR="00E818F0">
        <w:rPr>
          <w:szCs w:val="20"/>
        </w:rPr>
        <w:t xml:space="preserve"> </w:t>
      </w:r>
      <w:r>
        <w:rPr>
          <w:szCs w:val="20"/>
        </w:rPr>
        <w:t xml:space="preserve">event. příspěvkové organizace kraje (u projektů). Na </w:t>
      </w:r>
      <w:r w:rsidR="009714DD">
        <w:rPr>
          <w:szCs w:val="20"/>
        </w:rPr>
        <w:t>c</w:t>
      </w:r>
      <w:r>
        <w:rPr>
          <w:szCs w:val="20"/>
        </w:rPr>
        <w:t xml:space="preserve">elkových výnosech ve výši </w:t>
      </w:r>
      <w:r w:rsidR="009F6515">
        <w:rPr>
          <w:szCs w:val="20"/>
        </w:rPr>
        <w:t>52.858 </w:t>
      </w:r>
      <w:r>
        <w:rPr>
          <w:szCs w:val="20"/>
        </w:rPr>
        <w:t>tis.</w:t>
      </w:r>
      <w:r w:rsidR="009F6515">
        <w:rPr>
          <w:szCs w:val="20"/>
        </w:rPr>
        <w:t> </w:t>
      </w:r>
      <w:r>
        <w:rPr>
          <w:szCs w:val="20"/>
        </w:rPr>
        <w:t xml:space="preserve">Kč se nejvíce podílí </w:t>
      </w:r>
      <w:r w:rsidR="005C03F7">
        <w:rPr>
          <w:szCs w:val="20"/>
        </w:rPr>
        <w:t>RRRS</w:t>
      </w:r>
      <w:r w:rsidR="009714DD">
        <w:rPr>
          <w:szCs w:val="20"/>
        </w:rPr>
        <w:t xml:space="preserve"> MSK</w:t>
      </w:r>
      <w:r w:rsidR="005C03F7">
        <w:rPr>
          <w:szCs w:val="20"/>
        </w:rPr>
        <w:t xml:space="preserve"> </w:t>
      </w:r>
      <w:r>
        <w:rPr>
          <w:szCs w:val="20"/>
        </w:rPr>
        <w:t>(</w:t>
      </w:r>
      <w:r w:rsidR="009F6515">
        <w:rPr>
          <w:szCs w:val="20"/>
        </w:rPr>
        <w:t>51.73</w:t>
      </w:r>
      <w:r w:rsidR="00654339">
        <w:rPr>
          <w:szCs w:val="20"/>
        </w:rPr>
        <w:t>9</w:t>
      </w:r>
      <w:r>
        <w:rPr>
          <w:szCs w:val="20"/>
        </w:rPr>
        <w:t> tis. Kč). I v</w:t>
      </w:r>
      <w:r w:rsidR="001E7BF2">
        <w:rPr>
          <w:szCs w:val="20"/>
        </w:rPr>
        <w:t> </w:t>
      </w:r>
      <w:r>
        <w:rPr>
          <w:szCs w:val="20"/>
        </w:rPr>
        <w:t>tomto případě se jedná o výnosy časově rozlišené</w:t>
      </w:r>
      <w:r w:rsidR="00E818F0">
        <w:rPr>
          <w:szCs w:val="20"/>
        </w:rPr>
        <w:t>, včetně finančního vypořádání</w:t>
      </w:r>
      <w:r w:rsidR="009F6515">
        <w:rPr>
          <w:szCs w:val="20"/>
        </w:rPr>
        <w:t xml:space="preserve"> dotací</w:t>
      </w:r>
      <w:r w:rsidR="00E818F0">
        <w:rPr>
          <w:szCs w:val="20"/>
        </w:rPr>
        <w:t>.</w:t>
      </w:r>
    </w:p>
    <w:p w:rsidR="00D70D02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od ostatních subjektů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="005837DB" w:rsidRPr="005837DB">
        <w:rPr>
          <w:szCs w:val="20"/>
        </w:rPr>
        <w:t xml:space="preserve"> </w:t>
      </w:r>
      <w:r w:rsidR="005837DB">
        <w:rPr>
          <w:szCs w:val="20"/>
        </w:rPr>
        <w:t>poskytovatelem těchto transferů, které jsou poskytovány formou finančních darů</w:t>
      </w:r>
      <w:r w:rsidR="009F6515">
        <w:rPr>
          <w:szCs w:val="20"/>
        </w:rPr>
        <w:t xml:space="preserve"> a příspěvků</w:t>
      </w:r>
      <w:r w:rsidR="005837DB">
        <w:rPr>
          <w:szCs w:val="20"/>
        </w:rPr>
        <w:t>, jsou různé akciové společnosti, s.r.o. a další neveřejné subjekty. Z</w:t>
      </w:r>
      <w:r w:rsidR="001E7BF2">
        <w:rPr>
          <w:szCs w:val="20"/>
        </w:rPr>
        <w:t> </w:t>
      </w:r>
      <w:r w:rsidR="005837DB">
        <w:rPr>
          <w:szCs w:val="20"/>
        </w:rPr>
        <w:t xml:space="preserve">celkového objemu přijatých </w:t>
      </w:r>
      <w:r w:rsidR="009F6515">
        <w:rPr>
          <w:szCs w:val="20"/>
        </w:rPr>
        <w:t>transferů</w:t>
      </w:r>
      <w:r w:rsidR="005837DB">
        <w:rPr>
          <w:szCs w:val="20"/>
        </w:rPr>
        <w:t xml:space="preserve"> (vč. finančního vypořádání poskytnutých transferů</w:t>
      </w:r>
      <w:r w:rsidR="009F6515">
        <w:rPr>
          <w:szCs w:val="20"/>
        </w:rPr>
        <w:t xml:space="preserve"> a transferů ze zahraničí</w:t>
      </w:r>
      <w:r w:rsidR="005837DB">
        <w:rPr>
          <w:szCs w:val="20"/>
        </w:rPr>
        <w:t xml:space="preserve">) ve výši </w:t>
      </w:r>
      <w:r w:rsidR="009F6515">
        <w:rPr>
          <w:szCs w:val="20"/>
        </w:rPr>
        <w:t>22.465 </w:t>
      </w:r>
      <w:r w:rsidR="005837DB">
        <w:rPr>
          <w:szCs w:val="20"/>
        </w:rPr>
        <w:t>tis.</w:t>
      </w:r>
      <w:r w:rsidR="009F6515">
        <w:rPr>
          <w:szCs w:val="20"/>
        </w:rPr>
        <w:t> </w:t>
      </w:r>
      <w:r w:rsidR="005837DB">
        <w:rPr>
          <w:szCs w:val="20"/>
        </w:rPr>
        <w:t>Kč činil největší objem příjem příspěvku od</w:t>
      </w:r>
      <w:r w:rsidR="00CE67F4">
        <w:rPr>
          <w:szCs w:val="20"/>
        </w:rPr>
        <w:t> </w:t>
      </w:r>
      <w:r w:rsidR="005837DB">
        <w:rPr>
          <w:szCs w:val="20"/>
        </w:rPr>
        <w:t xml:space="preserve">firmy </w:t>
      </w:r>
      <w:r w:rsidR="005837DB" w:rsidRPr="008E0E70">
        <w:rPr>
          <w:szCs w:val="20"/>
        </w:rPr>
        <w:t>Hyundai Motor Manufacturing Czech s.r.o</w:t>
      </w:r>
      <w:r w:rsidR="005837DB">
        <w:rPr>
          <w:szCs w:val="20"/>
        </w:rPr>
        <w:t>. ve výši 19</w:t>
      </w:r>
      <w:r w:rsidR="005837DB" w:rsidRPr="006C7709">
        <w:rPr>
          <w:szCs w:val="20"/>
        </w:rPr>
        <w:t>.</w:t>
      </w:r>
      <w:r w:rsidR="005837DB" w:rsidRPr="00AD17F9">
        <w:rPr>
          <w:szCs w:val="20"/>
        </w:rPr>
        <w:t>080</w:t>
      </w:r>
      <w:r w:rsidR="009F6515">
        <w:rPr>
          <w:szCs w:val="20"/>
        </w:rPr>
        <w:t> </w:t>
      </w:r>
      <w:r w:rsidR="005837DB" w:rsidRPr="00AD17F9">
        <w:rPr>
          <w:szCs w:val="20"/>
        </w:rPr>
        <w:t>tis.</w:t>
      </w:r>
      <w:r w:rsidR="009F6515">
        <w:rPr>
          <w:szCs w:val="20"/>
        </w:rPr>
        <w:t> </w:t>
      </w:r>
      <w:r w:rsidR="005837DB" w:rsidRPr="00AD17F9">
        <w:rPr>
          <w:szCs w:val="20"/>
        </w:rPr>
        <w:t>Kč</w:t>
      </w:r>
      <w:r w:rsidR="005837DB">
        <w:rPr>
          <w:szCs w:val="20"/>
        </w:rPr>
        <w:t>. Tyto dary</w:t>
      </w:r>
      <w:r w:rsidR="009F6515">
        <w:rPr>
          <w:szCs w:val="20"/>
        </w:rPr>
        <w:t xml:space="preserve"> a příspěvky</w:t>
      </w:r>
      <w:r w:rsidR="005837DB">
        <w:rPr>
          <w:szCs w:val="20"/>
        </w:rPr>
        <w:t xml:space="preserve"> jsou v</w:t>
      </w:r>
      <w:r w:rsidR="001E7BF2">
        <w:rPr>
          <w:szCs w:val="20"/>
        </w:rPr>
        <w:t> </w:t>
      </w:r>
      <w:r w:rsidR="005837DB">
        <w:rPr>
          <w:szCs w:val="20"/>
        </w:rPr>
        <w:t>převážné většině poskytovány účelově.</w:t>
      </w:r>
    </w:p>
    <w:p w:rsidR="009F6515" w:rsidRDefault="009F6515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 xml:space="preserve">Časové rozlišení investičních transferů </w:t>
      </w:r>
      <w:r>
        <w:rPr>
          <w:szCs w:val="20"/>
        </w:rPr>
        <w:t>– jedná se</w:t>
      </w:r>
      <w:r w:rsidR="003339B7">
        <w:rPr>
          <w:szCs w:val="20"/>
        </w:rPr>
        <w:t xml:space="preserve"> </w:t>
      </w:r>
      <w:r w:rsidR="00F3712C">
        <w:rPr>
          <w:szCs w:val="20"/>
        </w:rPr>
        <w:t>o</w:t>
      </w:r>
      <w:r>
        <w:rPr>
          <w:szCs w:val="20"/>
        </w:rPr>
        <w:t xml:space="preserve"> </w:t>
      </w:r>
      <w:r w:rsidR="00F3712C">
        <w:rPr>
          <w:szCs w:val="20"/>
        </w:rPr>
        <w:t xml:space="preserve">postupné </w:t>
      </w:r>
      <w:r>
        <w:rPr>
          <w:szCs w:val="20"/>
        </w:rPr>
        <w:t>roz</w:t>
      </w:r>
      <w:r w:rsidR="003339B7">
        <w:rPr>
          <w:szCs w:val="20"/>
        </w:rPr>
        <w:t xml:space="preserve">pouštění investičních transferů, které jsou evidovány na </w:t>
      </w:r>
      <w:r w:rsidR="00F3712C">
        <w:rPr>
          <w:szCs w:val="20"/>
        </w:rPr>
        <w:t xml:space="preserve">účtu </w:t>
      </w:r>
      <w:r w:rsidR="003339B7">
        <w:rPr>
          <w:szCs w:val="20"/>
        </w:rPr>
        <w:t>403</w:t>
      </w:r>
      <w:r w:rsidR="00654339">
        <w:rPr>
          <w:szCs w:val="20"/>
        </w:rPr>
        <w:t>,</w:t>
      </w:r>
      <w:r w:rsidR="003339B7">
        <w:rPr>
          <w:szCs w:val="20"/>
        </w:rPr>
        <w:t xml:space="preserve"> do výnosů, a to </w:t>
      </w:r>
      <w:r w:rsidR="00F3712C">
        <w:rPr>
          <w:szCs w:val="20"/>
        </w:rPr>
        <w:t xml:space="preserve">zaúčtováním </w:t>
      </w:r>
      <w:r w:rsidR="003339B7">
        <w:rPr>
          <w:szCs w:val="20"/>
        </w:rPr>
        <w:t xml:space="preserve">na výnosový účet 672. Při pořízení dlouhodobého majetku jsou investiční </w:t>
      </w:r>
      <w:r w:rsidR="00F3712C">
        <w:rPr>
          <w:szCs w:val="20"/>
        </w:rPr>
        <w:t>transfery</w:t>
      </w:r>
      <w:r w:rsidR="00654339">
        <w:rPr>
          <w:szCs w:val="20"/>
        </w:rPr>
        <w:t>, poskytnuté na financování majetku</w:t>
      </w:r>
      <w:r w:rsidR="004A25FF">
        <w:rPr>
          <w:szCs w:val="20"/>
        </w:rPr>
        <w:t>,</w:t>
      </w:r>
      <w:r w:rsidR="003339B7">
        <w:rPr>
          <w:szCs w:val="20"/>
        </w:rPr>
        <w:t xml:space="preserve"> zaúčtovány na účet 403</w:t>
      </w:r>
      <w:r w:rsidR="00F3712C">
        <w:rPr>
          <w:szCs w:val="20"/>
        </w:rPr>
        <w:t xml:space="preserve"> a do výnosů jsou rozpouštěny v</w:t>
      </w:r>
      <w:r w:rsidR="001E7BF2">
        <w:rPr>
          <w:szCs w:val="20"/>
        </w:rPr>
        <w:t> </w:t>
      </w:r>
      <w:r w:rsidR="00F3712C">
        <w:rPr>
          <w:szCs w:val="20"/>
        </w:rPr>
        <w:t>alikvótní části vzhledem k</w:t>
      </w:r>
      <w:r w:rsidR="001E7BF2">
        <w:rPr>
          <w:szCs w:val="20"/>
        </w:rPr>
        <w:t> </w:t>
      </w:r>
      <w:r w:rsidR="00F3712C">
        <w:rPr>
          <w:szCs w:val="20"/>
        </w:rPr>
        <w:t>zaúčtovaným odpisům. Do</w:t>
      </w:r>
      <w:r w:rsidR="00CE67F4">
        <w:rPr>
          <w:szCs w:val="20"/>
        </w:rPr>
        <w:t> </w:t>
      </w:r>
      <w:r w:rsidR="00F3712C">
        <w:rPr>
          <w:szCs w:val="20"/>
        </w:rPr>
        <w:t>časového rozlišení se promítá také finanční vypořádání investičních transferů v</w:t>
      </w:r>
      <w:r w:rsidR="001E7BF2">
        <w:rPr>
          <w:szCs w:val="20"/>
        </w:rPr>
        <w:t> </w:t>
      </w:r>
      <w:r w:rsidR="00F3712C">
        <w:rPr>
          <w:szCs w:val="20"/>
        </w:rPr>
        <w:t>případě, když konečná dotace je vypořádaná až po zavedení majetku do používání.</w:t>
      </w:r>
    </w:p>
    <w:p w:rsidR="004830B6" w:rsidRDefault="004830B6" w:rsidP="00CD11C6">
      <w:pPr>
        <w:pStyle w:val="Nadpis3"/>
      </w:pPr>
      <w:bookmarkStart w:id="33" w:name="_Toc388005082"/>
      <w:r w:rsidRPr="00AC4BF9">
        <w:lastRenderedPageBreak/>
        <w:t>Výnosy ze sdílených daní a poplatků</w:t>
      </w:r>
      <w:bookmarkEnd w:id="33"/>
    </w:p>
    <w:p w:rsidR="00267BAE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4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1.14</w:t>
        </w:r>
      </w:smartTag>
      <w:r w:rsidR="00D65B52" w:rsidRPr="002C14AA">
        <w:rPr>
          <w:rFonts w:ascii="Tahoma" w:hAnsi="Tahoma" w:cs="Tahoma"/>
          <w:sz w:val="20"/>
          <w:szCs w:val="20"/>
        </w:rPr>
        <w:t xml:space="preserve"> jsou uvedeny</w:t>
      </w:r>
      <w:r w:rsidR="00D65B52">
        <w:rPr>
          <w:rFonts w:ascii="Tahoma" w:hAnsi="Tahoma" w:cs="Tahoma"/>
          <w:sz w:val="20"/>
          <w:szCs w:val="20"/>
        </w:rPr>
        <w:t xml:space="preserve">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ze sdílených daní a poplatků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</w:t>
      </w:r>
      <w:r w:rsidR="00D65B5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jed</w:t>
      </w:r>
      <w:r w:rsidR="003C642D">
        <w:rPr>
          <w:rFonts w:ascii="Tahoma" w:hAnsi="Tahoma" w:cs="Tahoma"/>
          <w:sz w:val="20"/>
          <w:szCs w:val="20"/>
        </w:rPr>
        <w:t>notlivých položek za období 2013</w:t>
      </w:r>
      <w:r>
        <w:rPr>
          <w:rFonts w:ascii="Tahoma" w:hAnsi="Tahoma" w:cs="Tahoma"/>
          <w:sz w:val="20"/>
          <w:szCs w:val="20"/>
        </w:rPr>
        <w:t xml:space="preserve"> a 201</w:t>
      </w:r>
      <w:r w:rsidR="003C64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</w:p>
    <w:p w:rsidR="001F03B7" w:rsidRPr="001F03B7" w:rsidRDefault="001F03B7" w:rsidP="001F03B7">
      <w:pPr>
        <w:pStyle w:val="Styltab"/>
      </w:pPr>
      <w:r>
        <w:t>Výnosy ze sdílených daní a poplatků</w:t>
      </w:r>
      <w:r>
        <w:tab/>
        <w:t>v</w:t>
      </w:r>
      <w:r w:rsidR="001E7BF2">
        <w:t> </w:t>
      </w:r>
      <w:r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96"/>
        <w:gridCol w:w="1122"/>
      </w:tblGrid>
      <w:tr w:rsidR="004830B6" w:rsidRPr="00D70D02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D11A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D11A3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D11A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D11A3E">
              <w:rPr>
                <w:rFonts w:ascii="Tahoma" w:hAnsi="Tahoma" w:cs="Tahoma"/>
                <w:sz w:val="16"/>
                <w:szCs w:val="16"/>
              </w:rPr>
              <w:t>2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654339" w:rsidRDefault="00CC7473" w:rsidP="00E63DE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(2013-2012)</w:t>
            </w:r>
          </w:p>
        </w:tc>
      </w:tr>
      <w:tr w:rsidR="0007086B" w:rsidRPr="00D70D02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B" w:rsidRPr="00D70D02" w:rsidRDefault="0007086B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Výnosy ze sdílených daní a poplatků,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 w:rsidR="001E7BF2"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86B">
              <w:rPr>
                <w:rFonts w:ascii="Tahoma" w:hAnsi="Tahoma" w:cs="Tahoma"/>
                <w:b/>
                <w:bCs/>
                <w:sz w:val="16"/>
                <w:szCs w:val="16"/>
              </w:rPr>
              <w:t>4 672 180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86B">
              <w:rPr>
                <w:rFonts w:ascii="Tahoma" w:hAnsi="Tahoma" w:cs="Tahoma"/>
                <w:b/>
                <w:bCs/>
                <w:sz w:val="16"/>
                <w:szCs w:val="16"/>
              </w:rPr>
              <w:t>4 535 180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07086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137 000</w:t>
            </w:r>
          </w:p>
        </w:tc>
      </w:tr>
      <w:tr w:rsidR="0007086B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D70D02" w:rsidRDefault="0007086B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681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fyzických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1 193 480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1 161 613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7086B">
              <w:rPr>
                <w:rFonts w:ascii="Tahoma" w:hAnsi="Tahoma" w:cs="Tahoma"/>
                <w:i/>
                <w:iCs/>
                <w:sz w:val="16"/>
                <w:szCs w:val="16"/>
              </w:rPr>
              <w:t>31 867</w:t>
            </w:r>
          </w:p>
        </w:tc>
      </w:tr>
      <w:tr w:rsidR="0007086B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D70D02" w:rsidRDefault="0007086B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682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dané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právnických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1 124 153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1 122 840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7086B">
              <w:rPr>
                <w:rFonts w:ascii="Tahoma" w:hAnsi="Tahoma" w:cs="Tahoma"/>
                <w:i/>
                <w:iCs/>
                <w:sz w:val="16"/>
                <w:szCs w:val="16"/>
              </w:rPr>
              <w:t>1 313</w:t>
            </w:r>
          </w:p>
        </w:tc>
      </w:tr>
      <w:tr w:rsidR="0007086B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D70D02" w:rsidRDefault="0007086B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684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2 331 902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2 228 955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7086B">
              <w:rPr>
                <w:rFonts w:ascii="Tahoma" w:hAnsi="Tahoma" w:cs="Tahoma"/>
                <w:i/>
                <w:iCs/>
                <w:sz w:val="16"/>
                <w:szCs w:val="16"/>
              </w:rPr>
              <w:t>102 947</w:t>
            </w:r>
          </w:p>
        </w:tc>
      </w:tr>
      <w:tr w:rsidR="0007086B" w:rsidRPr="00D70D02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D70D02" w:rsidRDefault="0007086B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688 </w:t>
            </w:r>
            <w:r w:rsidR="001E7BF2"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ostatních sdílených daní a poplatků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22 645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7086B">
              <w:rPr>
                <w:rFonts w:ascii="Tahoma" w:hAnsi="Tahoma" w:cs="Tahoma"/>
                <w:sz w:val="16"/>
                <w:szCs w:val="16"/>
              </w:rPr>
              <w:t>21 772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86B" w:rsidRPr="0007086B" w:rsidRDefault="0007086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7086B">
              <w:rPr>
                <w:rFonts w:ascii="Tahoma" w:hAnsi="Tahoma" w:cs="Tahoma"/>
                <w:i/>
                <w:iCs/>
                <w:sz w:val="16"/>
                <w:szCs w:val="16"/>
              </w:rPr>
              <w:t>873</w:t>
            </w:r>
          </w:p>
        </w:tc>
      </w:tr>
    </w:tbl>
    <w:p w:rsidR="00D65B52" w:rsidRDefault="004830B6" w:rsidP="001F03B7">
      <w:pPr>
        <w:pStyle w:val="Mjtext"/>
        <w:spacing w:before="240"/>
        <w:rPr>
          <w:szCs w:val="20"/>
        </w:rPr>
      </w:pPr>
      <w:r w:rsidRPr="001D5BC1">
        <w:rPr>
          <w:szCs w:val="20"/>
          <w:u w:val="single"/>
        </w:rPr>
        <w:t>Výnosy ze sdílených daní</w:t>
      </w:r>
      <w:r>
        <w:rPr>
          <w:szCs w:val="20"/>
          <w:u w:val="single"/>
        </w:rPr>
        <w:t xml:space="preserve"> a poplatků</w:t>
      </w:r>
      <w:r>
        <w:rPr>
          <w:szCs w:val="20"/>
        </w:rPr>
        <w:t xml:space="preserve"> obsahují výnosy z</w:t>
      </w:r>
      <w:r w:rsidR="001E7BF2">
        <w:rPr>
          <w:szCs w:val="20"/>
        </w:rPr>
        <w:t> </w:t>
      </w:r>
      <w:r>
        <w:rPr>
          <w:szCs w:val="20"/>
        </w:rPr>
        <w:t>daní z</w:t>
      </w:r>
      <w:r w:rsidR="001E7BF2">
        <w:rPr>
          <w:szCs w:val="20"/>
        </w:rPr>
        <w:t> </w:t>
      </w:r>
      <w:r>
        <w:rPr>
          <w:szCs w:val="20"/>
        </w:rPr>
        <w:t>příj</w:t>
      </w:r>
      <w:r w:rsidR="00E818F0">
        <w:rPr>
          <w:szCs w:val="20"/>
        </w:rPr>
        <w:t>mů fyzických osob vykázaných na </w:t>
      </w:r>
      <w:r>
        <w:rPr>
          <w:szCs w:val="20"/>
        </w:rPr>
        <w:t>účtu 681 ve výši 1.1</w:t>
      </w:r>
      <w:r w:rsidR="0007086B">
        <w:rPr>
          <w:szCs w:val="20"/>
        </w:rPr>
        <w:t>93</w:t>
      </w:r>
      <w:r>
        <w:rPr>
          <w:szCs w:val="20"/>
        </w:rPr>
        <w:t>.</w:t>
      </w:r>
      <w:r w:rsidR="0007086B">
        <w:rPr>
          <w:szCs w:val="20"/>
        </w:rPr>
        <w:t>480</w:t>
      </w:r>
      <w:r>
        <w:rPr>
          <w:szCs w:val="20"/>
        </w:rPr>
        <w:t xml:space="preserve"> tis. Kč, </w:t>
      </w:r>
      <w:r w:rsidR="00E818F0">
        <w:rPr>
          <w:szCs w:val="20"/>
        </w:rPr>
        <w:t>z</w:t>
      </w:r>
      <w:r w:rsidR="001E7BF2">
        <w:rPr>
          <w:szCs w:val="20"/>
        </w:rPr>
        <w:t> </w:t>
      </w:r>
      <w:r w:rsidR="00E818F0">
        <w:rPr>
          <w:szCs w:val="20"/>
        </w:rPr>
        <w:t xml:space="preserve">příjmů </w:t>
      </w:r>
      <w:r>
        <w:rPr>
          <w:szCs w:val="20"/>
        </w:rPr>
        <w:t>právnických osob vykázaných na účtu 682 ve výši 1.12</w:t>
      </w:r>
      <w:r w:rsidR="0007086B">
        <w:rPr>
          <w:szCs w:val="20"/>
        </w:rPr>
        <w:t>4</w:t>
      </w:r>
      <w:r>
        <w:rPr>
          <w:szCs w:val="20"/>
        </w:rPr>
        <w:t>.</w:t>
      </w:r>
      <w:r w:rsidR="0007086B">
        <w:rPr>
          <w:szCs w:val="20"/>
        </w:rPr>
        <w:t>153</w:t>
      </w:r>
      <w:r>
        <w:rPr>
          <w:szCs w:val="20"/>
        </w:rPr>
        <w:t xml:space="preserve"> tis. Kč </w:t>
      </w:r>
      <w:r w:rsidR="00FE51F7">
        <w:rPr>
          <w:szCs w:val="20"/>
        </w:rPr>
        <w:t>(</w:t>
      </w:r>
      <w:r w:rsidR="00E818F0">
        <w:rPr>
          <w:szCs w:val="20"/>
        </w:rPr>
        <w:t>součástí této daně</w:t>
      </w:r>
      <w:r w:rsidR="00FE2D83">
        <w:rPr>
          <w:szCs w:val="20"/>
        </w:rPr>
        <w:t xml:space="preserve"> je</w:t>
      </w:r>
      <w:r w:rsidR="00E818F0">
        <w:rPr>
          <w:szCs w:val="20"/>
        </w:rPr>
        <w:t xml:space="preserve"> i daň z</w:t>
      </w:r>
      <w:r w:rsidR="001E7BF2">
        <w:rPr>
          <w:szCs w:val="20"/>
        </w:rPr>
        <w:t> </w:t>
      </w:r>
      <w:r w:rsidR="00E818F0">
        <w:rPr>
          <w:szCs w:val="20"/>
        </w:rPr>
        <w:t xml:space="preserve">příjmů právnických osob za kraj) </w:t>
      </w:r>
      <w:r>
        <w:rPr>
          <w:szCs w:val="20"/>
        </w:rPr>
        <w:t>a daně z</w:t>
      </w:r>
      <w:r w:rsidR="001E7BF2">
        <w:rPr>
          <w:szCs w:val="20"/>
        </w:rPr>
        <w:t> </w:t>
      </w:r>
      <w:r>
        <w:rPr>
          <w:szCs w:val="20"/>
        </w:rPr>
        <w:t>přidané hodnoty</w:t>
      </w:r>
      <w:r w:rsidR="00FE51F7">
        <w:rPr>
          <w:szCs w:val="20"/>
        </w:rPr>
        <w:t>,</w:t>
      </w:r>
      <w:r>
        <w:rPr>
          <w:szCs w:val="20"/>
        </w:rPr>
        <w:t xml:space="preserve"> vykázan</w:t>
      </w:r>
      <w:r w:rsidR="00FE51F7">
        <w:rPr>
          <w:szCs w:val="20"/>
        </w:rPr>
        <w:t>é</w:t>
      </w:r>
      <w:r>
        <w:rPr>
          <w:szCs w:val="20"/>
        </w:rPr>
        <w:t xml:space="preserve"> na účtu 684 ve výši 2.</w:t>
      </w:r>
      <w:r w:rsidR="0007086B">
        <w:rPr>
          <w:szCs w:val="20"/>
        </w:rPr>
        <w:t>331.902 </w:t>
      </w:r>
      <w:r>
        <w:rPr>
          <w:szCs w:val="20"/>
        </w:rPr>
        <w:t>tis.</w:t>
      </w:r>
      <w:r w:rsidR="0007086B">
        <w:rPr>
          <w:szCs w:val="20"/>
        </w:rPr>
        <w:t> </w:t>
      </w:r>
      <w:r>
        <w:rPr>
          <w:szCs w:val="20"/>
        </w:rPr>
        <w:t>Kč (</w:t>
      </w:r>
      <w:r w:rsidR="00FE51F7">
        <w:rPr>
          <w:szCs w:val="20"/>
        </w:rPr>
        <w:t>t</w:t>
      </w:r>
      <w:r>
        <w:rPr>
          <w:szCs w:val="20"/>
        </w:rPr>
        <w:t xml:space="preserve">yto </w:t>
      </w:r>
      <w:r w:rsidR="00FE51F7">
        <w:rPr>
          <w:szCs w:val="20"/>
        </w:rPr>
        <w:t xml:space="preserve">příjmy jsou stanoveny </w:t>
      </w:r>
      <w:r w:rsidR="005C03F7">
        <w:rPr>
          <w:szCs w:val="20"/>
        </w:rPr>
        <w:t>n</w:t>
      </w:r>
      <w:r w:rsidR="00FE51F7">
        <w:rPr>
          <w:szCs w:val="20"/>
        </w:rPr>
        <w:t>a</w:t>
      </w:r>
      <w:r w:rsidR="005C03F7">
        <w:rPr>
          <w:szCs w:val="20"/>
        </w:rPr>
        <w:t> </w:t>
      </w:r>
      <w:r w:rsidR="00FE51F7">
        <w:rPr>
          <w:szCs w:val="20"/>
        </w:rPr>
        <w:t>základě</w:t>
      </w:r>
      <w:r>
        <w:rPr>
          <w:szCs w:val="20"/>
        </w:rPr>
        <w:t> rozpočtov</w:t>
      </w:r>
      <w:r w:rsidR="00FE51F7">
        <w:rPr>
          <w:szCs w:val="20"/>
        </w:rPr>
        <w:t>ého</w:t>
      </w:r>
      <w:r>
        <w:rPr>
          <w:szCs w:val="20"/>
        </w:rPr>
        <w:t xml:space="preserve"> určení daní</w:t>
      </w:r>
      <w:r w:rsidR="00FE51F7">
        <w:rPr>
          <w:szCs w:val="20"/>
        </w:rPr>
        <w:t>)</w:t>
      </w:r>
      <w:r>
        <w:rPr>
          <w:szCs w:val="20"/>
        </w:rPr>
        <w:t xml:space="preserve">. </w:t>
      </w:r>
      <w:r w:rsidR="00842F62">
        <w:rPr>
          <w:szCs w:val="20"/>
        </w:rPr>
        <w:t>Způsob</w:t>
      </w:r>
      <w:r>
        <w:rPr>
          <w:szCs w:val="20"/>
        </w:rPr>
        <w:t xml:space="preserve"> přerozdělování celostátních hrubých výnosů daní státního rozpočtu obcím, krajům a Státnímu fondu dopravní infrastruktury </w:t>
      </w:r>
      <w:r w:rsidRPr="003C642D">
        <w:rPr>
          <w:szCs w:val="20"/>
        </w:rPr>
        <w:t>je stanoven v</w:t>
      </w:r>
      <w:r w:rsidR="001E7BF2">
        <w:rPr>
          <w:szCs w:val="20"/>
        </w:rPr>
        <w:t> </w:t>
      </w:r>
      <w:r w:rsidRPr="003C642D">
        <w:rPr>
          <w:szCs w:val="20"/>
        </w:rPr>
        <w:t>zákoně č. 243/2000</w:t>
      </w:r>
      <w:r w:rsidR="00FE51F7" w:rsidRPr="003C642D">
        <w:rPr>
          <w:szCs w:val="20"/>
        </w:rPr>
        <w:t> </w:t>
      </w:r>
      <w:r w:rsidRPr="003C642D">
        <w:rPr>
          <w:szCs w:val="20"/>
        </w:rPr>
        <w:t>Sb., o rozpočtovém určení daní. Každý kraj se na celostátní</w:t>
      </w:r>
      <w:r w:rsidR="00842F62">
        <w:rPr>
          <w:szCs w:val="20"/>
        </w:rPr>
        <w:t>m</w:t>
      </w:r>
      <w:r w:rsidRPr="003C642D">
        <w:rPr>
          <w:szCs w:val="20"/>
        </w:rPr>
        <w:t xml:space="preserve"> výnosu daní podílí procentem stanoveným v</w:t>
      </w:r>
      <w:r w:rsidR="001E7BF2">
        <w:rPr>
          <w:szCs w:val="20"/>
        </w:rPr>
        <w:t> </w:t>
      </w:r>
      <w:r w:rsidRPr="003C642D">
        <w:rPr>
          <w:szCs w:val="20"/>
        </w:rPr>
        <w:t>příloze č. 1 tohoto zákona (Moravskoslezský kraj se podílí 9,624135 %).</w:t>
      </w:r>
      <w:r w:rsidRPr="00AD17F9">
        <w:rPr>
          <w:szCs w:val="20"/>
        </w:rPr>
        <w:t xml:space="preserve"> Na</w:t>
      </w:r>
      <w:r w:rsidR="00CE67F4">
        <w:rPr>
          <w:szCs w:val="20"/>
        </w:rPr>
        <w:t> </w:t>
      </w:r>
      <w:r w:rsidRPr="00AD17F9">
        <w:rPr>
          <w:szCs w:val="20"/>
        </w:rPr>
        <w:t xml:space="preserve">účtu 688 </w:t>
      </w:r>
      <w:r w:rsidR="003C642D">
        <w:rPr>
          <w:szCs w:val="20"/>
        </w:rPr>
        <w:t xml:space="preserve">dále </w:t>
      </w:r>
      <w:r w:rsidRPr="00AD17F9">
        <w:rPr>
          <w:szCs w:val="20"/>
        </w:rPr>
        <w:t>vykazuje kraj výnosy z</w:t>
      </w:r>
      <w:r w:rsidR="001E7BF2">
        <w:rPr>
          <w:szCs w:val="20"/>
        </w:rPr>
        <w:t> </w:t>
      </w:r>
      <w:r w:rsidRPr="00AD17F9">
        <w:rPr>
          <w:szCs w:val="20"/>
        </w:rPr>
        <w:t>ostatních sdílených daní – jedná</w:t>
      </w:r>
      <w:r>
        <w:rPr>
          <w:szCs w:val="20"/>
        </w:rPr>
        <w:t xml:space="preserve"> se o poplatky za odebrané množství podzemních vod podle zá</w:t>
      </w:r>
      <w:r w:rsidR="0007086B">
        <w:rPr>
          <w:szCs w:val="20"/>
        </w:rPr>
        <w:t>kona č. 254/2001 Sb., ve výši 22.645</w:t>
      </w:r>
      <w:r>
        <w:rPr>
          <w:szCs w:val="20"/>
        </w:rPr>
        <w:t> tis.</w:t>
      </w:r>
      <w:r w:rsidR="00842F62">
        <w:rPr>
          <w:szCs w:val="20"/>
        </w:rPr>
        <w:t> </w:t>
      </w:r>
      <w:r>
        <w:rPr>
          <w:szCs w:val="20"/>
        </w:rPr>
        <w:t>Kč (50 % poplatku je příjmem kraje). Celkové výnosy ze sdílených daní a poplatků byly v</w:t>
      </w:r>
      <w:r w:rsidR="001E7BF2">
        <w:rPr>
          <w:szCs w:val="20"/>
        </w:rPr>
        <w:t> </w:t>
      </w:r>
      <w:r>
        <w:rPr>
          <w:szCs w:val="20"/>
        </w:rPr>
        <w:t>r. 201</w:t>
      </w:r>
      <w:r w:rsidR="0007086B">
        <w:rPr>
          <w:szCs w:val="20"/>
        </w:rPr>
        <w:t>3</w:t>
      </w:r>
      <w:r>
        <w:rPr>
          <w:szCs w:val="20"/>
        </w:rPr>
        <w:t xml:space="preserve"> ve</w:t>
      </w:r>
      <w:r w:rsidR="00D65B52">
        <w:rPr>
          <w:szCs w:val="20"/>
        </w:rPr>
        <w:t xml:space="preserve"> výši </w:t>
      </w:r>
      <w:r w:rsidR="0007086B">
        <w:rPr>
          <w:szCs w:val="20"/>
        </w:rPr>
        <w:t>4.672.180 </w:t>
      </w:r>
      <w:r w:rsidR="00D65B52">
        <w:rPr>
          <w:szCs w:val="20"/>
        </w:rPr>
        <w:t xml:space="preserve"> tis.</w:t>
      </w:r>
      <w:r w:rsidR="0007086B">
        <w:rPr>
          <w:szCs w:val="20"/>
        </w:rPr>
        <w:t> Kč – oproti r. 2012 došlo ke zvýšení daňových příjmů celkem o 137.000 tis. </w:t>
      </w:r>
      <w:r w:rsidR="00081017">
        <w:rPr>
          <w:szCs w:val="20"/>
        </w:rPr>
        <w:t>Kč, nejvyšší zvýšení bylo u</w:t>
      </w:r>
      <w:r w:rsidR="00842F62">
        <w:rPr>
          <w:szCs w:val="20"/>
        </w:rPr>
        <w:t> </w:t>
      </w:r>
      <w:r w:rsidR="00081017">
        <w:rPr>
          <w:szCs w:val="20"/>
        </w:rPr>
        <w:t>výnosu z</w:t>
      </w:r>
      <w:r w:rsidR="001E7BF2">
        <w:rPr>
          <w:szCs w:val="20"/>
        </w:rPr>
        <w:t> </w:t>
      </w:r>
      <w:r w:rsidR="00081017">
        <w:rPr>
          <w:szCs w:val="20"/>
        </w:rPr>
        <w:t>daně z</w:t>
      </w:r>
      <w:r w:rsidR="001E7BF2">
        <w:rPr>
          <w:szCs w:val="20"/>
        </w:rPr>
        <w:t> </w:t>
      </w:r>
      <w:r w:rsidR="00081017">
        <w:rPr>
          <w:szCs w:val="20"/>
        </w:rPr>
        <w:t>přidané hodnoty (nárůst o 102.947 tis. Kč).</w:t>
      </w:r>
    </w:p>
    <w:p w:rsidR="004830B6" w:rsidRDefault="004830B6" w:rsidP="00FB3163">
      <w:pPr>
        <w:pStyle w:val="Nadpis2"/>
      </w:pPr>
      <w:bookmarkStart w:id="34" w:name="_Toc388005083"/>
      <w:r w:rsidRPr="00AC4BF9">
        <w:t>Výsledek hospodaření</w:t>
      </w:r>
      <w:bookmarkEnd w:id="34"/>
    </w:p>
    <w:p w:rsidR="00FE51F7" w:rsidRDefault="00FE51F7" w:rsidP="00FE51F7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5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1.15</w:t>
        </w:r>
      </w:smartTag>
      <w:r w:rsidR="00D65B52" w:rsidRPr="002C14AA">
        <w:rPr>
          <w:rFonts w:ascii="Tahoma" w:hAnsi="Tahoma" w:cs="Tahoma"/>
          <w:sz w:val="20"/>
          <w:szCs w:val="20"/>
        </w:rPr>
        <w:t xml:space="preserve"> jsou uvedeny údaje</w:t>
      </w:r>
      <w:r w:rsidR="00D65B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výsledku hospodaření a srovnání této položky za období 201</w:t>
      </w:r>
      <w:r w:rsidR="0087403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a 201</w:t>
      </w:r>
      <w:r w:rsidR="0087403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FE51F7" w:rsidRPr="00FE51F7" w:rsidRDefault="00FE51F7" w:rsidP="00FE51F7"/>
    <w:p w:rsidR="001F03B7" w:rsidRPr="001F03B7" w:rsidRDefault="001F03B7" w:rsidP="001F03B7">
      <w:pPr>
        <w:pStyle w:val="Styltab"/>
      </w:pPr>
      <w:r>
        <w:t>Výsledek hospodaření</w:t>
      </w:r>
      <w:r>
        <w:tab/>
        <w:t>v</w:t>
      </w:r>
      <w:r w:rsidR="001E7BF2">
        <w:t> </w:t>
      </w:r>
      <w:r>
        <w:t>tis. Kč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72"/>
        <w:gridCol w:w="1417"/>
        <w:gridCol w:w="1276"/>
      </w:tblGrid>
      <w:tr w:rsidR="004830B6" w:rsidRPr="00D70D02" w:rsidTr="00FA588B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 w:rsidTr="00FA588B">
        <w:trPr>
          <w:trHeight w:val="35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8740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="00FE2D83">
              <w:rPr>
                <w:rFonts w:ascii="Tahoma" w:hAnsi="Tahoma" w:cs="Tahoma"/>
                <w:sz w:val="16"/>
                <w:szCs w:val="16"/>
              </w:rPr>
              <w:t>3</w:t>
            </w:r>
            <w:r w:rsidRPr="00D70D02">
              <w:rPr>
                <w:rFonts w:ascii="Tahoma" w:hAnsi="Tahoma" w:cs="Tahoma"/>
                <w:sz w:val="16"/>
                <w:szCs w:val="16"/>
              </w:rPr>
              <w:t>1.</w:t>
            </w:r>
            <w:r w:rsidR="00D65B5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87403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8740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87403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654339" w:rsidRDefault="00CC7473" w:rsidP="00CC747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   (2013-2012)</w:t>
            </w:r>
          </w:p>
        </w:tc>
      </w:tr>
      <w:tr w:rsidR="001A14DE" w:rsidRPr="00D70D02" w:rsidTr="00FA588B">
        <w:trPr>
          <w:trHeight w:val="34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E" w:rsidRPr="00D70D02" w:rsidRDefault="001A14DE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 před zdaněním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A14DE">
              <w:rPr>
                <w:rFonts w:ascii="Tahoma" w:hAnsi="Tahoma" w:cs="Tahoma"/>
                <w:b/>
                <w:sz w:val="16"/>
                <w:szCs w:val="16"/>
              </w:rPr>
              <w:t>428 198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A14DE">
              <w:rPr>
                <w:rFonts w:ascii="Tahoma" w:hAnsi="Tahoma" w:cs="Tahoma"/>
                <w:b/>
                <w:sz w:val="16"/>
                <w:szCs w:val="16"/>
              </w:rPr>
              <w:t>205 723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A14DE">
              <w:rPr>
                <w:rFonts w:ascii="Tahoma" w:hAnsi="Tahoma" w:cs="Tahoma"/>
                <w:i/>
                <w:iCs/>
                <w:sz w:val="16"/>
                <w:szCs w:val="16"/>
              </w:rPr>
              <w:t>222 475</w:t>
            </w:r>
          </w:p>
        </w:tc>
      </w:tr>
      <w:tr w:rsidR="001A14DE" w:rsidRPr="00D70D02" w:rsidTr="00FA588B">
        <w:trPr>
          <w:trHeight w:val="34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E" w:rsidRPr="00D70D02" w:rsidRDefault="001A14DE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Výsledek hospodaření běžného účetního období </w:t>
            </w:r>
            <w:r w:rsidRPr="00D70D02">
              <w:rPr>
                <w:rFonts w:ascii="Tahoma" w:hAnsi="Tahoma" w:cs="Tahoma"/>
                <w:bCs/>
                <w:i/>
                <w:sz w:val="16"/>
                <w:szCs w:val="16"/>
              </w:rPr>
              <w:t>(po zdanění)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A14DE">
              <w:rPr>
                <w:rFonts w:ascii="Tahoma" w:hAnsi="Tahoma" w:cs="Tahoma"/>
                <w:b/>
                <w:sz w:val="16"/>
                <w:szCs w:val="16"/>
              </w:rPr>
              <w:t>401 513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1A14DE">
              <w:rPr>
                <w:rFonts w:ascii="Tahoma" w:hAnsi="Tahoma" w:cs="Tahoma"/>
                <w:b/>
                <w:sz w:val="16"/>
                <w:szCs w:val="16"/>
              </w:rPr>
              <w:t>188 810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DE" w:rsidRPr="001A14DE" w:rsidRDefault="001A14D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A14DE">
              <w:rPr>
                <w:rFonts w:ascii="Tahoma" w:hAnsi="Tahoma" w:cs="Tahoma"/>
                <w:i/>
                <w:iCs/>
                <w:sz w:val="16"/>
                <w:szCs w:val="16"/>
              </w:rPr>
              <w:t>212 703</w:t>
            </w:r>
          </w:p>
        </w:tc>
      </w:tr>
    </w:tbl>
    <w:p w:rsidR="004830B6" w:rsidRDefault="004830B6" w:rsidP="001F03B7">
      <w:pPr>
        <w:pStyle w:val="Mjtext"/>
        <w:spacing w:before="240"/>
        <w:rPr>
          <w:szCs w:val="20"/>
        </w:rPr>
      </w:pPr>
      <w:r w:rsidRPr="00AC4BF9"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</w:t>
      </w:r>
      <w:r w:rsidR="007670D4">
        <w:rPr>
          <w:szCs w:val="20"/>
        </w:rPr>
        <w:t>V</w:t>
      </w:r>
      <w:r>
        <w:rPr>
          <w:szCs w:val="20"/>
        </w:rPr>
        <w:t xml:space="preserve">ýkazu zisku a ztráty ve dvou veličinách, a to jako </w:t>
      </w:r>
      <w:r w:rsidR="0087403F">
        <w:rPr>
          <w:szCs w:val="20"/>
        </w:rPr>
        <w:t>V</w:t>
      </w:r>
      <w:r>
        <w:rPr>
          <w:szCs w:val="20"/>
        </w:rPr>
        <w:t xml:space="preserve">ýsledek hospodaření před zdaněním a </w:t>
      </w:r>
      <w:r w:rsidR="0087403F">
        <w:rPr>
          <w:szCs w:val="20"/>
        </w:rPr>
        <w:t>V</w:t>
      </w:r>
      <w:r>
        <w:rPr>
          <w:szCs w:val="20"/>
        </w:rPr>
        <w:t>ýsledek hospodaření běžného účetního období (jedná se</w:t>
      </w:r>
      <w:r w:rsidR="00CD7511">
        <w:rPr>
          <w:szCs w:val="20"/>
        </w:rPr>
        <w:t xml:space="preserve"> o</w:t>
      </w:r>
      <w:r>
        <w:rPr>
          <w:szCs w:val="20"/>
        </w:rPr>
        <w:t xml:space="preserve"> výsledek hospodaře</w:t>
      </w:r>
      <w:r w:rsidR="0087403F">
        <w:rPr>
          <w:szCs w:val="20"/>
        </w:rPr>
        <w:t>ní po zdanění). Oproti roku 2012 došlo ke zvýšení</w:t>
      </w:r>
      <w:r>
        <w:rPr>
          <w:szCs w:val="20"/>
        </w:rPr>
        <w:t xml:space="preserve"> výsledku hospodaření (po zdanění) o částku </w:t>
      </w:r>
      <w:r w:rsidR="0087403F">
        <w:rPr>
          <w:szCs w:val="20"/>
        </w:rPr>
        <w:t>212.70</w:t>
      </w:r>
      <w:r w:rsidR="001A14DE">
        <w:rPr>
          <w:szCs w:val="20"/>
        </w:rPr>
        <w:t>3</w:t>
      </w:r>
      <w:r w:rsidR="0087403F">
        <w:rPr>
          <w:szCs w:val="20"/>
        </w:rPr>
        <w:t> </w:t>
      </w:r>
      <w:r>
        <w:rPr>
          <w:szCs w:val="20"/>
        </w:rPr>
        <w:t>tis.</w:t>
      </w:r>
      <w:r w:rsidR="0087403F">
        <w:rPr>
          <w:szCs w:val="20"/>
        </w:rPr>
        <w:t> </w:t>
      </w:r>
      <w:r>
        <w:rPr>
          <w:szCs w:val="20"/>
        </w:rPr>
        <w:t xml:space="preserve">Kč. Tento </w:t>
      </w:r>
      <w:r w:rsidR="0087403F">
        <w:rPr>
          <w:szCs w:val="20"/>
        </w:rPr>
        <w:t xml:space="preserve">nárůst </w:t>
      </w:r>
      <w:r>
        <w:rPr>
          <w:szCs w:val="20"/>
        </w:rPr>
        <w:t xml:space="preserve">byl způsoben jednak </w:t>
      </w:r>
      <w:r w:rsidR="00314670">
        <w:rPr>
          <w:szCs w:val="20"/>
        </w:rPr>
        <w:t>zvýšením</w:t>
      </w:r>
      <w:r>
        <w:rPr>
          <w:szCs w:val="20"/>
        </w:rPr>
        <w:t xml:space="preserve"> celkových výnosů o </w:t>
      </w:r>
      <w:r w:rsidR="00314670">
        <w:rPr>
          <w:szCs w:val="20"/>
        </w:rPr>
        <w:t>144.419</w:t>
      </w:r>
      <w:r>
        <w:rPr>
          <w:szCs w:val="20"/>
        </w:rPr>
        <w:t xml:space="preserve"> tis. Kč, jednak </w:t>
      </w:r>
      <w:r w:rsidR="00314670">
        <w:rPr>
          <w:szCs w:val="20"/>
        </w:rPr>
        <w:t xml:space="preserve">snížením </w:t>
      </w:r>
      <w:r>
        <w:rPr>
          <w:szCs w:val="20"/>
        </w:rPr>
        <w:t xml:space="preserve">celkových nákladů o </w:t>
      </w:r>
      <w:r w:rsidR="001A14DE">
        <w:rPr>
          <w:szCs w:val="20"/>
        </w:rPr>
        <w:t>68.284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</w:t>
      </w:r>
      <w:r w:rsidR="002A218E">
        <w:rPr>
          <w:szCs w:val="20"/>
        </w:rPr>
        <w:t>Kč. U výnosů došlo k</w:t>
      </w:r>
      <w:r w:rsidR="001E7BF2">
        <w:rPr>
          <w:szCs w:val="20"/>
        </w:rPr>
        <w:t> </w:t>
      </w:r>
      <w:r w:rsidR="00314670">
        <w:rPr>
          <w:szCs w:val="20"/>
        </w:rPr>
        <w:t>nárůstu</w:t>
      </w:r>
      <w:r w:rsidR="002A218E">
        <w:rPr>
          <w:szCs w:val="20"/>
        </w:rPr>
        <w:t xml:space="preserve"> </w:t>
      </w:r>
      <w:r w:rsidR="00314670">
        <w:rPr>
          <w:szCs w:val="20"/>
        </w:rPr>
        <w:t xml:space="preserve">u výnosů ze sdílených daní a poplatků (navýšení o 137.000 tis. Kč), </w:t>
      </w:r>
      <w:r>
        <w:rPr>
          <w:szCs w:val="20"/>
        </w:rPr>
        <w:t>výnosů z</w:t>
      </w:r>
      <w:r w:rsidR="001E7BF2">
        <w:rPr>
          <w:szCs w:val="20"/>
        </w:rPr>
        <w:t> </w:t>
      </w:r>
      <w:r>
        <w:rPr>
          <w:szCs w:val="20"/>
        </w:rPr>
        <w:t>transfer</w:t>
      </w:r>
      <w:r w:rsidR="002A218E">
        <w:rPr>
          <w:szCs w:val="20"/>
        </w:rPr>
        <w:t>ů (</w:t>
      </w:r>
      <w:r w:rsidR="00314670">
        <w:rPr>
          <w:szCs w:val="20"/>
        </w:rPr>
        <w:t xml:space="preserve">zvýšení </w:t>
      </w:r>
      <w:r w:rsidR="002A218E">
        <w:rPr>
          <w:szCs w:val="20"/>
        </w:rPr>
        <w:t>o</w:t>
      </w:r>
      <w:r w:rsidR="00314670">
        <w:rPr>
          <w:szCs w:val="20"/>
        </w:rPr>
        <w:t> 22.904 </w:t>
      </w:r>
      <w:r w:rsidR="002A218E">
        <w:rPr>
          <w:szCs w:val="20"/>
        </w:rPr>
        <w:t>tis.</w:t>
      </w:r>
      <w:r w:rsidR="00314670">
        <w:rPr>
          <w:szCs w:val="20"/>
        </w:rPr>
        <w:t> K</w:t>
      </w:r>
      <w:r w:rsidR="002A218E">
        <w:rPr>
          <w:szCs w:val="20"/>
        </w:rPr>
        <w:t xml:space="preserve">č) a </w:t>
      </w:r>
      <w:r w:rsidR="00314670">
        <w:rPr>
          <w:szCs w:val="20"/>
        </w:rPr>
        <w:t xml:space="preserve">finančních </w:t>
      </w:r>
      <w:r>
        <w:rPr>
          <w:szCs w:val="20"/>
        </w:rPr>
        <w:t>výnosů (</w:t>
      </w:r>
      <w:r w:rsidR="00314670">
        <w:rPr>
          <w:szCs w:val="20"/>
        </w:rPr>
        <w:t>nárůst o 3.199 </w:t>
      </w:r>
      <w:r>
        <w:rPr>
          <w:szCs w:val="20"/>
        </w:rPr>
        <w:t>tis.</w:t>
      </w:r>
      <w:r w:rsidR="00314670">
        <w:rPr>
          <w:szCs w:val="20"/>
        </w:rPr>
        <w:t> </w:t>
      </w:r>
      <w:r>
        <w:rPr>
          <w:szCs w:val="20"/>
        </w:rPr>
        <w:t>Kč), naopak ke</w:t>
      </w:r>
      <w:r w:rsidR="00DE5CCD">
        <w:rPr>
          <w:szCs w:val="20"/>
        </w:rPr>
        <w:t> </w:t>
      </w:r>
      <w:r w:rsidR="00314670">
        <w:rPr>
          <w:szCs w:val="20"/>
        </w:rPr>
        <w:t>snížen</w:t>
      </w:r>
      <w:r>
        <w:rPr>
          <w:szCs w:val="20"/>
        </w:rPr>
        <w:t xml:space="preserve">í došlo u výnosů </w:t>
      </w:r>
      <w:r w:rsidR="00314670">
        <w:rPr>
          <w:szCs w:val="20"/>
        </w:rPr>
        <w:t>z</w:t>
      </w:r>
      <w:r w:rsidR="001E7BF2">
        <w:rPr>
          <w:szCs w:val="20"/>
        </w:rPr>
        <w:t> </w:t>
      </w:r>
      <w:r w:rsidR="00314670">
        <w:rPr>
          <w:szCs w:val="20"/>
        </w:rPr>
        <w:t xml:space="preserve">činnosti </w:t>
      </w:r>
      <w:r>
        <w:rPr>
          <w:szCs w:val="20"/>
        </w:rPr>
        <w:t>(</w:t>
      </w:r>
      <w:r w:rsidR="00314670">
        <w:rPr>
          <w:szCs w:val="20"/>
        </w:rPr>
        <w:t xml:space="preserve">pokles </w:t>
      </w:r>
      <w:r>
        <w:rPr>
          <w:szCs w:val="20"/>
        </w:rPr>
        <w:t xml:space="preserve">o </w:t>
      </w:r>
      <w:r w:rsidR="001A14DE">
        <w:rPr>
          <w:szCs w:val="20"/>
        </w:rPr>
        <w:t>18.684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</w:t>
      </w:r>
      <w:r>
        <w:rPr>
          <w:szCs w:val="20"/>
        </w:rPr>
        <w:t>Kč)</w:t>
      </w:r>
      <w:r w:rsidR="00314670">
        <w:rPr>
          <w:szCs w:val="20"/>
        </w:rPr>
        <w:t>.</w:t>
      </w:r>
      <w:r>
        <w:rPr>
          <w:szCs w:val="20"/>
        </w:rPr>
        <w:t xml:space="preserve"> V</w:t>
      </w:r>
      <w:r w:rsidR="001E7BF2">
        <w:rPr>
          <w:szCs w:val="20"/>
        </w:rPr>
        <w:t> </w:t>
      </w:r>
      <w:r>
        <w:rPr>
          <w:szCs w:val="20"/>
        </w:rPr>
        <w:t xml:space="preserve">oblasti nákladů došlo ke </w:t>
      </w:r>
      <w:r w:rsidR="00314670">
        <w:rPr>
          <w:szCs w:val="20"/>
        </w:rPr>
        <w:t xml:space="preserve">snížení </w:t>
      </w:r>
      <w:r>
        <w:rPr>
          <w:szCs w:val="20"/>
        </w:rPr>
        <w:t>nákladů na transfery (</w:t>
      </w:r>
      <w:r w:rsidR="00314670">
        <w:rPr>
          <w:szCs w:val="20"/>
        </w:rPr>
        <w:t xml:space="preserve">pokles </w:t>
      </w:r>
      <w:r>
        <w:rPr>
          <w:szCs w:val="20"/>
        </w:rPr>
        <w:t>o</w:t>
      </w:r>
      <w:r w:rsidR="002A218E">
        <w:rPr>
          <w:szCs w:val="20"/>
        </w:rPr>
        <w:t> </w:t>
      </w:r>
      <w:r>
        <w:rPr>
          <w:szCs w:val="20"/>
        </w:rPr>
        <w:t>1</w:t>
      </w:r>
      <w:r w:rsidR="00314670">
        <w:rPr>
          <w:szCs w:val="20"/>
        </w:rPr>
        <w:t>61.80</w:t>
      </w:r>
      <w:r w:rsidR="004C6F12">
        <w:rPr>
          <w:szCs w:val="20"/>
        </w:rPr>
        <w:t>2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Kč, u ostatních druhů nákladů došlo ke zvýšení: náklady z</w:t>
      </w:r>
      <w:r w:rsidR="001E7BF2">
        <w:rPr>
          <w:szCs w:val="20"/>
        </w:rPr>
        <w:t> </w:t>
      </w:r>
      <w:r w:rsidR="00314670">
        <w:rPr>
          <w:szCs w:val="20"/>
        </w:rPr>
        <w:t>činnosti –</w:t>
      </w:r>
      <w:r w:rsidR="00FA588B">
        <w:rPr>
          <w:szCs w:val="20"/>
        </w:rPr>
        <w:t xml:space="preserve"> nárůst o 39.964 tis. Kč, finanční</w:t>
      </w:r>
      <w:r w:rsidR="00FE51F7">
        <w:rPr>
          <w:szCs w:val="20"/>
        </w:rPr>
        <w:t xml:space="preserve"> náklad</w:t>
      </w:r>
      <w:r w:rsidR="00FA588B">
        <w:rPr>
          <w:szCs w:val="20"/>
        </w:rPr>
        <w:t xml:space="preserve">y </w:t>
      </w:r>
      <w:r w:rsidR="001E7BF2">
        <w:rPr>
          <w:szCs w:val="20"/>
        </w:rPr>
        <w:t>–</w:t>
      </w:r>
      <w:r w:rsidR="00FA588B">
        <w:rPr>
          <w:szCs w:val="20"/>
        </w:rPr>
        <w:t xml:space="preserve"> nárůst</w:t>
      </w:r>
      <w:r w:rsidR="00FE51F7">
        <w:rPr>
          <w:szCs w:val="20"/>
        </w:rPr>
        <w:t xml:space="preserve"> o</w:t>
      </w:r>
      <w:r w:rsidR="002A218E">
        <w:rPr>
          <w:szCs w:val="20"/>
        </w:rPr>
        <w:t> </w:t>
      </w:r>
      <w:r w:rsidR="00FA588B">
        <w:rPr>
          <w:szCs w:val="20"/>
        </w:rPr>
        <w:t>43.782</w:t>
      </w:r>
      <w:r w:rsidR="002A218E">
        <w:rPr>
          <w:szCs w:val="20"/>
        </w:rPr>
        <w:t> </w:t>
      </w:r>
      <w:r w:rsidR="00FE51F7">
        <w:rPr>
          <w:szCs w:val="20"/>
        </w:rPr>
        <w:t>tis.</w:t>
      </w:r>
      <w:r w:rsidR="002A218E">
        <w:rPr>
          <w:szCs w:val="20"/>
        </w:rPr>
        <w:t> </w:t>
      </w:r>
      <w:r w:rsidR="00FE51F7">
        <w:rPr>
          <w:szCs w:val="20"/>
        </w:rPr>
        <w:t>Kč</w:t>
      </w:r>
      <w:r w:rsidR="00FA588B">
        <w:rPr>
          <w:szCs w:val="20"/>
        </w:rPr>
        <w:t xml:space="preserve">, </w:t>
      </w:r>
      <w:r w:rsidR="00D604FA">
        <w:rPr>
          <w:szCs w:val="20"/>
        </w:rPr>
        <w:t>daň</w:t>
      </w:r>
      <w:r w:rsidR="00FE51F7">
        <w:rPr>
          <w:szCs w:val="20"/>
        </w:rPr>
        <w:t xml:space="preserve"> z</w:t>
      </w:r>
      <w:r w:rsidR="001E7BF2">
        <w:rPr>
          <w:szCs w:val="20"/>
        </w:rPr>
        <w:t> </w:t>
      </w:r>
      <w:r w:rsidR="00FE51F7">
        <w:rPr>
          <w:szCs w:val="20"/>
        </w:rPr>
        <w:t xml:space="preserve">příjmů </w:t>
      </w:r>
      <w:r w:rsidR="00FA588B">
        <w:rPr>
          <w:szCs w:val="20"/>
        </w:rPr>
        <w:t xml:space="preserve">– nárůst </w:t>
      </w:r>
      <w:r w:rsidR="00FE51F7">
        <w:rPr>
          <w:szCs w:val="20"/>
        </w:rPr>
        <w:t>o</w:t>
      </w:r>
      <w:r w:rsidR="00FA588B">
        <w:rPr>
          <w:szCs w:val="20"/>
        </w:rPr>
        <w:t> </w:t>
      </w:r>
      <w:r w:rsidR="00B004CD">
        <w:rPr>
          <w:szCs w:val="20"/>
        </w:rPr>
        <w:t>9.772</w:t>
      </w:r>
      <w:r w:rsidR="00FA588B">
        <w:rPr>
          <w:szCs w:val="20"/>
        </w:rPr>
        <w:t> </w:t>
      </w:r>
      <w:r w:rsidR="00FE51F7">
        <w:rPr>
          <w:szCs w:val="20"/>
        </w:rPr>
        <w:t>tis.</w:t>
      </w:r>
      <w:r w:rsidR="00FA588B">
        <w:rPr>
          <w:szCs w:val="20"/>
        </w:rPr>
        <w:t> </w:t>
      </w:r>
      <w:r w:rsidR="00FE51F7">
        <w:rPr>
          <w:szCs w:val="20"/>
        </w:rPr>
        <w:t xml:space="preserve">Kč. </w:t>
      </w:r>
      <w:r w:rsidRPr="00AD17F9">
        <w:rPr>
          <w:szCs w:val="20"/>
        </w:rPr>
        <w:t>Výsledek hospodaření bude po schválení zastupitelstvem kraje přeúčtován z</w:t>
      </w:r>
      <w:r w:rsidR="001E7BF2">
        <w:rPr>
          <w:szCs w:val="20"/>
        </w:rPr>
        <w:t> </w:t>
      </w:r>
      <w:r w:rsidRPr="00AD17F9">
        <w:rPr>
          <w:szCs w:val="20"/>
        </w:rPr>
        <w:t>účtu 431-Výsledek hospodaření ve schvalovacím řízení na účet 432-</w:t>
      </w:r>
      <w:r w:rsidR="00D25971" w:rsidRPr="00AD17F9">
        <w:rPr>
          <w:szCs w:val="20"/>
        </w:rPr>
        <w:t xml:space="preserve">Výsledek hospodaření </w:t>
      </w:r>
      <w:r w:rsidR="00A42538">
        <w:rPr>
          <w:szCs w:val="20"/>
        </w:rPr>
        <w:t>předcházejících</w:t>
      </w:r>
      <w:r w:rsidR="00D25971" w:rsidRPr="00AD17F9">
        <w:rPr>
          <w:szCs w:val="20"/>
        </w:rPr>
        <w:t xml:space="preserve"> účetních období.</w:t>
      </w:r>
    </w:p>
    <w:p w:rsidR="00D25971" w:rsidRDefault="001E0830" w:rsidP="001E0830">
      <w:pPr>
        <w:pStyle w:val="Nadpis1"/>
      </w:pPr>
      <w:bookmarkStart w:id="35" w:name="_Toc388005084"/>
      <w:r>
        <w:lastRenderedPageBreak/>
        <w:t>Příloha</w:t>
      </w:r>
      <w:bookmarkEnd w:id="35"/>
    </w:p>
    <w:p w:rsidR="003336F8" w:rsidRPr="000F19D7" w:rsidRDefault="008361F0" w:rsidP="003336F8">
      <w:pPr>
        <w:pStyle w:val="Mjtext"/>
        <w:rPr>
          <w:szCs w:val="20"/>
        </w:rPr>
      </w:pPr>
      <w:r w:rsidRPr="00710AFC">
        <w:rPr>
          <w:szCs w:val="20"/>
        </w:rPr>
        <w:t xml:space="preserve">Výkaz </w:t>
      </w:r>
      <w:r w:rsidR="00AD17F9">
        <w:rPr>
          <w:szCs w:val="20"/>
          <w:u w:val="single"/>
        </w:rPr>
        <w:t>P</w:t>
      </w:r>
      <w:r w:rsidR="003336F8" w:rsidRPr="002A218E">
        <w:rPr>
          <w:szCs w:val="20"/>
          <w:u w:val="single"/>
        </w:rPr>
        <w:t>říloha</w:t>
      </w:r>
      <w:r w:rsidR="003336F8">
        <w:rPr>
          <w:szCs w:val="20"/>
        </w:rPr>
        <w:t xml:space="preserve"> vysvětluje a doplňuje informace obsažené v</w:t>
      </w:r>
      <w:r w:rsidR="001E7BF2">
        <w:rPr>
          <w:szCs w:val="20"/>
        </w:rPr>
        <w:t> </w:t>
      </w:r>
      <w:r w:rsidR="003336F8">
        <w:rPr>
          <w:szCs w:val="20"/>
        </w:rPr>
        <w:t>ostatních částech účetní závěrky. Uspořádání a</w:t>
      </w:r>
      <w:r w:rsidR="00F204F9">
        <w:rPr>
          <w:szCs w:val="20"/>
        </w:rPr>
        <w:t> </w:t>
      </w:r>
      <w:r w:rsidR="003336F8">
        <w:rPr>
          <w:szCs w:val="20"/>
        </w:rPr>
        <w:t>označování položek a závazný vzor tabulkových částí Přílohy stanoví Příloha č. 5 k</w:t>
      </w:r>
      <w:r w:rsidR="001E7BF2">
        <w:rPr>
          <w:szCs w:val="20"/>
        </w:rPr>
        <w:t> </w:t>
      </w:r>
      <w:r w:rsidR="003336F8">
        <w:rPr>
          <w:szCs w:val="20"/>
        </w:rPr>
        <w:t>vyhlášce č.</w:t>
      </w:r>
      <w:r w:rsidR="00F204F9">
        <w:rPr>
          <w:szCs w:val="20"/>
        </w:rPr>
        <w:t> </w:t>
      </w:r>
      <w:r w:rsidR="003336F8">
        <w:rPr>
          <w:szCs w:val="20"/>
        </w:rPr>
        <w:t>410/2009 Sb</w:t>
      </w:r>
      <w:r w:rsidR="003336F8" w:rsidRPr="002C14AA">
        <w:rPr>
          <w:szCs w:val="20"/>
        </w:rPr>
        <w:t>.</w:t>
      </w:r>
      <w:r w:rsidR="00DF250E" w:rsidRPr="002C14AA">
        <w:rPr>
          <w:szCs w:val="20"/>
        </w:rPr>
        <w:t xml:space="preserve"> Výkaz Příloha </w:t>
      </w:r>
      <w:r w:rsidR="00604422" w:rsidRPr="002C14AA">
        <w:rPr>
          <w:szCs w:val="20"/>
        </w:rPr>
        <w:t xml:space="preserve">je </w:t>
      </w:r>
      <w:r w:rsidR="00604422" w:rsidRPr="000F19D7">
        <w:rPr>
          <w:szCs w:val="20"/>
        </w:rPr>
        <w:t>součástí přílohy č. 2 materiálu – Účetní závěrka Moravskoslezského kraje k</w:t>
      </w:r>
      <w:r w:rsidR="001E7BF2" w:rsidRPr="000F19D7">
        <w:rPr>
          <w:szCs w:val="20"/>
        </w:rPr>
        <w:t> </w:t>
      </w:r>
      <w:r w:rsidR="00604422" w:rsidRPr="000F19D7">
        <w:rPr>
          <w:szCs w:val="20"/>
        </w:rPr>
        <w:t>rozvahovému dni 31. 12. 201</w:t>
      </w:r>
      <w:r w:rsidR="00081017" w:rsidRPr="000F19D7">
        <w:rPr>
          <w:szCs w:val="20"/>
        </w:rPr>
        <w:t>3</w:t>
      </w:r>
      <w:r w:rsidR="00604422" w:rsidRPr="000F19D7">
        <w:t>.</w:t>
      </w:r>
    </w:p>
    <w:p w:rsidR="003336F8" w:rsidRPr="002C14AA" w:rsidRDefault="003336F8" w:rsidP="003336F8">
      <w:pPr>
        <w:pStyle w:val="Mjtext"/>
        <w:rPr>
          <w:szCs w:val="20"/>
        </w:rPr>
      </w:pPr>
      <w:r w:rsidRPr="000F19D7">
        <w:rPr>
          <w:szCs w:val="20"/>
        </w:rPr>
        <w:t xml:space="preserve">Příloha se člení do několika částí. </w:t>
      </w:r>
      <w:r w:rsidRPr="000F19D7">
        <w:rPr>
          <w:szCs w:val="20"/>
          <w:u w:val="single"/>
        </w:rPr>
        <w:t>V</w:t>
      </w:r>
      <w:r w:rsidR="001E7BF2" w:rsidRPr="000F19D7">
        <w:rPr>
          <w:szCs w:val="20"/>
          <w:u w:val="single"/>
        </w:rPr>
        <w:t> </w:t>
      </w:r>
      <w:r w:rsidRPr="000F19D7">
        <w:rPr>
          <w:szCs w:val="20"/>
          <w:u w:val="single"/>
        </w:rPr>
        <w:t>části A</w:t>
      </w:r>
      <w:r w:rsidRPr="000F19D7">
        <w:rPr>
          <w:szCs w:val="20"/>
        </w:rPr>
        <w:t xml:space="preserve"> jsou informace</w:t>
      </w:r>
      <w:r w:rsidRPr="002C14AA">
        <w:rPr>
          <w:szCs w:val="20"/>
        </w:rPr>
        <w:t xml:space="preserve"> k</w:t>
      </w:r>
      <w:r w:rsidR="001E7BF2">
        <w:rPr>
          <w:szCs w:val="20"/>
        </w:rPr>
        <w:t> </w:t>
      </w:r>
      <w:r w:rsidRPr="002C14AA">
        <w:rPr>
          <w:szCs w:val="20"/>
        </w:rPr>
        <w:t xml:space="preserve">rozvaze a podrozvahovým účtům. </w:t>
      </w:r>
      <w:r w:rsidRPr="002C14AA">
        <w:rPr>
          <w:szCs w:val="20"/>
          <w:u w:val="single"/>
        </w:rPr>
        <w:t>Body A1</w:t>
      </w:r>
      <w:r w:rsidR="00081017">
        <w:rPr>
          <w:szCs w:val="20"/>
          <w:u w:val="single"/>
        </w:rPr>
        <w:t xml:space="preserve"> až </w:t>
      </w:r>
      <w:r w:rsidRPr="002C14AA">
        <w:rPr>
          <w:szCs w:val="20"/>
          <w:u w:val="single"/>
        </w:rPr>
        <w:t>A3</w:t>
      </w:r>
      <w:r w:rsidRPr="002C14AA">
        <w:rPr>
          <w:szCs w:val="20"/>
        </w:rPr>
        <w:t xml:space="preserve"> obsahují informace požadované § 7 zákona o účetnictví a komentují se v</w:t>
      </w:r>
      <w:r w:rsidR="001E7BF2">
        <w:rPr>
          <w:szCs w:val="20"/>
        </w:rPr>
        <w:t> </w:t>
      </w:r>
      <w:r w:rsidRPr="002C14AA">
        <w:rPr>
          <w:szCs w:val="20"/>
        </w:rPr>
        <w:t>nich použité účetní metody, software, ve kterém je zpracováváno účetnictví, plátcovství DPH, oceňování majetku</w:t>
      </w:r>
      <w:r w:rsidR="00AD17F9" w:rsidRPr="002C14AA">
        <w:rPr>
          <w:szCs w:val="20"/>
        </w:rPr>
        <w:t xml:space="preserve">, </w:t>
      </w:r>
      <w:r w:rsidRPr="002C14AA">
        <w:rPr>
          <w:szCs w:val="20"/>
        </w:rPr>
        <w:t xml:space="preserve">odpisování a také časové rozlišení. </w:t>
      </w:r>
    </w:p>
    <w:p w:rsidR="00C3278A" w:rsidRPr="002C14AA" w:rsidRDefault="003336F8" w:rsidP="003336F8">
      <w:pPr>
        <w:pStyle w:val="Mjtext"/>
        <w:rPr>
          <w:szCs w:val="20"/>
        </w:rPr>
      </w:pPr>
      <w:r w:rsidRPr="002C14AA">
        <w:rPr>
          <w:szCs w:val="20"/>
          <w:u w:val="single"/>
        </w:rPr>
        <w:t>Bod A4</w:t>
      </w:r>
      <w:r w:rsidRPr="002C14AA">
        <w:rPr>
          <w:szCs w:val="20"/>
        </w:rPr>
        <w:t xml:space="preserve"> obsahuje informace o stavu účtů v</w:t>
      </w:r>
      <w:r w:rsidR="001E7BF2">
        <w:rPr>
          <w:szCs w:val="20"/>
        </w:rPr>
        <w:t> </w:t>
      </w:r>
      <w:r w:rsidRPr="002C14AA">
        <w:rPr>
          <w:szCs w:val="20"/>
        </w:rPr>
        <w:t>knize podrozvahových účtů</w:t>
      </w:r>
      <w:r w:rsidR="00F204F9" w:rsidRPr="002C14AA">
        <w:rPr>
          <w:szCs w:val="20"/>
        </w:rPr>
        <w:t>, v</w:t>
      </w:r>
      <w:r w:rsidR="001E7BF2">
        <w:rPr>
          <w:szCs w:val="20"/>
        </w:rPr>
        <w:t> </w:t>
      </w:r>
      <w:r w:rsidR="00F204F9" w:rsidRPr="002C14AA">
        <w:rPr>
          <w:szCs w:val="20"/>
        </w:rPr>
        <w:t>běžném období je stav podrozvahových účtů k</w:t>
      </w:r>
      <w:r w:rsidR="001E7BF2">
        <w:rPr>
          <w:szCs w:val="20"/>
        </w:rPr>
        <w:t> </w:t>
      </w:r>
      <w:r w:rsidR="00F204F9" w:rsidRPr="002C14AA">
        <w:rPr>
          <w:szCs w:val="20"/>
        </w:rPr>
        <w:t>31. 12. 201</w:t>
      </w:r>
      <w:r w:rsidR="00081017">
        <w:rPr>
          <w:szCs w:val="20"/>
        </w:rPr>
        <w:t>3</w:t>
      </w:r>
      <w:r w:rsidR="00F204F9" w:rsidRPr="002C14AA">
        <w:rPr>
          <w:szCs w:val="20"/>
        </w:rPr>
        <w:t>, v</w:t>
      </w:r>
      <w:r w:rsidR="001E7BF2">
        <w:rPr>
          <w:szCs w:val="20"/>
        </w:rPr>
        <w:t> </w:t>
      </w:r>
      <w:r w:rsidR="00F204F9" w:rsidRPr="002C14AA">
        <w:rPr>
          <w:szCs w:val="20"/>
        </w:rPr>
        <w:t>minulém období je stav k</w:t>
      </w:r>
      <w:r w:rsidR="001E7BF2">
        <w:rPr>
          <w:szCs w:val="20"/>
        </w:rPr>
        <w:t> </w:t>
      </w:r>
      <w:r w:rsidR="00F204F9" w:rsidRPr="002C14AA">
        <w:rPr>
          <w:szCs w:val="20"/>
        </w:rPr>
        <w:t>31. 12. 201</w:t>
      </w:r>
      <w:r w:rsidR="00081017">
        <w:rPr>
          <w:szCs w:val="20"/>
        </w:rPr>
        <w:t>2</w:t>
      </w:r>
      <w:r w:rsidR="00F204F9" w:rsidRPr="002C14AA">
        <w:rPr>
          <w:szCs w:val="20"/>
        </w:rPr>
        <w:t>.</w:t>
      </w:r>
      <w:r w:rsidRPr="002C14AA">
        <w:rPr>
          <w:szCs w:val="20"/>
        </w:rPr>
        <w:t xml:space="preserve"> Vymezení </w:t>
      </w:r>
      <w:r w:rsidR="00F204F9" w:rsidRPr="002C14AA">
        <w:rPr>
          <w:szCs w:val="20"/>
        </w:rPr>
        <w:t>skutečností, které se ev</w:t>
      </w:r>
      <w:r w:rsidRPr="002C14AA">
        <w:rPr>
          <w:szCs w:val="20"/>
        </w:rPr>
        <w:t>iduj</w:t>
      </w:r>
      <w:r w:rsidR="00F204F9" w:rsidRPr="002C14AA">
        <w:rPr>
          <w:szCs w:val="20"/>
        </w:rPr>
        <w:t>í</w:t>
      </w:r>
      <w:r w:rsidRPr="002C14AA">
        <w:rPr>
          <w:szCs w:val="20"/>
        </w:rPr>
        <w:t xml:space="preserve"> na podrozvaze</w:t>
      </w:r>
      <w:r w:rsidR="00B355FC">
        <w:rPr>
          <w:szCs w:val="20"/>
        </w:rPr>
        <w:t>,</w:t>
      </w:r>
      <w:r w:rsidRPr="002C14AA">
        <w:rPr>
          <w:szCs w:val="20"/>
        </w:rPr>
        <w:t xml:space="preserve"> upravuje vnitřní předpis</w:t>
      </w:r>
      <w:r w:rsidR="00F204F9" w:rsidRPr="002C14AA">
        <w:rPr>
          <w:szCs w:val="20"/>
        </w:rPr>
        <w:t xml:space="preserve"> </w:t>
      </w:r>
      <w:r w:rsidR="001E7BF2">
        <w:rPr>
          <w:szCs w:val="20"/>
        </w:rPr>
        <w:t>–</w:t>
      </w:r>
      <w:r w:rsidR="00F204F9" w:rsidRPr="002C14AA">
        <w:rPr>
          <w:szCs w:val="20"/>
        </w:rPr>
        <w:t xml:space="preserve"> S</w:t>
      </w:r>
      <w:r w:rsidRPr="002C14AA">
        <w:rPr>
          <w:szCs w:val="20"/>
        </w:rPr>
        <w:t>měrnice k</w:t>
      </w:r>
      <w:r w:rsidR="001E7BF2">
        <w:rPr>
          <w:szCs w:val="20"/>
        </w:rPr>
        <w:t> </w:t>
      </w:r>
      <w:r w:rsidRPr="002C14AA">
        <w:rPr>
          <w:szCs w:val="20"/>
        </w:rPr>
        <w:t>oběhu účetních dokladů a</w:t>
      </w:r>
      <w:r w:rsidR="00B355FC">
        <w:rPr>
          <w:szCs w:val="20"/>
        </w:rPr>
        <w:t> </w:t>
      </w:r>
      <w:r w:rsidRPr="002C14AA">
        <w:rPr>
          <w:szCs w:val="20"/>
        </w:rPr>
        <w:t>vedení účetnictví.</w:t>
      </w:r>
      <w:r w:rsidR="00C3278A" w:rsidRPr="002C14AA">
        <w:rPr>
          <w:szCs w:val="20"/>
        </w:rPr>
        <w:t xml:space="preserve"> Na podrozvahových účtech účtuje kraj o těch skutečnostech,</w:t>
      </w:r>
      <w:r w:rsidR="00FA3FC3" w:rsidRPr="002C14AA">
        <w:rPr>
          <w:szCs w:val="20"/>
        </w:rPr>
        <w:t xml:space="preserve"> u</w:t>
      </w:r>
      <w:r w:rsidR="00C3278A" w:rsidRPr="002C14AA">
        <w:rPr>
          <w:szCs w:val="20"/>
        </w:rPr>
        <w:t xml:space="preserve"> kter</w:t>
      </w:r>
      <w:r w:rsidR="00FA3FC3" w:rsidRPr="002C14AA">
        <w:rPr>
          <w:szCs w:val="20"/>
        </w:rPr>
        <w:t>ých</w:t>
      </w:r>
      <w:r w:rsidR="00C3278A" w:rsidRPr="002C14AA">
        <w:rPr>
          <w:szCs w:val="20"/>
        </w:rPr>
        <w:t xml:space="preserve"> </w:t>
      </w:r>
      <w:r w:rsidR="00FA3FC3" w:rsidRPr="002C14AA">
        <w:rPr>
          <w:szCs w:val="20"/>
        </w:rPr>
        <w:t>nejsou splněny podmínky pro provedení účetního zápisu v</w:t>
      </w:r>
      <w:r w:rsidR="001E7BF2">
        <w:rPr>
          <w:szCs w:val="20"/>
        </w:rPr>
        <w:t> </w:t>
      </w:r>
      <w:r w:rsidR="00FA3FC3" w:rsidRPr="002C14AA">
        <w:rPr>
          <w:szCs w:val="20"/>
        </w:rPr>
        <w:t xml:space="preserve">hlavní knize, ale přesto </w:t>
      </w:r>
      <w:r w:rsidR="00C3278A" w:rsidRPr="002C14AA">
        <w:rPr>
          <w:szCs w:val="20"/>
        </w:rPr>
        <w:t xml:space="preserve">jsou pro </w:t>
      </w:r>
      <w:r w:rsidR="00FA3FC3" w:rsidRPr="002C14AA">
        <w:rPr>
          <w:szCs w:val="20"/>
        </w:rPr>
        <w:t>kraj významné.</w:t>
      </w:r>
    </w:p>
    <w:p w:rsidR="00554163" w:rsidRPr="005C7E18" w:rsidRDefault="007E63DB" w:rsidP="0055416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P.I. </w:t>
      </w:r>
      <w:r w:rsidR="00554163" w:rsidRPr="005C7E18">
        <w:rPr>
          <w:szCs w:val="20"/>
          <w:u w:val="single"/>
        </w:rPr>
        <w:t xml:space="preserve"> Majetek účetní jednotky</w:t>
      </w:r>
      <w:r w:rsidR="00554163" w:rsidRPr="005C7E18">
        <w:rPr>
          <w:szCs w:val="20"/>
        </w:rPr>
        <w:t xml:space="preserve"> obsahuje tyto skupiny majetku: na účtu 901 je evidován jiný drobný DNM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ocenění do výše 7 tis. Kč (</w:t>
      </w:r>
      <w:r w:rsidR="00554163" w:rsidRPr="00554163">
        <w:rPr>
          <w:szCs w:val="20"/>
        </w:rPr>
        <w:t>1.383 tis</w:t>
      </w:r>
      <w:r w:rsidR="00554163" w:rsidRPr="005C7E18">
        <w:rPr>
          <w:szCs w:val="20"/>
        </w:rPr>
        <w:t>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>Kč), na účtu 902 je evidován jiný drobný DHM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ocenění do výše 3 tis. Kč (</w:t>
      </w:r>
      <w:r w:rsidR="00554163" w:rsidRPr="00554163">
        <w:rPr>
          <w:szCs w:val="20"/>
        </w:rPr>
        <w:t>7.519 </w:t>
      </w:r>
      <w:r w:rsidR="00554163" w:rsidRPr="005C7E18">
        <w:rPr>
          <w:szCs w:val="20"/>
        </w:rPr>
        <w:t>tis</w:t>
      </w:r>
      <w:r w:rsidR="00554163">
        <w:rPr>
          <w:szCs w:val="20"/>
        </w:rPr>
        <w:t>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 xml:space="preserve">Kč) a na účtu 903 je evidován </w:t>
      </w:r>
      <w:r w:rsidR="00554163">
        <w:rPr>
          <w:szCs w:val="20"/>
        </w:rPr>
        <w:t>v</w:t>
      </w:r>
      <w:r w:rsidR="001E7BF2">
        <w:rPr>
          <w:szCs w:val="20"/>
        </w:rPr>
        <w:t> </w:t>
      </w:r>
      <w:r w:rsidR="00554163">
        <w:rPr>
          <w:szCs w:val="20"/>
        </w:rPr>
        <w:t xml:space="preserve">pořizovacích cenách </w:t>
      </w:r>
      <w:r w:rsidR="00554163" w:rsidRPr="005C7E18">
        <w:rPr>
          <w:szCs w:val="20"/>
        </w:rPr>
        <w:t>vybraný dlouhodobý majetek předaný k</w:t>
      </w:r>
      <w:r w:rsidR="001E7BF2">
        <w:rPr>
          <w:szCs w:val="20"/>
        </w:rPr>
        <w:t> </w:t>
      </w:r>
      <w:r w:rsidR="00554163" w:rsidRPr="005C7E18">
        <w:rPr>
          <w:szCs w:val="20"/>
        </w:rPr>
        <w:t>hospodářskému využití příspěvkovým organizacím, jejichž zřizovatelem je kraj (</w:t>
      </w:r>
      <w:r w:rsidR="00554163" w:rsidRPr="00554163">
        <w:rPr>
          <w:szCs w:val="20"/>
        </w:rPr>
        <w:t>39.010.980 </w:t>
      </w:r>
      <w:r w:rsidR="00554163" w:rsidRPr="005C7E18">
        <w:rPr>
          <w:szCs w:val="20"/>
        </w:rPr>
        <w:t>tis.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 xml:space="preserve">Kč). Celková hodnota majetku na podrozvaze je ve výši </w:t>
      </w:r>
      <w:r w:rsidR="00554163" w:rsidRPr="00554163">
        <w:rPr>
          <w:szCs w:val="20"/>
        </w:rPr>
        <w:t>39.019.882 </w:t>
      </w:r>
      <w:r w:rsidR="00554163" w:rsidRPr="005C7E18">
        <w:rPr>
          <w:szCs w:val="20"/>
        </w:rPr>
        <w:t>tis.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>Kč.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Položka P.IV.</w:t>
      </w:r>
      <w:r w:rsidR="007E63DB">
        <w:rPr>
          <w:szCs w:val="20"/>
          <w:u w:val="single"/>
        </w:rPr>
        <w:t xml:space="preserve"> </w:t>
      </w:r>
      <w:r w:rsidRPr="005C7E18">
        <w:rPr>
          <w:szCs w:val="20"/>
          <w:u w:val="single"/>
        </w:rPr>
        <w:t>Další podmíněné pohledávky a ostatní podmíněná aktiva</w:t>
      </w:r>
      <w:r w:rsidRPr="005C7E18">
        <w:rPr>
          <w:szCs w:val="20"/>
        </w:rPr>
        <w:t xml:space="preserve"> obsahují dlouhodobé podmíněné pohledávky z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nástrojů spolufinancovaných ze zahraničí (účet 941 – </w:t>
      </w:r>
      <w:r w:rsidRPr="00087E98">
        <w:rPr>
          <w:szCs w:val="20"/>
        </w:rPr>
        <w:t>20.955</w:t>
      </w:r>
      <w:r w:rsidR="00087E98" w:rsidRPr="00087E98">
        <w:rPr>
          <w:szCs w:val="20"/>
        </w:rPr>
        <w:t> </w:t>
      </w:r>
      <w:r w:rsidRPr="005C7E1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Kč), krátkodobé a dlouhodobé podmíněné pohledávky ze vztahu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jiným zdrojům (účet 942 – </w:t>
      </w:r>
      <w:r w:rsidRPr="00087E98">
        <w:rPr>
          <w:szCs w:val="20"/>
        </w:rPr>
        <w:t>98.874 </w:t>
      </w:r>
      <w:r w:rsidRPr="005C7E18">
        <w:rPr>
          <w:szCs w:val="20"/>
        </w:rPr>
        <w:t xml:space="preserve">tis. Kč a účet 943 – </w:t>
      </w:r>
      <w:r w:rsidRPr="00087E98">
        <w:rPr>
          <w:szCs w:val="20"/>
        </w:rPr>
        <w:t>2.528.32</w:t>
      </w:r>
      <w:r w:rsidR="007F7407">
        <w:rPr>
          <w:szCs w:val="20"/>
        </w:rPr>
        <w:t>9</w:t>
      </w:r>
      <w:r w:rsidR="00087E98" w:rsidRPr="00087E98">
        <w:rPr>
          <w:szCs w:val="20"/>
        </w:rPr>
        <w:t> </w:t>
      </w:r>
      <w:r w:rsidRPr="005C7E1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Kč). Tyto podmíněné pohledávky představují možnost čerpání transferů, zejména z</w:t>
      </w:r>
      <w:r w:rsidR="001E7BF2">
        <w:rPr>
          <w:szCs w:val="20"/>
        </w:rPr>
        <w:t> </w:t>
      </w:r>
      <w:r w:rsidRPr="005C7E18">
        <w:rPr>
          <w:szCs w:val="20"/>
        </w:rPr>
        <w:t>ústředních rozpočtů a RRRS</w:t>
      </w:r>
      <w:r w:rsidR="00087E98">
        <w:rPr>
          <w:szCs w:val="20"/>
        </w:rPr>
        <w:t xml:space="preserve"> MSK</w:t>
      </w:r>
      <w:r w:rsidRPr="005C7E18">
        <w:rPr>
          <w:szCs w:val="20"/>
        </w:rPr>
        <w:t xml:space="preserve"> v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následujících letech (jedná se o nevyčerpané transfery podle uzavřených smluv apod.). </w:t>
      </w:r>
      <w:r w:rsidRPr="00087E98">
        <w:rPr>
          <w:szCs w:val="20"/>
        </w:rPr>
        <w:t xml:space="preserve">Na účtu 947 – Krátkodobé podmíněné pohledávky ze soudních sporů, správních řízení a jiných řízení je </w:t>
      </w:r>
      <w:r w:rsidR="00087E98">
        <w:rPr>
          <w:szCs w:val="20"/>
        </w:rPr>
        <w:t>evidována pohledávka v</w:t>
      </w:r>
      <w:r w:rsidR="001E7BF2">
        <w:rPr>
          <w:szCs w:val="20"/>
        </w:rPr>
        <w:t> </w:t>
      </w:r>
      <w:r w:rsidR="00087E98">
        <w:rPr>
          <w:szCs w:val="20"/>
        </w:rPr>
        <w:t>částce</w:t>
      </w:r>
      <w:r w:rsidRPr="00087E98">
        <w:rPr>
          <w:szCs w:val="20"/>
        </w:rPr>
        <w:t xml:space="preserve"> 894</w:t>
      </w:r>
      <w:r w:rsidR="00087E98" w:rsidRPr="002C14AA">
        <w:rPr>
          <w:szCs w:val="20"/>
        </w:rPr>
        <w:t> </w:t>
      </w:r>
      <w:r w:rsidRPr="00087E9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087E98">
        <w:rPr>
          <w:szCs w:val="20"/>
        </w:rPr>
        <w:t xml:space="preserve">Kč </w:t>
      </w:r>
      <w:r w:rsidR="00087E98">
        <w:rPr>
          <w:szCs w:val="20"/>
        </w:rPr>
        <w:t>(</w:t>
      </w:r>
      <w:r w:rsidRPr="00087E98">
        <w:rPr>
          <w:szCs w:val="20"/>
        </w:rPr>
        <w:t>doplatek DPH při vyúčtování díla s</w:t>
      </w:r>
      <w:r w:rsidR="001E7BF2">
        <w:rPr>
          <w:szCs w:val="20"/>
        </w:rPr>
        <w:t> </w:t>
      </w:r>
      <w:r w:rsidRPr="00087E98">
        <w:rPr>
          <w:szCs w:val="20"/>
        </w:rPr>
        <w:t>nesprávnou výši sazby DPH</w:t>
      </w:r>
      <w:r w:rsidR="00087E98">
        <w:rPr>
          <w:szCs w:val="20"/>
        </w:rPr>
        <w:t>)</w:t>
      </w:r>
      <w:r w:rsidRPr="00087E98">
        <w:rPr>
          <w:szCs w:val="20"/>
        </w:rPr>
        <w:t xml:space="preserve">. </w:t>
      </w:r>
      <w:r w:rsidRPr="005C7E18">
        <w:rPr>
          <w:szCs w:val="20"/>
        </w:rPr>
        <w:t xml:space="preserve">Ostatní dlouhodobá podmíněná aktiva, která jsou evidována na účtu 951 ve výši </w:t>
      </w:r>
      <w:r w:rsidRPr="00087E98">
        <w:rPr>
          <w:szCs w:val="20"/>
        </w:rPr>
        <w:t>3.333.454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Kč</w:t>
      </w:r>
      <w:r w:rsidR="00B355FC">
        <w:rPr>
          <w:szCs w:val="20"/>
        </w:rPr>
        <w:t>,</w:t>
      </w:r>
      <w:r w:rsidRPr="005C7E18">
        <w:rPr>
          <w:szCs w:val="20"/>
        </w:rPr>
        <w:t xml:space="preserve"> obsahují tyto skutečnosti: možnost čerpání úvěrů </w:t>
      </w:r>
      <w:r w:rsidRPr="00F12754">
        <w:rPr>
          <w:szCs w:val="20"/>
        </w:rPr>
        <w:t>u</w:t>
      </w:r>
      <w:r w:rsidR="00F12754">
        <w:rPr>
          <w:szCs w:val="20"/>
        </w:rPr>
        <w:t xml:space="preserve"> </w:t>
      </w:r>
      <w:r w:rsidRPr="00F12754">
        <w:rPr>
          <w:szCs w:val="20"/>
        </w:rPr>
        <w:t>ČS</w:t>
      </w:r>
      <w:r w:rsidR="00CE5418">
        <w:rPr>
          <w:szCs w:val="20"/>
        </w:rPr>
        <w:t xml:space="preserve">, </w:t>
      </w:r>
      <w:r w:rsidR="00CE5418" w:rsidRPr="00F12754">
        <w:rPr>
          <w:szCs w:val="20"/>
        </w:rPr>
        <w:t xml:space="preserve">a.s. </w:t>
      </w:r>
      <w:r w:rsidR="00CE5418">
        <w:rPr>
          <w:szCs w:val="20"/>
        </w:rPr>
        <w:t>(1.200.000</w:t>
      </w:r>
      <w:r w:rsidR="00CE5418" w:rsidRPr="002C14AA">
        <w:rPr>
          <w:szCs w:val="20"/>
        </w:rPr>
        <w:t> </w:t>
      </w:r>
      <w:r w:rsidR="00CE5418">
        <w:rPr>
          <w:szCs w:val="20"/>
        </w:rPr>
        <w:t>tis.</w:t>
      </w:r>
      <w:r w:rsidR="00CE5418" w:rsidRPr="002C14AA">
        <w:rPr>
          <w:szCs w:val="20"/>
        </w:rPr>
        <w:t> </w:t>
      </w:r>
      <w:r w:rsidR="00CE5418">
        <w:rPr>
          <w:szCs w:val="20"/>
        </w:rPr>
        <w:t xml:space="preserve">Kč) </w:t>
      </w:r>
      <w:r w:rsidRPr="005C7E18">
        <w:rPr>
          <w:szCs w:val="20"/>
        </w:rPr>
        <w:t>a EIB</w:t>
      </w:r>
      <w:r w:rsidR="00F12754">
        <w:rPr>
          <w:szCs w:val="20"/>
        </w:rPr>
        <w:t xml:space="preserve"> (</w:t>
      </w:r>
      <w:r w:rsidR="00CE5418">
        <w:rPr>
          <w:szCs w:val="20"/>
        </w:rPr>
        <w:t>684</w:t>
      </w:r>
      <w:r w:rsidR="00F12754">
        <w:rPr>
          <w:szCs w:val="20"/>
        </w:rPr>
        <w:t>.000</w:t>
      </w:r>
      <w:r w:rsidR="00F12754" w:rsidRPr="002C14AA">
        <w:rPr>
          <w:szCs w:val="20"/>
        </w:rPr>
        <w:t> </w:t>
      </w:r>
      <w:r w:rsidR="00F12754">
        <w:rPr>
          <w:szCs w:val="20"/>
        </w:rPr>
        <w:t>tis.</w:t>
      </w:r>
      <w:r w:rsidR="00F12754" w:rsidRPr="002C14AA">
        <w:rPr>
          <w:szCs w:val="20"/>
        </w:rPr>
        <w:t> </w:t>
      </w:r>
      <w:r w:rsidR="00F12754">
        <w:rPr>
          <w:szCs w:val="20"/>
        </w:rPr>
        <w:t>Kč)</w:t>
      </w:r>
      <w:r w:rsidRPr="005C7E18">
        <w:rPr>
          <w:szCs w:val="20"/>
        </w:rPr>
        <w:t>, dále zapůjčený majetek</w:t>
      </w:r>
      <w:r w:rsidR="00F12754">
        <w:rPr>
          <w:szCs w:val="20"/>
        </w:rPr>
        <w:t xml:space="preserve"> (3.826</w:t>
      </w:r>
      <w:r w:rsidR="00F12754" w:rsidRPr="002C14AA">
        <w:rPr>
          <w:szCs w:val="20"/>
        </w:rPr>
        <w:t> </w:t>
      </w:r>
      <w:r w:rsidR="00F12754">
        <w:rPr>
          <w:szCs w:val="20"/>
        </w:rPr>
        <w:t>tis.</w:t>
      </w:r>
      <w:r w:rsidR="00F12754" w:rsidRPr="002C14AA">
        <w:rPr>
          <w:szCs w:val="20"/>
        </w:rPr>
        <w:t> </w:t>
      </w:r>
      <w:r w:rsidR="00F12754">
        <w:rPr>
          <w:szCs w:val="20"/>
        </w:rPr>
        <w:t>Kč), příslušenství k</w:t>
      </w:r>
      <w:r w:rsidR="001E7BF2">
        <w:rPr>
          <w:szCs w:val="20"/>
        </w:rPr>
        <w:t> </w:t>
      </w:r>
      <w:r w:rsidR="00F12754">
        <w:rPr>
          <w:szCs w:val="20"/>
        </w:rPr>
        <w:t>nezaplaceným pohledávkám (1.133</w:t>
      </w:r>
      <w:r w:rsidR="00F12754" w:rsidRPr="002C14AA">
        <w:rPr>
          <w:szCs w:val="20"/>
        </w:rPr>
        <w:t> </w:t>
      </w:r>
      <w:r w:rsidR="00F12754">
        <w:rPr>
          <w:szCs w:val="20"/>
        </w:rPr>
        <w:t>tis.</w:t>
      </w:r>
      <w:r w:rsidR="00F12754" w:rsidRPr="002C14AA">
        <w:rPr>
          <w:szCs w:val="20"/>
        </w:rPr>
        <w:t> </w:t>
      </w:r>
      <w:r w:rsidR="00F12754">
        <w:rPr>
          <w:szCs w:val="20"/>
        </w:rPr>
        <w:t>Kč)</w:t>
      </w:r>
      <w:r w:rsidRPr="005C7E18">
        <w:rPr>
          <w:szCs w:val="20"/>
        </w:rPr>
        <w:t xml:space="preserve"> a pronájem podniku Letiště Ostrava-Mošnov v</w:t>
      </w:r>
      <w:r w:rsidR="001E7BF2">
        <w:rPr>
          <w:szCs w:val="20"/>
        </w:rPr>
        <w:t> </w:t>
      </w:r>
      <w:r w:rsidRPr="005C7E18">
        <w:rPr>
          <w:szCs w:val="20"/>
        </w:rPr>
        <w:t>pořizovacích cenách</w:t>
      </w:r>
      <w:r w:rsidR="00F12754">
        <w:rPr>
          <w:szCs w:val="20"/>
        </w:rPr>
        <w:t xml:space="preserve"> (1.444.495</w:t>
      </w:r>
      <w:r w:rsidR="00F12754" w:rsidRPr="002C14AA">
        <w:rPr>
          <w:szCs w:val="20"/>
        </w:rPr>
        <w:t> </w:t>
      </w:r>
      <w:r w:rsidR="00F12754">
        <w:rPr>
          <w:szCs w:val="20"/>
        </w:rPr>
        <w:t>tis.</w:t>
      </w:r>
      <w:r w:rsidR="00F12754" w:rsidRPr="002C14AA">
        <w:rPr>
          <w:szCs w:val="20"/>
        </w:rPr>
        <w:t> </w:t>
      </w:r>
      <w:r w:rsidR="00F12754">
        <w:rPr>
          <w:szCs w:val="20"/>
        </w:rPr>
        <w:t>Kč)</w:t>
      </w:r>
      <w:r w:rsidRPr="005C7E18">
        <w:rPr>
          <w:szCs w:val="20"/>
        </w:rPr>
        <w:t>.</w:t>
      </w:r>
      <w:r w:rsidR="007F7407">
        <w:rPr>
          <w:szCs w:val="20"/>
        </w:rPr>
        <w:t xml:space="preserve"> Celková výše podmíněných pohledávek a ostatních podmíněných aktiv je výši 5.982.506</w:t>
      </w:r>
      <w:r w:rsidR="007F7407" w:rsidRPr="002C14AA">
        <w:rPr>
          <w:szCs w:val="20"/>
        </w:rPr>
        <w:t> </w:t>
      </w:r>
      <w:r w:rsidR="007F7407">
        <w:rPr>
          <w:szCs w:val="20"/>
        </w:rPr>
        <w:t>tis.</w:t>
      </w:r>
      <w:r w:rsidR="007F7407" w:rsidRPr="002C14AA">
        <w:rPr>
          <w:szCs w:val="20"/>
        </w:rPr>
        <w:t> </w:t>
      </w:r>
      <w:r w:rsidR="007F7407">
        <w:rPr>
          <w:szCs w:val="20"/>
        </w:rPr>
        <w:t>Kč.</w:t>
      </w:r>
    </w:p>
    <w:p w:rsidR="00554163" w:rsidRPr="00BA70A5" w:rsidRDefault="007E63DB" w:rsidP="0055416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P.VI. </w:t>
      </w:r>
      <w:r w:rsidR="00554163" w:rsidRPr="005C7E18">
        <w:rPr>
          <w:szCs w:val="20"/>
          <w:u w:val="single"/>
        </w:rPr>
        <w:t>Další podmíněné závazky a ostatní podmíněná pasiva</w:t>
      </w:r>
      <w:r w:rsidR="00554163" w:rsidRPr="005C7E18">
        <w:rPr>
          <w:szCs w:val="20"/>
        </w:rPr>
        <w:t xml:space="preserve"> obsahují krátkodobé a dlouhodobé podmíněné závazky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 xml:space="preserve">jiných smluv (účet 973 – </w:t>
      </w:r>
      <w:r w:rsidR="00554163" w:rsidRPr="007F7407">
        <w:rPr>
          <w:szCs w:val="20"/>
        </w:rPr>
        <w:t>33.015</w:t>
      </w:r>
      <w:r w:rsidR="007F7407" w:rsidRPr="002C14AA">
        <w:rPr>
          <w:szCs w:val="20"/>
        </w:rPr>
        <w:t> </w:t>
      </w:r>
      <w:r w:rsidR="007F7407">
        <w:rPr>
          <w:szCs w:val="20"/>
        </w:rPr>
        <w:t>t</w:t>
      </w:r>
      <w:r w:rsidR="00554163" w:rsidRPr="005C7E18">
        <w:rPr>
          <w:szCs w:val="20"/>
        </w:rPr>
        <w:t>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Kč, účet 974 </w:t>
      </w:r>
      <w:r w:rsidR="001E7BF2">
        <w:rPr>
          <w:szCs w:val="20"/>
        </w:rPr>
        <w:t>–</w:t>
      </w:r>
      <w:r w:rsidR="00554163" w:rsidRPr="005C7E18">
        <w:rPr>
          <w:szCs w:val="20"/>
        </w:rPr>
        <w:t xml:space="preserve"> </w:t>
      </w:r>
      <w:r w:rsidR="00554163" w:rsidRPr="007F7407">
        <w:rPr>
          <w:szCs w:val="20"/>
        </w:rPr>
        <w:t>4.206.196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tis.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Kč) – jedná se o možné závazky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oblasti poskytování transferů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>uzavřených dotačních smluv apod.; další položku tvoří dlouhodobé podmíněné závazky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 xml:space="preserve">poskytnutých zajištění (účet 982 – </w:t>
      </w:r>
      <w:r w:rsidR="00554163" w:rsidRPr="007F7407">
        <w:rPr>
          <w:szCs w:val="20"/>
        </w:rPr>
        <w:t>99.575</w:t>
      </w:r>
      <w:r w:rsidR="007F7407" w:rsidRPr="002C14AA">
        <w:rPr>
          <w:szCs w:val="20"/>
        </w:rPr>
        <w:t> </w:t>
      </w:r>
      <w:r w:rsidR="007F7407">
        <w:rPr>
          <w:szCs w:val="20"/>
        </w:rPr>
        <w:t>t</w:t>
      </w:r>
      <w:r w:rsidR="00554163" w:rsidRPr="005C7E18">
        <w:rPr>
          <w:szCs w:val="20"/>
        </w:rPr>
        <w:t>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Kč, jedná se o ručitelský závazek za závazky společnosti VaK Bruntál, a.s. a </w:t>
      </w:r>
      <w:r w:rsidR="00554163" w:rsidRPr="007F7407">
        <w:rPr>
          <w:szCs w:val="20"/>
        </w:rPr>
        <w:t xml:space="preserve">ručitelský závazek za </w:t>
      </w:r>
      <w:r w:rsidR="001C5901">
        <w:rPr>
          <w:szCs w:val="20"/>
        </w:rPr>
        <w:t xml:space="preserve">úvěr </w:t>
      </w:r>
      <w:r w:rsidR="00554163" w:rsidRPr="007F7407">
        <w:rPr>
          <w:szCs w:val="20"/>
        </w:rPr>
        <w:t>Bílovecké nemocnice, a.s. vůči ČSOB, a.s.</w:t>
      </w:r>
      <w:r w:rsidR="00554163" w:rsidRPr="005C7E18">
        <w:rPr>
          <w:szCs w:val="20"/>
        </w:rPr>
        <w:t>),</w:t>
      </w:r>
      <w:r w:rsidR="007F7407">
        <w:rPr>
          <w:szCs w:val="20"/>
        </w:rPr>
        <w:t xml:space="preserve"> dále jsou to</w:t>
      </w:r>
      <w:r w:rsidR="00554163" w:rsidRPr="005C7E18">
        <w:rPr>
          <w:szCs w:val="20"/>
        </w:rPr>
        <w:t xml:space="preserve"> dlouhodobé podmíněné závazky ze soudních sporů, správních řízení a jiných řízení (účet 984 – </w:t>
      </w:r>
      <w:r w:rsidR="00554163" w:rsidRPr="007F7407">
        <w:rPr>
          <w:szCs w:val="20"/>
        </w:rPr>
        <w:t>75.613 </w:t>
      </w:r>
      <w:r w:rsidR="00554163" w:rsidRPr="005C7E18">
        <w:rPr>
          <w:szCs w:val="20"/>
        </w:rPr>
        <w:t>tis.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Kč, jedná se zejména o spor s</w:t>
      </w:r>
      <w:r w:rsidR="001E7BF2">
        <w:rPr>
          <w:szCs w:val="20"/>
        </w:rPr>
        <w:t> </w:t>
      </w:r>
      <w:r w:rsidR="00554163" w:rsidRPr="005C7E18">
        <w:rPr>
          <w:szCs w:val="20"/>
        </w:rPr>
        <w:t>Českými drahami, a.s. o</w:t>
      </w:r>
      <w:r w:rsidR="00BA70A5" w:rsidRPr="002C14AA">
        <w:rPr>
          <w:szCs w:val="20"/>
        </w:rPr>
        <w:t> </w:t>
      </w:r>
      <w:r w:rsidR="00554163" w:rsidRPr="005C7E18">
        <w:rPr>
          <w:szCs w:val="20"/>
        </w:rPr>
        <w:t>náhradu škod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>mimořádné události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železniční stanici Studénka ve výši 75.432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tis.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Kč). Ostatní dlouhodobá podmíněná pasiva (účet 986) představují nevyčerpaný úvěrový rámec u </w:t>
      </w:r>
      <w:r w:rsidR="00554163" w:rsidRPr="00BA70A5">
        <w:rPr>
          <w:szCs w:val="20"/>
        </w:rPr>
        <w:t>ČS, a.s. a EIB ve</w:t>
      </w:r>
      <w:r w:rsidR="002258B5">
        <w:rPr>
          <w:szCs w:val="20"/>
        </w:rPr>
        <w:t> </w:t>
      </w:r>
      <w:r w:rsidR="00554163" w:rsidRPr="00BA70A5">
        <w:rPr>
          <w:szCs w:val="20"/>
        </w:rPr>
        <w:t xml:space="preserve">výši 1.884.000 tis. Kč. 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Bod A5</w:t>
      </w:r>
      <w:r w:rsidRPr="005C7E18">
        <w:rPr>
          <w:szCs w:val="20"/>
        </w:rPr>
        <w:t xml:space="preserve"> obsahuje pouze splatné závazky z</w:t>
      </w:r>
      <w:r w:rsidR="001E7BF2">
        <w:rPr>
          <w:szCs w:val="20"/>
        </w:rPr>
        <w:t> </w:t>
      </w:r>
      <w:r w:rsidRPr="005C7E18">
        <w:rPr>
          <w:szCs w:val="20"/>
        </w:rPr>
        <w:t>titulu pojistného na sociální zabezpečení, zdravotní pojištění</w:t>
      </w:r>
      <w:r w:rsidRPr="005C7E18">
        <w:rPr>
          <w:strike/>
          <w:color w:val="FF0000"/>
          <w:szCs w:val="20"/>
        </w:rPr>
        <w:t xml:space="preserve"> </w:t>
      </w:r>
      <w:r w:rsidRPr="005C7E18">
        <w:rPr>
          <w:szCs w:val="20"/>
        </w:rPr>
        <w:t xml:space="preserve">a </w:t>
      </w:r>
      <w:r w:rsidR="00BA70A5">
        <w:rPr>
          <w:szCs w:val="20"/>
        </w:rPr>
        <w:t xml:space="preserve">dále </w:t>
      </w:r>
      <w:r w:rsidRPr="005C7E18">
        <w:rPr>
          <w:szCs w:val="20"/>
        </w:rPr>
        <w:t>daňov</w:t>
      </w:r>
      <w:r w:rsidR="00710AFC">
        <w:rPr>
          <w:szCs w:val="20"/>
        </w:rPr>
        <w:t>é</w:t>
      </w:r>
      <w:r w:rsidRPr="005C7E18">
        <w:rPr>
          <w:szCs w:val="20"/>
        </w:rPr>
        <w:t xml:space="preserve"> nedoplatk</w:t>
      </w:r>
      <w:r w:rsidR="00BA70A5">
        <w:rPr>
          <w:szCs w:val="20"/>
        </w:rPr>
        <w:t>y</w:t>
      </w:r>
      <w:r w:rsidRPr="005C7E18">
        <w:rPr>
          <w:szCs w:val="20"/>
        </w:rPr>
        <w:t xml:space="preserve"> u FÚ</w:t>
      </w:r>
      <w:r w:rsidR="00D54CEE">
        <w:rPr>
          <w:szCs w:val="20"/>
        </w:rPr>
        <w:t xml:space="preserve"> (tyto nejsou</w:t>
      </w:r>
      <w:r w:rsidR="00A32BD9">
        <w:rPr>
          <w:szCs w:val="20"/>
        </w:rPr>
        <w:t xml:space="preserve"> v r. 2013</w:t>
      </w:r>
      <w:r w:rsidR="00D54CEE">
        <w:rPr>
          <w:szCs w:val="20"/>
        </w:rPr>
        <w:t xml:space="preserve"> vykázány)</w:t>
      </w:r>
      <w:r w:rsidRPr="005C7E18">
        <w:rPr>
          <w:szCs w:val="20"/>
        </w:rPr>
        <w:t xml:space="preserve">; žádný ze zde evidovaných závazků není po splatnosti. 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bodech A6 až A9</w:t>
      </w:r>
      <w:r w:rsidRPr="005C7E18">
        <w:rPr>
          <w:szCs w:val="20"/>
        </w:rPr>
        <w:t xml:space="preserve"> </w:t>
      </w:r>
      <w:r w:rsidRPr="00BA70A5">
        <w:rPr>
          <w:szCs w:val="20"/>
        </w:rPr>
        <w:t>jsou údaje pouze u bodu A8, kde jsou uvedeny smlouvy, u kterých byl k</w:t>
      </w:r>
      <w:r w:rsidR="001E7BF2">
        <w:rPr>
          <w:szCs w:val="20"/>
        </w:rPr>
        <w:t> </w:t>
      </w:r>
      <w:r w:rsidRPr="00BA70A5">
        <w:rPr>
          <w:szCs w:val="20"/>
        </w:rPr>
        <w:t xml:space="preserve">31. 12. 2013 podán návrh na vklad do </w:t>
      </w:r>
      <w:r w:rsidR="00BA70A5" w:rsidRPr="00BA70A5">
        <w:rPr>
          <w:szCs w:val="20"/>
        </w:rPr>
        <w:t>k</w:t>
      </w:r>
      <w:r w:rsidRPr="00BA70A5">
        <w:rPr>
          <w:szCs w:val="20"/>
        </w:rPr>
        <w:t>atastru nemovitostí, ale k</w:t>
      </w:r>
      <w:r w:rsidR="001E7BF2">
        <w:rPr>
          <w:szCs w:val="20"/>
        </w:rPr>
        <w:t> </w:t>
      </w:r>
      <w:r w:rsidRPr="00BA70A5">
        <w:rPr>
          <w:szCs w:val="20"/>
        </w:rPr>
        <w:t>tomuto datu nebyly</w:t>
      </w:r>
      <w:r w:rsidR="00DB19AD">
        <w:rPr>
          <w:szCs w:val="20"/>
        </w:rPr>
        <w:t xml:space="preserve"> vklady</w:t>
      </w:r>
      <w:r w:rsidRPr="00BA70A5">
        <w:rPr>
          <w:szCs w:val="20"/>
        </w:rPr>
        <w:t xml:space="preserve"> ještě </w:t>
      </w:r>
      <w:r w:rsidR="00BA70A5" w:rsidRPr="00BA70A5">
        <w:rPr>
          <w:szCs w:val="20"/>
        </w:rPr>
        <w:t>v</w:t>
      </w:r>
      <w:r w:rsidR="001E7BF2">
        <w:rPr>
          <w:szCs w:val="20"/>
        </w:rPr>
        <w:t> </w:t>
      </w:r>
      <w:r w:rsidR="00BA70A5" w:rsidRPr="00BA70A5">
        <w:rPr>
          <w:szCs w:val="20"/>
        </w:rPr>
        <w:t xml:space="preserve">katastru </w:t>
      </w:r>
      <w:r w:rsidRPr="00BA70A5">
        <w:rPr>
          <w:szCs w:val="20"/>
        </w:rPr>
        <w:t xml:space="preserve">zapsány. U ostatních bodů </w:t>
      </w:r>
      <w:r w:rsidRPr="005C7E18">
        <w:rPr>
          <w:szCs w:val="20"/>
        </w:rPr>
        <w:t>nejsou uváděny za kraj žádné informace, protože nenastaly skutečnosti, které by ovlivnily finanční situaci kraje a nebyly zaznamenány v</w:t>
      </w:r>
      <w:r w:rsidR="001E7BF2">
        <w:rPr>
          <w:szCs w:val="20"/>
        </w:rPr>
        <w:t> </w:t>
      </w:r>
      <w:r w:rsidRPr="005C7E18">
        <w:rPr>
          <w:szCs w:val="20"/>
        </w:rPr>
        <w:t>účetní závěrce, popř. se zde uvádějí informace, které se kraje netýkají.</w:t>
      </w:r>
    </w:p>
    <w:p w:rsidR="003336F8" w:rsidRDefault="003336F8" w:rsidP="003336F8">
      <w:pPr>
        <w:pStyle w:val="Mjtext"/>
        <w:rPr>
          <w:szCs w:val="20"/>
        </w:rPr>
      </w:pPr>
      <w:r w:rsidRPr="00847477">
        <w:rPr>
          <w:szCs w:val="20"/>
          <w:u w:val="single"/>
        </w:rPr>
        <w:lastRenderedPageBreak/>
        <w:t>V</w:t>
      </w:r>
      <w:r w:rsidR="001E7BF2"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B</w:t>
      </w:r>
      <w:r>
        <w:rPr>
          <w:szCs w:val="20"/>
        </w:rPr>
        <w:t xml:space="preserve"> je příloha nulová, kraj neposkytoval úvěry ani půjčky cenných papírů, neprováděl prodeje a</w:t>
      </w:r>
      <w:r w:rsidR="00847477">
        <w:rPr>
          <w:szCs w:val="20"/>
        </w:rPr>
        <w:t> </w:t>
      </w:r>
      <w:r>
        <w:rPr>
          <w:szCs w:val="20"/>
        </w:rPr>
        <w:t>nákupy aktiv se současně sjednaným zpětným prodejem.</w:t>
      </w:r>
    </w:p>
    <w:p w:rsidR="003336F8" w:rsidRDefault="003336F8" w:rsidP="003336F8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C</w:t>
      </w:r>
      <w:r>
        <w:rPr>
          <w:szCs w:val="20"/>
        </w:rPr>
        <w:t xml:space="preserve"> je uvedeno zvýšení a snížení stavu </w:t>
      </w:r>
      <w:r w:rsidR="00BA70A5">
        <w:rPr>
          <w:szCs w:val="20"/>
        </w:rPr>
        <w:t xml:space="preserve">investičních </w:t>
      </w:r>
      <w:r>
        <w:rPr>
          <w:szCs w:val="20"/>
        </w:rPr>
        <w:t>transferů</w:t>
      </w:r>
      <w:r w:rsidR="00847477">
        <w:rPr>
          <w:szCs w:val="20"/>
        </w:rPr>
        <w:t xml:space="preserve"> (časové rozpouštění transferů do</w:t>
      </w:r>
      <w:r w:rsidR="002258B5">
        <w:rPr>
          <w:szCs w:val="20"/>
        </w:rPr>
        <w:t> </w:t>
      </w:r>
      <w:r w:rsidR="00847477">
        <w:rPr>
          <w:szCs w:val="20"/>
        </w:rPr>
        <w:t>výnosů)</w:t>
      </w:r>
      <w:r>
        <w:rPr>
          <w:szCs w:val="20"/>
        </w:rPr>
        <w:t xml:space="preserve"> na</w:t>
      </w:r>
      <w:r w:rsidR="00604422">
        <w:rPr>
          <w:szCs w:val="20"/>
        </w:rPr>
        <w:t> </w:t>
      </w:r>
      <w:r>
        <w:rPr>
          <w:szCs w:val="20"/>
        </w:rPr>
        <w:t>pořízení dlouhodobého majetku kraje.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D</w:t>
      </w:r>
      <w:r w:rsidRPr="005C7E18">
        <w:rPr>
          <w:szCs w:val="20"/>
        </w:rPr>
        <w:t xml:space="preserve"> jsou specifické informace týkající se majetku </w:t>
      </w:r>
      <w:r>
        <w:rPr>
          <w:szCs w:val="20"/>
        </w:rPr>
        <w:t xml:space="preserve">– kraje se zde uváděné údaje většinou netýkají </w:t>
      </w:r>
      <w:r w:rsidRPr="005C7E18">
        <w:rPr>
          <w:szCs w:val="20"/>
        </w:rPr>
        <w:t>(</w:t>
      </w:r>
      <w:r>
        <w:rPr>
          <w:szCs w:val="20"/>
        </w:rPr>
        <w:t xml:space="preserve">kraj vlastní </w:t>
      </w:r>
      <w:r w:rsidRPr="005C7E18">
        <w:rPr>
          <w:szCs w:val="20"/>
        </w:rPr>
        <w:t>lesní pozemky s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výměrou menší než </w:t>
      </w:r>
      <w:smartTag w:uri="urn:schemas-microsoft-com:office:smarttags" w:element="metricconverter">
        <w:smartTagPr>
          <w:attr w:name="ProductID" w:val="10 ha"/>
        </w:smartTagPr>
        <w:r w:rsidRPr="005C7E18">
          <w:rPr>
            <w:szCs w:val="20"/>
          </w:rPr>
          <w:t>10 ha</w:t>
        </w:r>
      </w:smartTag>
      <w:r w:rsidRPr="005C7E18">
        <w:rPr>
          <w:szCs w:val="20"/>
        </w:rPr>
        <w:t>).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E</w:t>
      </w:r>
      <w:r w:rsidRPr="005C7E18">
        <w:rPr>
          <w:szCs w:val="20"/>
        </w:rPr>
        <w:t xml:space="preserve"> obsahuje doplňující informace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položkám rozvahy a výkazu zisku a ztráty, přehledu o peněžních tocích a přehledu o změnách vlastního kapitálu; komentáře </w:t>
      </w:r>
      <w:r>
        <w:rPr>
          <w:szCs w:val="20"/>
        </w:rPr>
        <w:t>k</w:t>
      </w:r>
      <w:r w:rsidR="001E7BF2">
        <w:rPr>
          <w:szCs w:val="20"/>
        </w:rPr>
        <w:t> </w:t>
      </w:r>
      <w:r>
        <w:rPr>
          <w:szCs w:val="20"/>
        </w:rPr>
        <w:t xml:space="preserve">těmto položkám </w:t>
      </w:r>
      <w:r w:rsidRPr="005C7E18">
        <w:rPr>
          <w:szCs w:val="20"/>
        </w:rPr>
        <w:t>se týkají zejména nejvýznamnějších změn u aktiv a pasiv, resp. nákladů a výnosů vč. komentáře k</w:t>
      </w:r>
      <w:r w:rsidR="001E7BF2">
        <w:rPr>
          <w:szCs w:val="20"/>
        </w:rPr>
        <w:t> </w:t>
      </w:r>
      <w:r w:rsidRPr="005C7E18">
        <w:rPr>
          <w:szCs w:val="20"/>
        </w:rPr>
        <w:t>výsledku hospodaření.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F</w:t>
      </w:r>
      <w:r w:rsidRPr="005C7E18">
        <w:rPr>
          <w:szCs w:val="20"/>
        </w:rPr>
        <w:t xml:space="preserve"> je věnována ostatním fondům kraje; údaje jsou o počátečním stavu fondů, tvorbě a čerpání fondů v</w:t>
      </w:r>
      <w:r w:rsidR="001E7BF2">
        <w:rPr>
          <w:szCs w:val="20"/>
        </w:rPr>
        <w:t> </w:t>
      </w:r>
      <w:r w:rsidR="00F3503C">
        <w:rPr>
          <w:szCs w:val="20"/>
        </w:rPr>
        <w:t>roce 2013</w:t>
      </w:r>
      <w:r w:rsidRPr="005C7E18">
        <w:rPr>
          <w:szCs w:val="20"/>
        </w:rPr>
        <w:t xml:space="preserve"> a konečný stav fondů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31. 12. 2013, který představuje částku </w:t>
      </w:r>
      <w:r w:rsidRPr="003A5966">
        <w:rPr>
          <w:szCs w:val="20"/>
        </w:rPr>
        <w:t>156.822</w:t>
      </w:r>
      <w:r w:rsidR="003A5966">
        <w:rPr>
          <w:szCs w:val="20"/>
        </w:rPr>
        <w:t> </w:t>
      </w:r>
      <w:r w:rsidRPr="003A5966">
        <w:rPr>
          <w:szCs w:val="20"/>
        </w:rPr>
        <w:t>tis.</w:t>
      </w:r>
      <w:r w:rsidR="003A5966">
        <w:rPr>
          <w:szCs w:val="20"/>
        </w:rPr>
        <w:t> </w:t>
      </w:r>
      <w:r w:rsidRPr="005C7E18">
        <w:rPr>
          <w:szCs w:val="20"/>
        </w:rPr>
        <w:t xml:space="preserve">Kč. 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G</w:t>
      </w:r>
      <w:r w:rsidRPr="005C7E18">
        <w:rPr>
          <w:szCs w:val="20"/>
        </w:rPr>
        <w:t xml:space="preserve"> jsou podrobně rozčleněny stavby a </w:t>
      </w: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H</w:t>
      </w:r>
      <w:r w:rsidRPr="005C7E18">
        <w:rPr>
          <w:szCs w:val="20"/>
        </w:rPr>
        <w:t xml:space="preserve"> pozemky </w:t>
      </w:r>
      <w:r w:rsidR="001E7BF2">
        <w:rPr>
          <w:szCs w:val="20"/>
        </w:rPr>
        <w:t>–</w:t>
      </w:r>
      <w:r w:rsidRPr="005C7E18">
        <w:rPr>
          <w:szCs w:val="20"/>
        </w:rPr>
        <w:t xml:space="preserve"> v</w:t>
      </w:r>
      <w:r w:rsidR="001E7BF2">
        <w:rPr>
          <w:szCs w:val="20"/>
        </w:rPr>
        <w:t> </w:t>
      </w:r>
      <w:r w:rsidRPr="005C7E18">
        <w:rPr>
          <w:szCs w:val="20"/>
        </w:rPr>
        <w:t>obou případech dle členění daného právním předpisem, a to za běžné a minulé účetní období (v korekci je vykázána výše oprávek k</w:t>
      </w:r>
      <w:r w:rsidR="001E7BF2">
        <w:rPr>
          <w:szCs w:val="20"/>
        </w:rPr>
        <w:t> </w:t>
      </w:r>
      <w:r w:rsidRPr="005C7E18">
        <w:rPr>
          <w:szCs w:val="20"/>
        </w:rPr>
        <w:t>majetku).</w:t>
      </w:r>
    </w:p>
    <w:p w:rsidR="00BA70A5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I, J a K</w:t>
      </w:r>
      <w:r w:rsidR="001E7BF2">
        <w:rPr>
          <w:szCs w:val="20"/>
        </w:rPr>
        <w:t> </w:t>
      </w:r>
      <w:r w:rsidRPr="005C7E18">
        <w:rPr>
          <w:szCs w:val="20"/>
        </w:rPr>
        <w:t>obsahuje doplňující informace k</w:t>
      </w:r>
      <w:r w:rsidR="001E7BF2">
        <w:rPr>
          <w:szCs w:val="20"/>
        </w:rPr>
        <w:t> </w:t>
      </w:r>
      <w:r w:rsidRPr="005C7E18">
        <w:rPr>
          <w:szCs w:val="20"/>
        </w:rPr>
        <w:t>majetku určenému k</w:t>
      </w:r>
      <w:r w:rsidR="001E7BF2">
        <w:rPr>
          <w:szCs w:val="20"/>
        </w:rPr>
        <w:t> </w:t>
      </w:r>
      <w:r w:rsidRPr="005C7E18">
        <w:rPr>
          <w:szCs w:val="20"/>
        </w:rPr>
        <w:t>prodeji, jsou zde vyčísleny náklady z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přecenění reálnou hodnotou ve výši </w:t>
      </w:r>
      <w:r w:rsidRPr="003A5966">
        <w:rPr>
          <w:szCs w:val="20"/>
        </w:rPr>
        <w:t>7.962</w:t>
      </w:r>
      <w:r w:rsidR="003A5966">
        <w:rPr>
          <w:szCs w:val="20"/>
        </w:rPr>
        <w:t> </w:t>
      </w:r>
      <w:r w:rsidRPr="005C7E18">
        <w:rPr>
          <w:szCs w:val="20"/>
        </w:rPr>
        <w:t>tis.</w:t>
      </w:r>
      <w:r w:rsidR="003A5966">
        <w:rPr>
          <w:szCs w:val="20"/>
        </w:rPr>
        <w:t> </w:t>
      </w:r>
      <w:r w:rsidRPr="005C7E18">
        <w:rPr>
          <w:szCs w:val="20"/>
        </w:rPr>
        <w:t>Kč, výnosy z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přecenění reálnou hodnotou ve výši </w:t>
      </w:r>
      <w:r w:rsidRPr="003A5966">
        <w:rPr>
          <w:szCs w:val="20"/>
        </w:rPr>
        <w:t>27.891 </w:t>
      </w:r>
      <w:r w:rsidR="003A5966">
        <w:rPr>
          <w:szCs w:val="20"/>
        </w:rPr>
        <w:t>tis. Kč a ocenění dlouhodobého majetku určeného k</w:t>
      </w:r>
      <w:r w:rsidR="001E7BF2">
        <w:rPr>
          <w:szCs w:val="20"/>
        </w:rPr>
        <w:t> </w:t>
      </w:r>
      <w:r w:rsidR="003A5966">
        <w:rPr>
          <w:szCs w:val="20"/>
        </w:rPr>
        <w:t xml:space="preserve">prodeji </w:t>
      </w:r>
      <w:r w:rsidR="001E7BF2">
        <w:rPr>
          <w:szCs w:val="20"/>
        </w:rPr>
        <w:t>–</w:t>
      </w:r>
      <w:r w:rsidR="003A5966">
        <w:rPr>
          <w:szCs w:val="20"/>
        </w:rPr>
        <w:t xml:space="preserve"> k</w:t>
      </w:r>
      <w:r w:rsidR="001E7BF2">
        <w:rPr>
          <w:szCs w:val="20"/>
        </w:rPr>
        <w:t> </w:t>
      </w:r>
      <w:r w:rsidR="003A5966">
        <w:rPr>
          <w:szCs w:val="20"/>
        </w:rPr>
        <w:t>31. 12. 2013 neměl kraj žádný majetek určený k</w:t>
      </w:r>
      <w:r w:rsidR="001E7BF2">
        <w:rPr>
          <w:szCs w:val="20"/>
        </w:rPr>
        <w:t> </w:t>
      </w:r>
      <w:r w:rsidR="003A5966">
        <w:rPr>
          <w:szCs w:val="20"/>
        </w:rPr>
        <w:t>pr</w:t>
      </w:r>
      <w:r w:rsidR="00DB19AD">
        <w:rPr>
          <w:szCs w:val="20"/>
        </w:rPr>
        <w:t>odeji oceněný reálnou hodnotou</w:t>
      </w:r>
      <w:r w:rsidR="00F3503C">
        <w:rPr>
          <w:szCs w:val="20"/>
        </w:rPr>
        <w:t>,</w:t>
      </w:r>
      <w:r w:rsidR="00DB19AD">
        <w:rPr>
          <w:szCs w:val="20"/>
        </w:rPr>
        <w:t xml:space="preserve"> a proto </w:t>
      </w:r>
      <w:r w:rsidR="000D2585">
        <w:rPr>
          <w:szCs w:val="20"/>
        </w:rPr>
        <w:t xml:space="preserve">v </w:t>
      </w:r>
      <w:r w:rsidR="00DB19AD">
        <w:rPr>
          <w:szCs w:val="20"/>
        </w:rPr>
        <w:t>běžném období zde není uveden žádný údaj.</w:t>
      </w:r>
    </w:p>
    <w:p w:rsidR="00D25971" w:rsidRDefault="001E0830" w:rsidP="001E0830">
      <w:pPr>
        <w:pStyle w:val="Nadpis1"/>
      </w:pPr>
      <w:bookmarkStart w:id="36" w:name="_Toc388005085"/>
      <w:r>
        <w:t>Přehled o peněžních tocích</w:t>
      </w:r>
      <w:bookmarkEnd w:id="36"/>
    </w:p>
    <w:p w:rsidR="002022CD" w:rsidRPr="000F19D7" w:rsidRDefault="003336F8" w:rsidP="003336F8">
      <w:pPr>
        <w:pStyle w:val="Mjtext"/>
        <w:rPr>
          <w:szCs w:val="20"/>
        </w:rPr>
      </w:pPr>
      <w:r w:rsidRPr="001E329D">
        <w:rPr>
          <w:szCs w:val="20"/>
        </w:rPr>
        <w:t xml:space="preserve">Výkaz cash flow </w:t>
      </w:r>
      <w:r w:rsidR="002022CD">
        <w:rPr>
          <w:szCs w:val="20"/>
        </w:rPr>
        <w:t>(CF)</w:t>
      </w:r>
      <w:r w:rsidR="00497EBA">
        <w:rPr>
          <w:szCs w:val="20"/>
        </w:rPr>
        <w:t xml:space="preserve"> </w:t>
      </w:r>
      <w:r>
        <w:rPr>
          <w:szCs w:val="20"/>
        </w:rPr>
        <w:t>neboli</w:t>
      </w:r>
      <w:r w:rsidRPr="001E329D">
        <w:rPr>
          <w:szCs w:val="20"/>
        </w:rPr>
        <w:t xml:space="preserve"> </w:t>
      </w:r>
      <w:r w:rsidR="00045F88" w:rsidRPr="00045F88">
        <w:rPr>
          <w:szCs w:val="20"/>
        </w:rPr>
        <w:t>p</w:t>
      </w:r>
      <w:r w:rsidRPr="00045F88">
        <w:rPr>
          <w:szCs w:val="20"/>
        </w:rPr>
        <w:t xml:space="preserve">řehled o </w:t>
      </w:r>
      <w:r w:rsidR="00611624" w:rsidRPr="00045F88">
        <w:rPr>
          <w:szCs w:val="20"/>
        </w:rPr>
        <w:t>peněžních</w:t>
      </w:r>
      <w:r w:rsidRPr="00045F88">
        <w:rPr>
          <w:szCs w:val="20"/>
        </w:rPr>
        <w:t xml:space="preserve"> tocích</w:t>
      </w:r>
      <w:r w:rsidRPr="001E329D">
        <w:rPr>
          <w:szCs w:val="20"/>
        </w:rPr>
        <w:t xml:space="preserve"> lze konstruovat přímou nebo nepřímou metodou. Výkaz konstruovaný přímou metodou představuje</w:t>
      </w:r>
      <w:r w:rsidR="00497EBA">
        <w:rPr>
          <w:szCs w:val="20"/>
        </w:rPr>
        <w:t xml:space="preserve"> </w:t>
      </w:r>
      <w:r w:rsidR="00130E94" w:rsidRPr="00AD17F9">
        <w:rPr>
          <w:szCs w:val="20"/>
        </w:rPr>
        <w:t xml:space="preserve">u účtů rozpočtového hospodaření </w:t>
      </w:r>
      <w:r w:rsidRPr="00AD17F9">
        <w:rPr>
          <w:szCs w:val="20"/>
        </w:rPr>
        <w:t>„výkaz pro hodnocení plnění rozpočtu“ FIN 2-</w:t>
      </w:r>
      <w:smartTag w:uri="urn:schemas-microsoft-com:office:smarttags" w:element="metricconverter">
        <w:smartTagPr>
          <w:attr w:name="ProductID" w:val="12 M"/>
        </w:smartTagPr>
        <w:r w:rsidRPr="00AD17F9">
          <w:rPr>
            <w:szCs w:val="20"/>
          </w:rPr>
          <w:t>12</w:t>
        </w:r>
        <w:r w:rsidR="00DF250E" w:rsidRPr="00AD17F9">
          <w:rPr>
            <w:szCs w:val="20"/>
          </w:rPr>
          <w:t xml:space="preserve"> </w:t>
        </w:r>
        <w:r w:rsidRPr="00AD17F9">
          <w:rPr>
            <w:szCs w:val="20"/>
          </w:rPr>
          <w:t>M</w:t>
        </w:r>
      </w:smartTag>
      <w:r w:rsidR="00130E94" w:rsidRPr="00AD17F9">
        <w:rPr>
          <w:szCs w:val="20"/>
        </w:rPr>
        <w:t xml:space="preserve"> a jeho</w:t>
      </w:r>
      <w:r w:rsidRPr="00AD17F9">
        <w:rPr>
          <w:szCs w:val="20"/>
        </w:rPr>
        <w:t xml:space="preserve"> sestavení je podmíněno rozpočtovou skladbou, výkaz sestavený nepřímou metodou je </w:t>
      </w:r>
      <w:r w:rsidR="00130E94" w:rsidRPr="00045F88">
        <w:rPr>
          <w:szCs w:val="20"/>
          <w:u w:val="single"/>
        </w:rPr>
        <w:t>Přehled o peněžních tocích</w:t>
      </w:r>
      <w:r w:rsidR="004654B2" w:rsidRPr="00AD17F9">
        <w:rPr>
          <w:szCs w:val="20"/>
        </w:rPr>
        <w:t>,</w:t>
      </w:r>
      <w:r w:rsidR="00130E94" w:rsidRPr="00AD17F9">
        <w:rPr>
          <w:szCs w:val="20"/>
        </w:rPr>
        <w:t xml:space="preserve"> </w:t>
      </w:r>
      <w:r w:rsidRPr="00AD17F9">
        <w:rPr>
          <w:szCs w:val="20"/>
        </w:rPr>
        <w:t>nevyžaduje rozpočtovou skladbu</w:t>
      </w:r>
      <w:r w:rsidR="00130E94" w:rsidRPr="00AD17F9">
        <w:rPr>
          <w:szCs w:val="20"/>
        </w:rPr>
        <w:t xml:space="preserve"> a</w:t>
      </w:r>
      <w:r w:rsidR="00045F88" w:rsidRPr="005C7E18">
        <w:rPr>
          <w:szCs w:val="20"/>
        </w:rPr>
        <w:t> </w:t>
      </w:r>
      <w:r w:rsidR="00130E94" w:rsidRPr="00AD17F9">
        <w:rPr>
          <w:szCs w:val="20"/>
        </w:rPr>
        <w:t>má širší obsah.</w:t>
      </w:r>
      <w:r w:rsidRPr="00AD17F9">
        <w:rPr>
          <w:szCs w:val="20"/>
        </w:rPr>
        <w:t xml:space="preserve"> Cash flow je definován jako skutečný pohyb peněžních prostředků za určité období v</w:t>
      </w:r>
      <w:r w:rsidR="001E7BF2">
        <w:rPr>
          <w:szCs w:val="20"/>
        </w:rPr>
        <w:t> </w:t>
      </w:r>
      <w:r w:rsidRPr="00AD17F9">
        <w:rPr>
          <w:szCs w:val="20"/>
        </w:rPr>
        <w:t>souvislost</w:t>
      </w:r>
      <w:r w:rsidR="002022CD" w:rsidRPr="00AD17F9">
        <w:rPr>
          <w:szCs w:val="20"/>
        </w:rPr>
        <w:t>i</w:t>
      </w:r>
      <w:r w:rsidRPr="00AD17F9">
        <w:rPr>
          <w:szCs w:val="20"/>
        </w:rPr>
        <w:t xml:space="preserve"> s</w:t>
      </w:r>
      <w:r w:rsidR="001E7BF2">
        <w:rPr>
          <w:szCs w:val="20"/>
        </w:rPr>
        <w:t> </w:t>
      </w:r>
      <w:r w:rsidRPr="00AD17F9">
        <w:rPr>
          <w:szCs w:val="20"/>
        </w:rPr>
        <w:t xml:space="preserve">činností účetní jednotky. </w:t>
      </w:r>
      <w:r w:rsidR="002022CD" w:rsidRPr="00AD17F9">
        <w:rPr>
          <w:szCs w:val="20"/>
        </w:rPr>
        <w:t xml:space="preserve">Výkaz </w:t>
      </w:r>
      <w:r w:rsidR="00611624" w:rsidRPr="00AD17F9">
        <w:rPr>
          <w:szCs w:val="20"/>
        </w:rPr>
        <w:t xml:space="preserve">Přehled o peněžních </w:t>
      </w:r>
      <w:r w:rsidR="00611624" w:rsidRPr="000F19D7">
        <w:rPr>
          <w:szCs w:val="20"/>
        </w:rPr>
        <w:t>tocích</w:t>
      </w:r>
      <w:r w:rsidR="002022CD" w:rsidRPr="000F19D7">
        <w:rPr>
          <w:szCs w:val="20"/>
        </w:rPr>
        <w:t xml:space="preserve"> zahrnuje kromě účtů rozpočtového hospodaření (účty 068, 231, </w:t>
      </w:r>
      <w:smartTag w:uri="urn:schemas-microsoft-com:office:smarttags" w:element="metricconverter">
        <w:smartTagPr>
          <w:attr w:name="ProductID" w:val="236 a"/>
        </w:smartTagPr>
        <w:r w:rsidR="002022CD" w:rsidRPr="000F19D7">
          <w:rPr>
            <w:szCs w:val="20"/>
          </w:rPr>
          <w:t>236 a</w:t>
        </w:r>
      </w:smartTag>
      <w:r w:rsidR="002022CD" w:rsidRPr="000F19D7">
        <w:rPr>
          <w:szCs w:val="20"/>
        </w:rPr>
        <w:t xml:space="preserve"> 244) také další účty, a to</w:t>
      </w:r>
      <w:r w:rsidR="00130E94" w:rsidRPr="000F19D7">
        <w:rPr>
          <w:szCs w:val="20"/>
        </w:rPr>
        <w:t xml:space="preserve">: </w:t>
      </w:r>
      <w:r w:rsidR="002022CD" w:rsidRPr="000F19D7">
        <w:rPr>
          <w:szCs w:val="20"/>
        </w:rPr>
        <w:t xml:space="preserve">241 </w:t>
      </w:r>
      <w:r w:rsidR="001E7BF2" w:rsidRPr="000F19D7">
        <w:rPr>
          <w:szCs w:val="20"/>
        </w:rPr>
        <w:t>–</w:t>
      </w:r>
      <w:r w:rsidR="002022CD" w:rsidRPr="000F19D7">
        <w:rPr>
          <w:szCs w:val="20"/>
        </w:rPr>
        <w:t xml:space="preserve"> </w:t>
      </w:r>
      <w:r w:rsidR="004654B2" w:rsidRPr="000F19D7">
        <w:rPr>
          <w:szCs w:val="20"/>
        </w:rPr>
        <w:t>b</w:t>
      </w:r>
      <w:r w:rsidR="002022CD" w:rsidRPr="000F19D7">
        <w:rPr>
          <w:szCs w:val="20"/>
        </w:rPr>
        <w:t>ěžný účet</w:t>
      </w:r>
      <w:r w:rsidR="00130E94" w:rsidRPr="000F19D7">
        <w:rPr>
          <w:szCs w:val="20"/>
        </w:rPr>
        <w:t xml:space="preserve">, </w:t>
      </w:r>
      <w:r w:rsidR="002022CD" w:rsidRPr="000F19D7">
        <w:rPr>
          <w:szCs w:val="20"/>
        </w:rPr>
        <w:t>245</w:t>
      </w:r>
      <w:r w:rsidR="008720A3" w:rsidRPr="000F19D7">
        <w:rPr>
          <w:szCs w:val="20"/>
        </w:rPr>
        <w:t xml:space="preserve"> </w:t>
      </w:r>
      <w:r w:rsidR="001E7BF2" w:rsidRPr="000F19D7">
        <w:rPr>
          <w:szCs w:val="20"/>
        </w:rPr>
        <w:t>–</w:t>
      </w:r>
      <w:r w:rsidR="008720A3" w:rsidRPr="000F19D7">
        <w:rPr>
          <w:szCs w:val="20"/>
        </w:rPr>
        <w:t xml:space="preserve"> </w:t>
      </w:r>
      <w:r w:rsidR="002022CD" w:rsidRPr="000F19D7">
        <w:rPr>
          <w:szCs w:val="20"/>
        </w:rPr>
        <w:t>jiné běžné účty (depozitní účet kraje</w:t>
      </w:r>
      <w:r w:rsidR="001B3D7B" w:rsidRPr="000F19D7">
        <w:rPr>
          <w:szCs w:val="20"/>
        </w:rPr>
        <w:t xml:space="preserve"> </w:t>
      </w:r>
      <w:r w:rsidR="00DB19AD" w:rsidRPr="000F19D7">
        <w:rPr>
          <w:szCs w:val="20"/>
        </w:rPr>
        <w:t xml:space="preserve">a </w:t>
      </w:r>
      <w:r w:rsidR="001B3D7B" w:rsidRPr="000F19D7">
        <w:rPr>
          <w:szCs w:val="20"/>
        </w:rPr>
        <w:t>účet sdružených prostředků</w:t>
      </w:r>
      <w:r w:rsidR="002022CD" w:rsidRPr="000F19D7">
        <w:rPr>
          <w:szCs w:val="20"/>
        </w:rPr>
        <w:t xml:space="preserve">) a </w:t>
      </w:r>
      <w:r w:rsidR="00DB19AD" w:rsidRPr="000F19D7">
        <w:rPr>
          <w:szCs w:val="20"/>
        </w:rPr>
        <w:t xml:space="preserve">účet </w:t>
      </w:r>
      <w:r w:rsidR="002022CD" w:rsidRPr="000F19D7">
        <w:rPr>
          <w:szCs w:val="20"/>
        </w:rPr>
        <w:t xml:space="preserve">263 </w:t>
      </w:r>
      <w:r w:rsidR="008720A3" w:rsidRPr="000F19D7">
        <w:rPr>
          <w:szCs w:val="20"/>
        </w:rPr>
        <w:t>–</w:t>
      </w:r>
      <w:r w:rsidR="002022CD" w:rsidRPr="000F19D7">
        <w:rPr>
          <w:szCs w:val="20"/>
        </w:rPr>
        <w:t xml:space="preserve"> ceniny</w:t>
      </w:r>
      <w:r w:rsidR="008720A3" w:rsidRPr="000F19D7">
        <w:rPr>
          <w:szCs w:val="20"/>
        </w:rPr>
        <w:t>. Výkaz Přehled o</w:t>
      </w:r>
      <w:r w:rsidR="001B3D7B" w:rsidRPr="000F19D7">
        <w:rPr>
          <w:szCs w:val="20"/>
        </w:rPr>
        <w:t> </w:t>
      </w:r>
      <w:r w:rsidR="008720A3" w:rsidRPr="000F19D7">
        <w:rPr>
          <w:szCs w:val="20"/>
        </w:rPr>
        <w:t xml:space="preserve">peněžních tocích </w:t>
      </w:r>
      <w:r w:rsidR="003E2B20" w:rsidRPr="000F19D7">
        <w:rPr>
          <w:szCs w:val="20"/>
        </w:rPr>
        <w:t>je součástí přílohy č. 2 materiálu – Účetní závěrka Moravskoslezského kraje k</w:t>
      </w:r>
      <w:r w:rsidR="001E7BF2" w:rsidRPr="000F19D7">
        <w:rPr>
          <w:szCs w:val="20"/>
        </w:rPr>
        <w:t> </w:t>
      </w:r>
      <w:r w:rsidR="003E2B20" w:rsidRPr="000F19D7">
        <w:rPr>
          <w:szCs w:val="20"/>
        </w:rPr>
        <w:t>rozvahovému dni 31. 12. 201</w:t>
      </w:r>
      <w:r w:rsidR="001B3D7B" w:rsidRPr="000F19D7">
        <w:rPr>
          <w:szCs w:val="20"/>
        </w:rPr>
        <w:t>3</w:t>
      </w:r>
      <w:r w:rsidR="003E2B20" w:rsidRPr="000F19D7">
        <w:t>.</w:t>
      </w:r>
    </w:p>
    <w:p w:rsidR="003336F8" w:rsidRPr="000F19D7" w:rsidRDefault="00DB19AD" w:rsidP="003336F8">
      <w:pPr>
        <w:pStyle w:val="Mjtext"/>
        <w:rPr>
          <w:szCs w:val="20"/>
        </w:rPr>
      </w:pPr>
      <w:r w:rsidRPr="000F19D7">
        <w:rPr>
          <w:szCs w:val="20"/>
        </w:rPr>
        <w:t>Výkaz z</w:t>
      </w:r>
      <w:r w:rsidR="003336F8" w:rsidRPr="000F19D7">
        <w:rPr>
          <w:szCs w:val="20"/>
        </w:rPr>
        <w:t xml:space="preserve">ačíná počátečním stavem peněžních prostředků </w:t>
      </w:r>
      <w:r w:rsidR="00314B7C" w:rsidRPr="000F19D7">
        <w:rPr>
          <w:szCs w:val="20"/>
        </w:rPr>
        <w:t xml:space="preserve">(na bankovních účtech a účtu cenin) </w:t>
      </w:r>
      <w:r w:rsidR="003336F8" w:rsidRPr="000F19D7">
        <w:rPr>
          <w:szCs w:val="20"/>
        </w:rPr>
        <w:t>k</w:t>
      </w:r>
      <w:r w:rsidR="001E7BF2" w:rsidRPr="000F19D7">
        <w:rPr>
          <w:szCs w:val="20"/>
        </w:rPr>
        <w:t> </w:t>
      </w:r>
      <w:r w:rsidR="003336F8" w:rsidRPr="000F19D7">
        <w:rPr>
          <w:szCs w:val="20"/>
        </w:rPr>
        <w:t>počátku roku, dále popisuje zdroje přírůstků/úbytků peněžních prostředků v</w:t>
      </w:r>
      <w:r w:rsidR="001E7BF2" w:rsidRPr="000F19D7">
        <w:rPr>
          <w:szCs w:val="20"/>
        </w:rPr>
        <w:t> </w:t>
      </w:r>
      <w:r w:rsidR="003336F8" w:rsidRPr="000F19D7">
        <w:rPr>
          <w:szCs w:val="20"/>
        </w:rPr>
        <w:t>provozní činnosti, v</w:t>
      </w:r>
      <w:r w:rsidR="001E7BF2" w:rsidRPr="000F19D7">
        <w:rPr>
          <w:szCs w:val="20"/>
        </w:rPr>
        <w:t> </w:t>
      </w:r>
      <w:r w:rsidR="003336F8" w:rsidRPr="000F19D7">
        <w:rPr>
          <w:szCs w:val="20"/>
        </w:rPr>
        <w:t>investiční činnosti (z</w:t>
      </w:r>
      <w:r w:rsidR="00CD00D7" w:rsidRPr="000F19D7">
        <w:rPr>
          <w:szCs w:val="20"/>
        </w:rPr>
        <w:t> </w:t>
      </w:r>
      <w:r w:rsidR="003336F8" w:rsidRPr="000F19D7">
        <w:rPr>
          <w:szCs w:val="20"/>
        </w:rPr>
        <w:t>dlouhodobých aktiv) a finanční činnosti (z vlastního kapitálu, dlouhodobých závazků a</w:t>
      </w:r>
      <w:r w:rsidR="002258B5" w:rsidRPr="000F19D7">
        <w:rPr>
          <w:szCs w:val="20"/>
        </w:rPr>
        <w:t> </w:t>
      </w:r>
      <w:r w:rsidR="003336F8" w:rsidRPr="000F19D7">
        <w:rPr>
          <w:szCs w:val="20"/>
        </w:rPr>
        <w:t>pohledávek) a končí stavem peněžních prostředků na účtech k</w:t>
      </w:r>
      <w:r w:rsidR="001E7BF2" w:rsidRPr="000F19D7">
        <w:rPr>
          <w:szCs w:val="20"/>
        </w:rPr>
        <w:t> </w:t>
      </w:r>
      <w:r w:rsidR="003336F8" w:rsidRPr="000F19D7">
        <w:rPr>
          <w:szCs w:val="20"/>
        </w:rPr>
        <w:t>datu sestavení účetní závěrky.</w:t>
      </w:r>
    </w:p>
    <w:p w:rsidR="0057690E" w:rsidRPr="000F19D7" w:rsidRDefault="003A5966" w:rsidP="005616AC">
      <w:pPr>
        <w:pStyle w:val="Mjtext"/>
        <w:rPr>
          <w:szCs w:val="20"/>
        </w:rPr>
      </w:pPr>
      <w:r w:rsidRPr="000F19D7">
        <w:rPr>
          <w:szCs w:val="20"/>
        </w:rPr>
        <w:t>Z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 xml:space="preserve">níže uvedené tabulky </w:t>
      </w:r>
      <w:smartTag w:uri="urn:schemas-microsoft-com:office:smarttags" w:element="time">
        <w:smartTagPr>
          <w:attr w:name="Minute" w:val="16"/>
          <w:attr w:name="Hour" w:val="1"/>
        </w:smartTagPr>
        <w:r w:rsidRPr="000F19D7">
          <w:rPr>
            <w:szCs w:val="20"/>
          </w:rPr>
          <w:t>1.16</w:t>
        </w:r>
      </w:smartTag>
      <w:r w:rsidRPr="000F19D7">
        <w:rPr>
          <w:szCs w:val="20"/>
        </w:rPr>
        <w:t xml:space="preserve"> je zřejmé, že ke konci účetního období poklesl stav peněžních prostředků o 153.918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tis.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Kč. Celkový stav peněžních prostředků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31.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12.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2013 ve výši 1.830.010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tis.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Kč představuje stav peněžních prostředků na účtech rozpočtového hospodaření ve výši 1.815.183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tis.</w:t>
      </w:r>
      <w:r w:rsidR="001B3D7B" w:rsidRPr="000F19D7">
        <w:rPr>
          <w:szCs w:val="20"/>
        </w:rPr>
        <w:t> </w:t>
      </w:r>
      <w:r w:rsidRPr="000F19D7">
        <w:rPr>
          <w:szCs w:val="20"/>
        </w:rPr>
        <w:t>Kč, stav na běžném účtu, depozitním účtu</w:t>
      </w:r>
      <w:r w:rsidR="001B3D7B" w:rsidRPr="000F19D7">
        <w:rPr>
          <w:szCs w:val="20"/>
        </w:rPr>
        <w:t>, účtu sdružených prostředků</w:t>
      </w:r>
      <w:r w:rsidRPr="000F19D7">
        <w:rPr>
          <w:szCs w:val="20"/>
        </w:rPr>
        <w:t xml:space="preserve"> a účtu cenin ve výši 14.827</w:t>
      </w:r>
      <w:r w:rsidR="001B3D7B" w:rsidRPr="000F19D7">
        <w:rPr>
          <w:szCs w:val="20"/>
        </w:rPr>
        <w:t> tis. K</w:t>
      </w:r>
      <w:r w:rsidRPr="000F19D7">
        <w:rPr>
          <w:szCs w:val="20"/>
        </w:rPr>
        <w:t>č</w:t>
      </w:r>
      <w:r w:rsidR="00302859" w:rsidRPr="000F19D7">
        <w:rPr>
          <w:szCs w:val="20"/>
        </w:rPr>
        <w:t>.</w:t>
      </w:r>
    </w:p>
    <w:p w:rsidR="002F2F52" w:rsidRPr="000F19D7" w:rsidRDefault="002F2F52">
      <w:pPr>
        <w:rPr>
          <w:rFonts w:ascii="Tahoma" w:hAnsi="Tahoma" w:cs="Tahoma"/>
          <w:sz w:val="20"/>
          <w:szCs w:val="20"/>
        </w:rPr>
      </w:pPr>
      <w:r w:rsidRPr="000F19D7">
        <w:rPr>
          <w:szCs w:val="20"/>
        </w:rPr>
        <w:br w:type="page"/>
      </w:r>
    </w:p>
    <w:p w:rsidR="003E2B20" w:rsidRPr="000F19D7" w:rsidRDefault="003E2B20" w:rsidP="003E2B20">
      <w:pPr>
        <w:pStyle w:val="Styltab"/>
      </w:pPr>
      <w:r w:rsidRPr="000F19D7">
        <w:lastRenderedPageBreak/>
        <w:t>Přehled o peněžních tocích</w:t>
      </w:r>
      <w:r w:rsidRPr="000F19D7">
        <w:tab/>
        <w:t>v</w:t>
      </w:r>
      <w:r w:rsidR="001E7BF2" w:rsidRPr="000F19D7">
        <w:t> </w:t>
      </w:r>
      <w:r w:rsidRPr="000F19D7">
        <w:t>tis. Kč</w:t>
      </w:r>
    </w:p>
    <w:tbl>
      <w:tblPr>
        <w:tblW w:w="9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520"/>
      </w:tblGrid>
      <w:tr w:rsidR="00A4303E" w:rsidRPr="000F19D7">
        <w:trPr>
          <w:trHeight w:val="540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03E" w:rsidRPr="000F19D7" w:rsidRDefault="0057690E" w:rsidP="009F70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03E" w:rsidRPr="000F19D7" w:rsidRDefault="00A4303E" w:rsidP="009F70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1B3D7B" w:rsidRPr="000F19D7" w:rsidTr="001B3D7B">
        <w:trPr>
          <w:trHeight w:val="437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3D7B" w:rsidRPr="000F19D7" w:rsidRDefault="001B3D7B" w:rsidP="001B3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Stav peněžních prostředků k</w:t>
            </w:r>
            <w:r w:rsidR="001E7BF2"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1. 1. 2013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1.983.928</w:t>
            </w:r>
          </w:p>
        </w:tc>
      </w:tr>
      <w:tr w:rsidR="001B3D7B" w:rsidRPr="000F19D7" w:rsidTr="001B3D7B">
        <w:trPr>
          <w:trHeight w:val="255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Cs/>
                <w:sz w:val="18"/>
                <w:szCs w:val="18"/>
              </w:rPr>
              <w:t>peněžní toky z</w:t>
            </w:r>
            <w:r w:rsidR="001E7BF2" w:rsidRPr="000F19D7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0F19D7">
              <w:rPr>
                <w:rFonts w:ascii="Tahoma" w:hAnsi="Tahoma" w:cs="Tahoma"/>
                <w:bCs/>
                <w:sz w:val="18"/>
                <w:szCs w:val="18"/>
              </w:rPr>
              <w:t>provozní činnosti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Cs/>
                <w:sz w:val="18"/>
                <w:szCs w:val="18"/>
              </w:rPr>
              <w:t>187.817</w:t>
            </w:r>
          </w:p>
        </w:tc>
      </w:tr>
      <w:tr w:rsidR="001B3D7B" w:rsidRPr="000F19D7" w:rsidTr="001B3D7B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peněžní toky z</w:t>
            </w:r>
            <w:r w:rsidR="001E7BF2" w:rsidRPr="000F19D7">
              <w:rPr>
                <w:rFonts w:ascii="Tahoma" w:hAnsi="Tahoma" w:cs="Tahoma"/>
                <w:sz w:val="18"/>
                <w:szCs w:val="18"/>
              </w:rPr>
              <w:t> </w:t>
            </w:r>
            <w:r w:rsidRPr="000F19D7">
              <w:rPr>
                <w:rFonts w:ascii="Tahoma" w:hAnsi="Tahoma" w:cs="Tahoma"/>
                <w:sz w:val="18"/>
                <w:szCs w:val="18"/>
              </w:rPr>
              <w:t>dlouhodobých aktiv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-1.273.198</w:t>
            </w:r>
          </w:p>
        </w:tc>
      </w:tr>
      <w:tr w:rsidR="001B3D7B" w:rsidRPr="000F19D7" w:rsidTr="001B3D7B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peněžní toky z</w:t>
            </w:r>
            <w:r w:rsidR="001E7BF2" w:rsidRPr="000F19D7">
              <w:rPr>
                <w:rFonts w:ascii="Tahoma" w:hAnsi="Tahoma" w:cs="Tahoma"/>
                <w:sz w:val="18"/>
                <w:szCs w:val="18"/>
              </w:rPr>
              <w:t> </w:t>
            </w:r>
            <w:r w:rsidRPr="000F19D7">
              <w:rPr>
                <w:rFonts w:ascii="Tahoma" w:hAnsi="Tahoma" w:cs="Tahoma"/>
                <w:sz w:val="18"/>
                <w:szCs w:val="18"/>
              </w:rPr>
              <w:t xml:space="preserve">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931.463</w:t>
            </w:r>
          </w:p>
        </w:tc>
      </w:tr>
      <w:tr w:rsidR="001B3D7B" w:rsidRPr="000F19D7" w:rsidTr="001B3D7B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Stav</w:t>
            </w:r>
            <w:r w:rsidRPr="000F19D7"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</w:t>
            </w:r>
            <w:r w:rsidR="001E7BF2" w:rsidRPr="000F19D7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0F19D7">
              <w:rPr>
                <w:rFonts w:ascii="Tahoma" w:hAnsi="Tahoma" w:cs="Tahoma"/>
                <w:b/>
                <w:sz w:val="18"/>
                <w:szCs w:val="18"/>
              </w:rPr>
              <w:t xml:space="preserve">rozvahovému dni – 31. 12. 2013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D7B" w:rsidRPr="000F19D7" w:rsidRDefault="001B3D7B" w:rsidP="001B3D7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19D7">
              <w:rPr>
                <w:rFonts w:ascii="Tahoma" w:hAnsi="Tahoma" w:cs="Tahoma"/>
                <w:b/>
                <w:bCs/>
                <w:sz w:val="18"/>
                <w:szCs w:val="18"/>
              </w:rPr>
              <w:t>1.830.010</w:t>
            </w:r>
          </w:p>
        </w:tc>
      </w:tr>
      <w:tr w:rsidR="0084283B" w:rsidRPr="000F19D7" w:rsidTr="001B3D7B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83B" w:rsidRPr="000F19D7" w:rsidRDefault="0084283B" w:rsidP="00A625DD">
            <w:pPr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Celková změna stavu peněžních prostředků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283B" w:rsidRPr="000F19D7" w:rsidRDefault="0084283B" w:rsidP="00A625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19D7">
              <w:rPr>
                <w:rFonts w:ascii="Tahoma" w:hAnsi="Tahoma" w:cs="Tahoma"/>
                <w:sz w:val="18"/>
                <w:szCs w:val="18"/>
              </w:rPr>
              <w:t>-153.918</w:t>
            </w:r>
          </w:p>
        </w:tc>
      </w:tr>
    </w:tbl>
    <w:p w:rsidR="001E0830" w:rsidRPr="000F19D7" w:rsidRDefault="001E0830" w:rsidP="00F26FF2">
      <w:pPr>
        <w:pStyle w:val="Nadpis1"/>
      </w:pPr>
      <w:bookmarkStart w:id="37" w:name="_Toc388005086"/>
      <w:r w:rsidRPr="000F19D7">
        <w:t>Přehled o změnách vlastního kapitálu</w:t>
      </w:r>
      <w:bookmarkEnd w:id="37"/>
    </w:p>
    <w:p w:rsidR="0084283B" w:rsidRPr="000F19D7" w:rsidRDefault="0084283B" w:rsidP="0084283B">
      <w:pPr>
        <w:pStyle w:val="Mjtext"/>
        <w:rPr>
          <w:szCs w:val="20"/>
        </w:rPr>
      </w:pPr>
      <w:r w:rsidRPr="000F19D7">
        <w:rPr>
          <w:szCs w:val="20"/>
        </w:rPr>
        <w:t xml:space="preserve">Ve výkaze </w:t>
      </w:r>
      <w:r w:rsidRPr="000F19D7">
        <w:rPr>
          <w:szCs w:val="20"/>
          <w:u w:val="single"/>
        </w:rPr>
        <w:t>Přehled o změnách vlastního kapitálu</w:t>
      </w:r>
      <w:r w:rsidRPr="000F19D7">
        <w:rPr>
          <w:szCs w:val="20"/>
        </w:rPr>
        <w:t xml:space="preserve"> jsou uvedeny podle závazné struktury výkazu jednotlivé druhy změn přírůstků a úbytků v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těchto oblastech: A. Jmění účetní jednotky a upravující položky, B. Fondy účetní jednotky a C. Výsledek hospodaření. Celkem došlo oproti roku 2012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poklesu vlastního kapitálu o 1.594.009 tis. Kč a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31. 12. 2013 je vykázán stav vlastního kapitálu v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objemu 4.504.744 tis. Kč. Výkaz Přehled o změnách vlastního kapitálu je součástí přílohy č. 2 materiálu – Účetní závěrka Moravskoslezského kraje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rozvahovému dni 31. 12. 2013</w:t>
      </w:r>
      <w:r w:rsidRPr="000F19D7">
        <w:t>.</w:t>
      </w:r>
    </w:p>
    <w:p w:rsidR="0084283B" w:rsidRPr="000F19D7" w:rsidRDefault="0084283B" w:rsidP="0084283B">
      <w:pPr>
        <w:pStyle w:val="Mjtext"/>
        <w:numPr>
          <w:ilvl w:val="0"/>
          <w:numId w:val="33"/>
        </w:numPr>
        <w:ind w:left="0" w:firstLine="0"/>
        <w:rPr>
          <w:szCs w:val="20"/>
        </w:rPr>
      </w:pPr>
      <w:r w:rsidRPr="000F19D7">
        <w:rPr>
          <w:szCs w:val="20"/>
          <w:u w:val="single"/>
        </w:rPr>
        <w:t>Jmění účetní jednotky a upravující položky</w:t>
      </w:r>
      <w:r w:rsidRPr="000F19D7">
        <w:rPr>
          <w:szCs w:val="20"/>
        </w:rPr>
        <w:t xml:space="preserve"> zahrnuje pohyby na těchto účtech: 401 – jmění účetní jednotky, 403 </w:t>
      </w:r>
      <w:r w:rsidR="001E7BF2" w:rsidRPr="000F19D7">
        <w:rPr>
          <w:szCs w:val="20"/>
        </w:rPr>
        <w:t>–</w:t>
      </w:r>
      <w:r w:rsidRPr="000F19D7">
        <w:rPr>
          <w:szCs w:val="20"/>
        </w:rPr>
        <w:t xml:space="preserve"> transfery na pořízení dlouhodobého majetku, 406 </w:t>
      </w:r>
      <w:r w:rsidR="001E7BF2" w:rsidRPr="000F19D7">
        <w:rPr>
          <w:szCs w:val="20"/>
        </w:rPr>
        <w:t>–</w:t>
      </w:r>
      <w:r w:rsidRPr="000F19D7">
        <w:rPr>
          <w:szCs w:val="20"/>
        </w:rPr>
        <w:t xml:space="preserve"> oceňovací rozdíly při prvotním použití metody, 407 </w:t>
      </w:r>
      <w:r w:rsidR="001E7BF2" w:rsidRPr="000F19D7">
        <w:rPr>
          <w:szCs w:val="20"/>
        </w:rPr>
        <w:t>–</w:t>
      </w:r>
      <w:r w:rsidRPr="000F19D7">
        <w:rPr>
          <w:szCs w:val="20"/>
        </w:rPr>
        <w:t xml:space="preserve"> jiné oceňovací rozdíly a 408 </w:t>
      </w:r>
      <w:r w:rsidR="001E7BF2" w:rsidRPr="000F19D7">
        <w:rPr>
          <w:szCs w:val="20"/>
        </w:rPr>
        <w:t>–</w:t>
      </w:r>
      <w:r w:rsidRPr="000F19D7">
        <w:rPr>
          <w:szCs w:val="20"/>
        </w:rPr>
        <w:t xml:space="preserve"> opravy minulých období. V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roce 2013 došlo</w:t>
      </w:r>
      <w:r w:rsidR="009D1AFE" w:rsidRPr="000F19D7">
        <w:rPr>
          <w:szCs w:val="20"/>
        </w:rPr>
        <w:t xml:space="preserve"> u těchto položek </w:t>
      </w:r>
      <w:r w:rsidRPr="000F19D7">
        <w:rPr>
          <w:szCs w:val="20"/>
        </w:rPr>
        <w:t>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poklesu o 1.996.129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tis.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Kč a celkový stav</w:t>
      </w:r>
      <w:r w:rsidR="009D1AFE" w:rsidRPr="000F19D7">
        <w:rPr>
          <w:szCs w:val="20"/>
        </w:rPr>
        <w:t xml:space="preserve"> položek</w:t>
      </w:r>
      <w:r w:rsidRPr="000F19D7">
        <w:rPr>
          <w:szCs w:val="20"/>
        </w:rPr>
        <w:t xml:space="preserve">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>31.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12.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 xml:space="preserve">2013 </w:t>
      </w:r>
      <w:r w:rsidR="005435A6" w:rsidRPr="000F19D7">
        <w:rPr>
          <w:szCs w:val="20"/>
        </w:rPr>
        <w:t xml:space="preserve">v této oblasti </w:t>
      </w:r>
      <w:r w:rsidRPr="000F19D7">
        <w:rPr>
          <w:szCs w:val="20"/>
        </w:rPr>
        <w:t>je 2.823.818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tis.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Kč.</w:t>
      </w:r>
    </w:p>
    <w:p w:rsidR="0084283B" w:rsidRPr="005C7E18" w:rsidRDefault="0084283B" w:rsidP="0084283B">
      <w:pPr>
        <w:pStyle w:val="Mjtext"/>
        <w:rPr>
          <w:szCs w:val="20"/>
        </w:rPr>
      </w:pPr>
      <w:r w:rsidRPr="000F19D7">
        <w:rPr>
          <w:szCs w:val="20"/>
          <w:u w:val="single"/>
        </w:rPr>
        <w:t>Jmění účetní jednotky</w:t>
      </w:r>
      <w:r w:rsidRPr="000F19D7">
        <w:rPr>
          <w:szCs w:val="20"/>
        </w:rPr>
        <w:t xml:space="preserve"> – na účtu 401 jsou jednotlivé druhy pohybů vymezeny takto: změna, vznik nebo zánik příslušnosti hospodařit s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 xml:space="preserve">majetkem státu </w:t>
      </w:r>
      <w:r w:rsidR="009D1AFE" w:rsidRPr="000F19D7">
        <w:rPr>
          <w:szCs w:val="20"/>
        </w:rPr>
        <w:t>(</w:t>
      </w:r>
      <w:r w:rsidRPr="000F19D7">
        <w:rPr>
          <w:szCs w:val="20"/>
        </w:rPr>
        <w:t>snížení jmění o 27.988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tis.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 xml:space="preserve">Kč), svěření majetku příspěvkové organizaci </w:t>
      </w:r>
      <w:r w:rsidR="009D1AFE" w:rsidRPr="000F19D7">
        <w:rPr>
          <w:szCs w:val="20"/>
        </w:rPr>
        <w:t>(</w:t>
      </w:r>
      <w:r w:rsidRPr="000F19D7">
        <w:rPr>
          <w:szCs w:val="20"/>
        </w:rPr>
        <w:t>snížení jmění o 586.705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tis.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Kč</w:t>
      </w:r>
      <w:r w:rsidR="009D1AFE" w:rsidRPr="000F19D7">
        <w:rPr>
          <w:szCs w:val="20"/>
        </w:rPr>
        <w:t xml:space="preserve">), </w:t>
      </w:r>
      <w:r w:rsidRPr="000F19D7">
        <w:rPr>
          <w:szCs w:val="20"/>
        </w:rPr>
        <w:t>bezúplatné převody (zvýšení jmění o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5.764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tis.</w:t>
      </w:r>
      <w:r w:rsidR="009D1AFE" w:rsidRPr="000F19D7">
        <w:rPr>
          <w:szCs w:val="20"/>
        </w:rPr>
        <w:t> </w:t>
      </w:r>
      <w:r w:rsidRPr="000F19D7">
        <w:rPr>
          <w:szCs w:val="20"/>
        </w:rPr>
        <w:t>Kč),</w:t>
      </w:r>
      <w:r w:rsidRPr="000F19D7">
        <w:rPr>
          <w:color w:val="FF0000"/>
          <w:szCs w:val="20"/>
        </w:rPr>
        <w:t xml:space="preserve"> </w:t>
      </w:r>
      <w:r w:rsidRPr="000F19D7">
        <w:rPr>
          <w:szCs w:val="20"/>
        </w:rPr>
        <w:t>investiční</w:t>
      </w:r>
      <w:r w:rsidRPr="005C7E18">
        <w:rPr>
          <w:szCs w:val="20"/>
        </w:rPr>
        <w:t xml:space="preserve"> transfery (snížení jmění o</w:t>
      </w:r>
      <w:r w:rsidR="009D1AFE" w:rsidRPr="005C7E18">
        <w:rPr>
          <w:szCs w:val="20"/>
        </w:rPr>
        <w:t> </w:t>
      </w:r>
      <w:r w:rsidRPr="009D1AFE">
        <w:rPr>
          <w:szCs w:val="20"/>
        </w:rPr>
        <w:t>355.176</w:t>
      </w:r>
      <w:r w:rsidR="009D1AFE" w:rsidRPr="009D1AFE">
        <w:rPr>
          <w:szCs w:val="20"/>
        </w:rPr>
        <w:t> </w:t>
      </w:r>
      <w:r w:rsidRPr="005C7E18">
        <w:rPr>
          <w:szCs w:val="20"/>
        </w:rPr>
        <w:t>tis.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 xml:space="preserve">Kč), dary (snížení jmění </w:t>
      </w:r>
      <w:r w:rsidRPr="008D1426">
        <w:rPr>
          <w:szCs w:val="20"/>
        </w:rPr>
        <w:t>o</w:t>
      </w:r>
      <w:r w:rsidR="008D1426" w:rsidRPr="008D1426">
        <w:rPr>
          <w:szCs w:val="20"/>
        </w:rPr>
        <w:t> 1</w:t>
      </w:r>
      <w:r w:rsidRPr="008D1426">
        <w:rPr>
          <w:szCs w:val="20"/>
        </w:rPr>
        <w:t>16.761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Kč) a ostatní druhy pohybu jmění (</w:t>
      </w:r>
      <w:r w:rsidRPr="008D1426">
        <w:rPr>
          <w:szCs w:val="20"/>
        </w:rPr>
        <w:t>zvýšení jmění o 14.989</w:t>
      </w:r>
      <w:r w:rsidR="005435A6">
        <w:rPr>
          <w:szCs w:val="20"/>
        </w:rPr>
        <w:t> t</w:t>
      </w:r>
      <w:r w:rsidRPr="005C7E18">
        <w:rPr>
          <w:szCs w:val="20"/>
        </w:rPr>
        <w:t>is.</w:t>
      </w:r>
      <w:r w:rsidR="005435A6">
        <w:rPr>
          <w:szCs w:val="20"/>
        </w:rPr>
        <w:t> </w:t>
      </w:r>
      <w:r w:rsidRPr="005C7E18">
        <w:rPr>
          <w:szCs w:val="20"/>
        </w:rPr>
        <w:t>Kč). Celkem došlo v</w:t>
      </w:r>
      <w:r w:rsidR="001E7BF2">
        <w:rPr>
          <w:szCs w:val="20"/>
        </w:rPr>
        <w:t> </w:t>
      </w:r>
      <w:r w:rsidRPr="005C7E18">
        <w:rPr>
          <w:szCs w:val="20"/>
        </w:rPr>
        <w:t>r.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2013 ke snížení jmění</w:t>
      </w:r>
      <w:r w:rsidR="008D1426">
        <w:rPr>
          <w:szCs w:val="20"/>
        </w:rPr>
        <w:t xml:space="preserve"> účetní jednotky</w:t>
      </w:r>
      <w:r w:rsidRPr="005C7E18">
        <w:rPr>
          <w:szCs w:val="20"/>
        </w:rPr>
        <w:t xml:space="preserve"> o </w:t>
      </w:r>
      <w:r w:rsidRPr="008D1426">
        <w:rPr>
          <w:szCs w:val="20"/>
        </w:rPr>
        <w:t>1.065.877</w:t>
      </w:r>
      <w:r w:rsidR="008D1426" w:rsidRPr="008D1426">
        <w:rPr>
          <w:szCs w:val="20"/>
        </w:rPr>
        <w:t> </w:t>
      </w:r>
      <w:r w:rsidRPr="005C7E18">
        <w:rPr>
          <w:szCs w:val="20"/>
        </w:rPr>
        <w:t>tis. Kč a celkový stav jmění k</w:t>
      </w:r>
      <w:r w:rsidR="001E7BF2">
        <w:rPr>
          <w:szCs w:val="20"/>
        </w:rPr>
        <w:t> </w:t>
      </w:r>
      <w:r w:rsidRPr="005C7E18">
        <w:rPr>
          <w:szCs w:val="20"/>
        </w:rPr>
        <w:t>31.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12.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2013 je ve výši </w:t>
      </w:r>
      <w:r w:rsidRPr="008D1426">
        <w:rPr>
          <w:szCs w:val="20"/>
        </w:rPr>
        <w:t>2.559.100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Kč.</w:t>
      </w:r>
    </w:p>
    <w:p w:rsidR="0084283B" w:rsidRPr="008D1426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Transfery na pořízení dlouhodobého majetku</w:t>
      </w:r>
      <w:r w:rsidRPr="005C7E18">
        <w:rPr>
          <w:szCs w:val="20"/>
        </w:rPr>
        <w:t xml:space="preserve"> – na účtu 403 jsou jednotlivé druhy pohybů vymezeny takto: svěření majetku příspěvkové organizaci (snížení transferů o </w:t>
      </w:r>
      <w:r w:rsidRPr="008D1426">
        <w:rPr>
          <w:szCs w:val="20"/>
        </w:rPr>
        <w:t>1.463.505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Kč), investiční transfery (zvýšení celkem o </w:t>
      </w:r>
      <w:r w:rsidRPr="008D1426">
        <w:rPr>
          <w:szCs w:val="20"/>
        </w:rPr>
        <w:t>602.058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Kč), snížení </w:t>
      </w:r>
      <w:r w:rsidRPr="008D1426">
        <w:rPr>
          <w:szCs w:val="20"/>
        </w:rPr>
        <w:t>investičních t</w:t>
      </w:r>
      <w:r w:rsidRPr="005C7E18">
        <w:rPr>
          <w:szCs w:val="20"/>
        </w:rPr>
        <w:t>ransferů ve věcné a časové souvislosti (</w:t>
      </w:r>
      <w:r w:rsidR="008D1426">
        <w:rPr>
          <w:szCs w:val="20"/>
        </w:rPr>
        <w:t xml:space="preserve">pokles </w:t>
      </w:r>
      <w:r w:rsidRPr="005C7E18">
        <w:rPr>
          <w:szCs w:val="20"/>
        </w:rPr>
        <w:t>o </w:t>
      </w:r>
      <w:r w:rsidRPr="008D1426">
        <w:rPr>
          <w:szCs w:val="20"/>
        </w:rPr>
        <w:t>62.118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Kč) a ostatní úbytky transferů (snížení transferů o </w:t>
      </w:r>
      <w:r w:rsidRPr="008D1426">
        <w:rPr>
          <w:szCs w:val="20"/>
        </w:rPr>
        <w:t>201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Kč). Celkem došlo v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r. 2013 ke </w:t>
      </w:r>
      <w:r w:rsidRPr="008D1426">
        <w:rPr>
          <w:szCs w:val="20"/>
        </w:rPr>
        <w:t xml:space="preserve">snížení </w:t>
      </w:r>
      <w:r w:rsidR="008D1426">
        <w:rPr>
          <w:szCs w:val="20"/>
        </w:rPr>
        <w:t xml:space="preserve">objemu </w:t>
      </w:r>
      <w:r w:rsidRPr="005C7E18">
        <w:rPr>
          <w:szCs w:val="20"/>
        </w:rPr>
        <w:t xml:space="preserve">transferů o </w:t>
      </w:r>
      <w:r w:rsidRPr="008D1426">
        <w:rPr>
          <w:szCs w:val="20"/>
        </w:rPr>
        <w:t>923.766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 a jejich celkový stav k</w:t>
      </w:r>
      <w:r w:rsidR="001E7BF2">
        <w:rPr>
          <w:szCs w:val="20"/>
        </w:rPr>
        <w:t> </w:t>
      </w:r>
      <w:r w:rsidRPr="005C7E18">
        <w:rPr>
          <w:szCs w:val="20"/>
        </w:rPr>
        <w:t>31.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12.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2013 je ve</w:t>
      </w:r>
      <w:r w:rsidR="002258B5">
        <w:rPr>
          <w:szCs w:val="20"/>
        </w:rPr>
        <w:t> </w:t>
      </w:r>
      <w:r w:rsidRPr="005C7E18">
        <w:rPr>
          <w:szCs w:val="20"/>
        </w:rPr>
        <w:t xml:space="preserve">výši </w:t>
      </w:r>
      <w:r w:rsidRPr="008D1426">
        <w:rPr>
          <w:szCs w:val="20"/>
        </w:rPr>
        <w:t>1.472.233 </w:t>
      </w:r>
      <w:r w:rsidRPr="005C7E18">
        <w:rPr>
          <w:szCs w:val="20"/>
        </w:rPr>
        <w:t>tis. Kč.</w:t>
      </w:r>
    </w:p>
    <w:p w:rsidR="0084283B" w:rsidRPr="005C7E18" w:rsidRDefault="0084283B" w:rsidP="0084283B">
      <w:pPr>
        <w:pStyle w:val="Mjtext"/>
        <w:rPr>
          <w:szCs w:val="20"/>
        </w:rPr>
      </w:pPr>
      <w:r w:rsidRPr="008D1426">
        <w:rPr>
          <w:szCs w:val="20"/>
          <w:u w:val="single"/>
        </w:rPr>
        <w:t>Oceňovací rozdíly při prvotním použití metody</w:t>
      </w:r>
      <w:r w:rsidRPr="008D1426">
        <w:rPr>
          <w:szCs w:val="20"/>
        </w:rPr>
        <w:t xml:space="preserve"> – na účtu 406 nedošlo v</w:t>
      </w:r>
      <w:r w:rsidR="001E7BF2">
        <w:rPr>
          <w:szCs w:val="20"/>
        </w:rPr>
        <w:t> </w:t>
      </w:r>
      <w:r w:rsidRPr="008D1426">
        <w:rPr>
          <w:szCs w:val="20"/>
        </w:rPr>
        <w:t xml:space="preserve">průběhu roku </w:t>
      </w:r>
      <w:r w:rsidR="008D1426">
        <w:rPr>
          <w:szCs w:val="20"/>
        </w:rPr>
        <w:t xml:space="preserve">2013 </w:t>
      </w:r>
      <w:r w:rsidRPr="008D1426">
        <w:rPr>
          <w:szCs w:val="20"/>
        </w:rPr>
        <w:t>k</w:t>
      </w:r>
      <w:r w:rsidR="001E7BF2">
        <w:rPr>
          <w:szCs w:val="20"/>
        </w:rPr>
        <w:t> </w:t>
      </w:r>
      <w:r w:rsidRPr="008D1426">
        <w:rPr>
          <w:szCs w:val="20"/>
        </w:rPr>
        <w:t>žádnému pohybu a tak k</w:t>
      </w:r>
      <w:r w:rsidR="001E7BF2">
        <w:rPr>
          <w:szCs w:val="20"/>
        </w:rPr>
        <w:t> </w:t>
      </w:r>
      <w:r w:rsidRPr="008D1426">
        <w:rPr>
          <w:szCs w:val="20"/>
        </w:rPr>
        <w:t xml:space="preserve">31. 12. 2013 zůstal celkový stav </w:t>
      </w:r>
      <w:r w:rsidR="008D1426">
        <w:rPr>
          <w:szCs w:val="20"/>
        </w:rPr>
        <w:t xml:space="preserve">účtu 406 </w:t>
      </w:r>
      <w:r w:rsidR="00AF4BDD">
        <w:rPr>
          <w:szCs w:val="20"/>
        </w:rPr>
        <w:t>ve stejné výši, tj.</w:t>
      </w:r>
      <w:r w:rsidR="00AF4BDD" w:rsidRPr="00AF4BDD">
        <w:rPr>
          <w:szCs w:val="20"/>
        </w:rPr>
        <w:t xml:space="preserve"> </w:t>
      </w:r>
      <w:r w:rsidR="00AF4BDD" w:rsidRPr="005C7E18">
        <w:rPr>
          <w:szCs w:val="20"/>
        </w:rPr>
        <w:t> </w:t>
      </w:r>
      <w:r w:rsidR="00AF4BDD">
        <w:rPr>
          <w:szCs w:val="20"/>
        </w:rPr>
        <w:t>-</w:t>
      </w:r>
      <w:r w:rsidRPr="008D1426">
        <w:rPr>
          <w:szCs w:val="20"/>
        </w:rPr>
        <w:t>1.201.233 tis. Kč</w:t>
      </w:r>
    </w:p>
    <w:p w:rsidR="0084283B" w:rsidRPr="005C7E18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Jiné oceňovací rozdíly</w:t>
      </w:r>
      <w:r w:rsidRPr="005C7E18">
        <w:rPr>
          <w:szCs w:val="20"/>
        </w:rPr>
        <w:t xml:space="preserve"> – na účtu 407 je vykázán pohyb u oceňovacích rozdílů u majetku určeného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prodeji, a to ve výši </w:t>
      </w:r>
      <w:r w:rsidRPr="00AF4BDD">
        <w:rPr>
          <w:szCs w:val="20"/>
        </w:rPr>
        <w:t>60.960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>tis.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>Kč. Jedná se o zvýšení a snížení stavu u tohoto pohybu ve stejné výši – prodej majetku určeného k</w:t>
      </w:r>
      <w:r w:rsidR="001E7BF2">
        <w:rPr>
          <w:szCs w:val="20"/>
        </w:rPr>
        <w:t> </w:t>
      </w:r>
      <w:r w:rsidRPr="005C7E18">
        <w:rPr>
          <w:szCs w:val="20"/>
        </w:rPr>
        <w:t>prodeji byl realizován; zůstatek tohoto účtu proto vykazuje nulu.</w:t>
      </w:r>
    </w:p>
    <w:p w:rsidR="0084283B" w:rsidRPr="00AF4BDD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Opravy minulých období</w:t>
      </w:r>
      <w:r w:rsidRPr="005C7E18">
        <w:rPr>
          <w:szCs w:val="20"/>
        </w:rPr>
        <w:t xml:space="preserve"> – na účtu 408 je vykázán pohyb u oprav minulého </w:t>
      </w:r>
      <w:r w:rsidRPr="00AF4BDD">
        <w:rPr>
          <w:szCs w:val="20"/>
        </w:rPr>
        <w:t>účetního</w:t>
      </w:r>
      <w:r w:rsidRPr="005C7E18">
        <w:rPr>
          <w:color w:val="FF0000"/>
          <w:szCs w:val="20"/>
        </w:rPr>
        <w:t xml:space="preserve"> </w:t>
      </w:r>
      <w:r w:rsidRPr="005C7E18">
        <w:rPr>
          <w:szCs w:val="20"/>
        </w:rPr>
        <w:t>období (</w:t>
      </w:r>
      <w:r w:rsidRPr="00AF4BDD">
        <w:rPr>
          <w:szCs w:val="20"/>
        </w:rPr>
        <w:t>celkem snížení o 5.006 tis. Kč</w:t>
      </w:r>
      <w:r w:rsidRPr="005C7E18">
        <w:rPr>
          <w:szCs w:val="20"/>
        </w:rPr>
        <w:t xml:space="preserve">) a u oprav předchozích účetních období (celkem snížení o </w:t>
      </w:r>
      <w:r w:rsidRPr="00AF4BDD">
        <w:rPr>
          <w:szCs w:val="20"/>
        </w:rPr>
        <w:t>1.480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>tis.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 xml:space="preserve">Kč) </w:t>
      </w:r>
      <w:r w:rsidR="001E7BF2">
        <w:rPr>
          <w:szCs w:val="20"/>
        </w:rPr>
        <w:t>–</w:t>
      </w:r>
      <w:r w:rsidRPr="005C7E18">
        <w:rPr>
          <w:szCs w:val="20"/>
        </w:rPr>
        <w:t xml:space="preserve"> jedná se o opravy neinvestičních a investičních nákladů</w:t>
      </w:r>
      <w:r w:rsidR="00AF4BDD">
        <w:rPr>
          <w:szCs w:val="20"/>
        </w:rPr>
        <w:t xml:space="preserve"> a </w:t>
      </w:r>
      <w:r w:rsidR="00AF4BDD">
        <w:t>promítnutí pronájmu přístrojů z</w:t>
      </w:r>
      <w:r w:rsidR="001E7BF2">
        <w:t> </w:t>
      </w:r>
      <w:r w:rsidR="00AF4BDD">
        <w:t>r. 2012</w:t>
      </w:r>
      <w:r w:rsidRPr="005C7E18">
        <w:rPr>
          <w:szCs w:val="20"/>
        </w:rPr>
        <w:t xml:space="preserve">. </w:t>
      </w:r>
      <w:r w:rsidRPr="00AF4BDD">
        <w:rPr>
          <w:szCs w:val="20"/>
        </w:rPr>
        <w:t>Celkem došlo ke snížení o 6.486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>tis.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>Kč a celkové saldo oprav činí k</w:t>
      </w:r>
      <w:r w:rsidR="001E7BF2">
        <w:rPr>
          <w:szCs w:val="20"/>
        </w:rPr>
        <w:t> </w:t>
      </w:r>
      <w:r w:rsidRPr="00AF4BDD">
        <w:rPr>
          <w:szCs w:val="20"/>
        </w:rPr>
        <w:t>31.</w:t>
      </w:r>
      <w:r w:rsidR="00190F86" w:rsidRPr="00AF4BDD">
        <w:rPr>
          <w:szCs w:val="20"/>
        </w:rPr>
        <w:t> </w:t>
      </w:r>
      <w:r w:rsidR="00190F86">
        <w:rPr>
          <w:szCs w:val="20"/>
        </w:rPr>
        <w:t>12.</w:t>
      </w:r>
      <w:r w:rsidR="00190F86" w:rsidRPr="00AF4BDD">
        <w:rPr>
          <w:szCs w:val="20"/>
        </w:rPr>
        <w:t> </w:t>
      </w:r>
      <w:r w:rsidRPr="00AF4BDD">
        <w:rPr>
          <w:szCs w:val="20"/>
        </w:rPr>
        <w:t xml:space="preserve">2013 </w:t>
      </w:r>
      <w:r w:rsidR="00AF4BDD">
        <w:rPr>
          <w:szCs w:val="20"/>
        </w:rPr>
        <w:t xml:space="preserve">zápornou </w:t>
      </w:r>
      <w:r w:rsidRPr="00AF4BDD">
        <w:rPr>
          <w:szCs w:val="20"/>
        </w:rPr>
        <w:t xml:space="preserve">částku </w:t>
      </w:r>
      <w:r w:rsidR="00190F86">
        <w:rPr>
          <w:szCs w:val="20"/>
        </w:rPr>
        <w:t xml:space="preserve">ve výši </w:t>
      </w:r>
      <w:r w:rsidRPr="00AF4BDD">
        <w:rPr>
          <w:szCs w:val="20"/>
        </w:rPr>
        <w:t>6.282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>tis.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 xml:space="preserve">Kč. </w:t>
      </w:r>
    </w:p>
    <w:p w:rsidR="0084283B" w:rsidRPr="00AF4BDD" w:rsidRDefault="0084283B" w:rsidP="0084283B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AF4BDD">
        <w:rPr>
          <w:szCs w:val="20"/>
          <w:u w:val="single"/>
        </w:rPr>
        <w:lastRenderedPageBreak/>
        <w:t>Fondy účetní jednotky</w:t>
      </w:r>
      <w:r w:rsidR="00AF4BDD">
        <w:rPr>
          <w:szCs w:val="20"/>
        </w:rPr>
        <w:t xml:space="preserve"> vykazují</w:t>
      </w:r>
      <w:r w:rsidRPr="00AF4BDD">
        <w:rPr>
          <w:szCs w:val="20"/>
        </w:rPr>
        <w:t xml:space="preserve"> zvýšení o částku 60</w:t>
      </w:r>
      <w:r w:rsidR="00190F86">
        <w:rPr>
          <w:szCs w:val="20"/>
        </w:rPr>
        <w:t>7</w:t>
      </w:r>
      <w:r w:rsidRPr="00AF4BDD">
        <w:rPr>
          <w:szCs w:val="20"/>
        </w:rPr>
        <w:t xml:space="preserve"> tis. Kč a celkový stav k</w:t>
      </w:r>
      <w:r w:rsidR="001E7BF2">
        <w:rPr>
          <w:szCs w:val="20"/>
        </w:rPr>
        <w:t> </w:t>
      </w:r>
      <w:r w:rsidR="00190F86">
        <w:rPr>
          <w:szCs w:val="20"/>
        </w:rPr>
        <w:t>31. 12. 2013 je ve</w:t>
      </w:r>
      <w:r w:rsidR="002258B5">
        <w:rPr>
          <w:szCs w:val="20"/>
        </w:rPr>
        <w:t> </w:t>
      </w:r>
      <w:r w:rsidR="00190F86">
        <w:rPr>
          <w:szCs w:val="20"/>
        </w:rPr>
        <w:t>výši 156.822</w:t>
      </w:r>
      <w:r w:rsidR="00190F86" w:rsidRPr="00AF4BDD">
        <w:rPr>
          <w:szCs w:val="20"/>
        </w:rPr>
        <w:t> </w:t>
      </w:r>
      <w:r w:rsidRPr="00AF4BDD">
        <w:rPr>
          <w:szCs w:val="20"/>
        </w:rPr>
        <w:t>tis.</w:t>
      </w:r>
      <w:r w:rsidR="00190F86" w:rsidRPr="00AF4BDD">
        <w:rPr>
          <w:szCs w:val="20"/>
        </w:rPr>
        <w:t> </w:t>
      </w:r>
      <w:r w:rsidRPr="00AF4BDD">
        <w:rPr>
          <w:szCs w:val="20"/>
        </w:rPr>
        <w:t>Kč.</w:t>
      </w:r>
    </w:p>
    <w:p w:rsidR="0084283B" w:rsidRPr="00190F86" w:rsidRDefault="0084283B" w:rsidP="0084283B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190F86">
        <w:rPr>
          <w:szCs w:val="20"/>
          <w:u w:val="single"/>
        </w:rPr>
        <w:t xml:space="preserve">Výsledek hospodaření </w:t>
      </w:r>
      <w:r w:rsidRPr="00190F86">
        <w:rPr>
          <w:szCs w:val="20"/>
        </w:rPr>
        <w:t>je k</w:t>
      </w:r>
      <w:r w:rsidR="001E7BF2">
        <w:rPr>
          <w:szCs w:val="20"/>
        </w:rPr>
        <w:t> </w:t>
      </w:r>
      <w:r w:rsidRPr="00190F86">
        <w:rPr>
          <w:szCs w:val="20"/>
        </w:rPr>
        <w:t>31.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12.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2013 ve výši 1.524.104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tis.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Kč. Zde došlo v</w:t>
      </w:r>
      <w:r w:rsidR="001E7BF2">
        <w:rPr>
          <w:szCs w:val="20"/>
        </w:rPr>
        <w:t> </w:t>
      </w:r>
      <w:r w:rsidRPr="00190F86">
        <w:rPr>
          <w:szCs w:val="20"/>
        </w:rPr>
        <w:t>průběhu roku 2013 ke zvýšení</w:t>
      </w:r>
      <w:r w:rsidR="00190F86">
        <w:rPr>
          <w:szCs w:val="20"/>
        </w:rPr>
        <w:t xml:space="preserve"> výsledku hospodaření</w:t>
      </w:r>
      <w:r w:rsidRPr="00190F86">
        <w:rPr>
          <w:szCs w:val="20"/>
        </w:rPr>
        <w:t xml:space="preserve">, a to o částku </w:t>
      </w:r>
      <w:r w:rsidR="00190F86">
        <w:rPr>
          <w:szCs w:val="20"/>
        </w:rPr>
        <w:t>401.513</w:t>
      </w:r>
      <w:r w:rsidR="00190F86" w:rsidRPr="00AF4BDD">
        <w:rPr>
          <w:szCs w:val="20"/>
        </w:rPr>
        <w:t> </w:t>
      </w:r>
      <w:r w:rsidR="00190F86">
        <w:rPr>
          <w:szCs w:val="20"/>
        </w:rPr>
        <w:t>tis.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 xml:space="preserve">Kč. </w:t>
      </w:r>
    </w:p>
    <w:p w:rsidR="001E0830" w:rsidRDefault="001E0830" w:rsidP="001E0830">
      <w:pPr>
        <w:pStyle w:val="Nadpis1"/>
      </w:pPr>
      <w:bookmarkStart w:id="38" w:name="_Toc388005087"/>
      <w:r>
        <w:t>Ostatní výkazy zasílané do CSÚIS</w:t>
      </w:r>
      <w:bookmarkEnd w:id="38"/>
    </w:p>
    <w:p w:rsidR="001E0830" w:rsidRPr="001E0830" w:rsidRDefault="001E0830" w:rsidP="008048CB">
      <w:pPr>
        <w:jc w:val="both"/>
      </w:pPr>
      <w:r>
        <w:rPr>
          <w:rFonts w:ascii="Tahoma" w:hAnsi="Tahoma" w:cs="Tahoma"/>
          <w:sz w:val="20"/>
          <w:szCs w:val="20"/>
        </w:rPr>
        <w:t>Vybrané účetní jednotky, mezi které patří také kraj, musí do CSÚIS zasílat</w:t>
      </w:r>
      <w:r w:rsidR="008048CB">
        <w:rPr>
          <w:rFonts w:ascii="Tahoma" w:hAnsi="Tahoma" w:cs="Tahoma"/>
          <w:sz w:val="20"/>
          <w:szCs w:val="20"/>
        </w:rPr>
        <w:t xml:space="preserve"> měsíčně také výkaz o </w:t>
      </w:r>
      <w:r>
        <w:rPr>
          <w:rFonts w:ascii="Tahoma" w:hAnsi="Tahoma" w:cs="Tahoma"/>
          <w:sz w:val="20"/>
          <w:szCs w:val="20"/>
        </w:rPr>
        <w:t xml:space="preserve">plnění rozpočtu FIN </w:t>
      </w:r>
      <w:r w:rsidR="0074114A">
        <w:rPr>
          <w:rFonts w:ascii="Tahoma" w:hAnsi="Tahoma" w:cs="Tahoma"/>
          <w:sz w:val="20"/>
          <w:szCs w:val="20"/>
        </w:rPr>
        <w:t>2-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ahoma" w:hAnsi="Tahoma" w:cs="Tahoma"/>
            <w:sz w:val="20"/>
            <w:szCs w:val="20"/>
          </w:rPr>
          <w:t>12</w:t>
        </w:r>
        <w:r w:rsidR="0074114A">
          <w:rPr>
            <w:rFonts w:ascii="Tahoma" w:hAnsi="Tahoma" w:cs="Tahoma"/>
            <w:sz w:val="20"/>
            <w:szCs w:val="20"/>
          </w:rPr>
          <w:t xml:space="preserve"> </w:t>
        </w:r>
        <w:r>
          <w:rPr>
            <w:rFonts w:ascii="Tahoma" w:hAnsi="Tahoma" w:cs="Tahoma"/>
            <w:sz w:val="20"/>
            <w:szCs w:val="20"/>
          </w:rPr>
          <w:t>M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r w:rsidR="00167BCB">
        <w:rPr>
          <w:rFonts w:ascii="Tahoma" w:hAnsi="Tahoma" w:cs="Tahoma"/>
          <w:sz w:val="20"/>
          <w:szCs w:val="20"/>
        </w:rPr>
        <w:t xml:space="preserve">(za období leden a únor se výkaz zasílá souhrnně) </w:t>
      </w:r>
      <w:r>
        <w:rPr>
          <w:rFonts w:ascii="Tahoma" w:hAnsi="Tahoma" w:cs="Tahoma"/>
          <w:sz w:val="20"/>
          <w:szCs w:val="20"/>
        </w:rPr>
        <w:t xml:space="preserve">a </w:t>
      </w:r>
      <w:r w:rsidR="008048CB">
        <w:rPr>
          <w:rFonts w:ascii="Tahoma" w:hAnsi="Tahoma" w:cs="Tahoma"/>
          <w:sz w:val="20"/>
          <w:szCs w:val="20"/>
        </w:rPr>
        <w:t xml:space="preserve">čtvrtletně </w:t>
      </w:r>
      <w:r w:rsidR="009F742E">
        <w:rPr>
          <w:rFonts w:ascii="Tahoma" w:hAnsi="Tahoma" w:cs="Tahoma"/>
          <w:sz w:val="20"/>
          <w:szCs w:val="20"/>
        </w:rPr>
        <w:t xml:space="preserve">zasílat </w:t>
      </w:r>
      <w:r>
        <w:rPr>
          <w:rFonts w:ascii="Tahoma" w:hAnsi="Tahoma" w:cs="Tahoma"/>
          <w:sz w:val="20"/>
          <w:szCs w:val="20"/>
        </w:rPr>
        <w:t xml:space="preserve">výkaz Pomocný analytický přehled (PAP). </w:t>
      </w:r>
    </w:p>
    <w:p w:rsidR="00D25971" w:rsidRDefault="0074114A" w:rsidP="00FB3163">
      <w:pPr>
        <w:pStyle w:val="Nadpis2"/>
      </w:pPr>
      <w:bookmarkStart w:id="39" w:name="_Toc388005088"/>
      <w:r>
        <w:t>Výkaz FIN 2-</w:t>
      </w:r>
      <w:smartTag w:uri="urn:schemas-microsoft-com:office:smarttags" w:element="metricconverter">
        <w:smartTagPr>
          <w:attr w:name="ProductID" w:val="12 M"/>
        </w:smartTagPr>
        <w:r>
          <w:t>1</w:t>
        </w:r>
        <w:r w:rsidR="008048CB">
          <w:t>2</w:t>
        </w:r>
        <w:r>
          <w:t xml:space="preserve"> </w:t>
        </w:r>
        <w:r w:rsidR="008048CB">
          <w:t>M</w:t>
        </w:r>
      </w:smartTag>
      <w:bookmarkEnd w:id="39"/>
    </w:p>
    <w:p w:rsidR="00A4303E" w:rsidRDefault="00F5461B" w:rsidP="00A4303E">
      <w:pPr>
        <w:pStyle w:val="Mjtext"/>
        <w:rPr>
          <w:szCs w:val="20"/>
        </w:rPr>
      </w:pPr>
      <w:r w:rsidRPr="00F5461B">
        <w:rPr>
          <w:szCs w:val="20"/>
          <w:u w:val="single"/>
        </w:rPr>
        <w:t>Výkaz pro hodnocení plnění rozpočtu Fin 2-</w:t>
      </w:r>
      <w:smartTag w:uri="urn:schemas-microsoft-com:office:smarttags" w:element="metricconverter">
        <w:smartTagPr>
          <w:attr w:name="ProductID" w:val="12 M"/>
        </w:smartTagPr>
        <w:r w:rsidRPr="00F5461B">
          <w:rPr>
            <w:szCs w:val="20"/>
            <w:u w:val="single"/>
          </w:rPr>
          <w:t>12</w:t>
        </w:r>
        <w:r w:rsidR="0074114A">
          <w:rPr>
            <w:szCs w:val="20"/>
            <w:u w:val="single"/>
          </w:rPr>
          <w:t xml:space="preserve"> M</w:t>
        </w:r>
      </w:smartTag>
      <w:r>
        <w:rPr>
          <w:b/>
          <w:szCs w:val="20"/>
        </w:rPr>
        <w:t xml:space="preserve"> </w:t>
      </w:r>
      <w:r w:rsidR="00A4303E">
        <w:rPr>
          <w:szCs w:val="20"/>
        </w:rPr>
        <w:t>sleduje zejména</w:t>
      </w:r>
      <w:r w:rsidR="006C7709">
        <w:rPr>
          <w:szCs w:val="20"/>
        </w:rPr>
        <w:t xml:space="preserve"> skutečné plnění</w:t>
      </w:r>
      <w:r w:rsidR="00A4303E">
        <w:rPr>
          <w:szCs w:val="20"/>
        </w:rPr>
        <w:t xml:space="preserve"> příjmů a výdajů</w:t>
      </w:r>
      <w:r>
        <w:rPr>
          <w:szCs w:val="20"/>
        </w:rPr>
        <w:t>. Obsah, strukturu výkazu a termíny</w:t>
      </w:r>
      <w:r w:rsidR="00FC5C56">
        <w:rPr>
          <w:szCs w:val="20"/>
        </w:rPr>
        <w:t xml:space="preserve"> předkládání výkazů</w:t>
      </w:r>
      <w:r>
        <w:rPr>
          <w:szCs w:val="20"/>
        </w:rPr>
        <w:t xml:space="preserve"> stanoví vyhláška</w:t>
      </w:r>
      <w:r w:rsidR="00A4303E">
        <w:rPr>
          <w:szCs w:val="20"/>
        </w:rPr>
        <w:t xml:space="preserve"> </w:t>
      </w:r>
      <w:r>
        <w:rPr>
          <w:szCs w:val="20"/>
        </w:rPr>
        <w:t>MF č. 449/2009 Sb. J</w:t>
      </w:r>
      <w:r w:rsidR="00A4303E">
        <w:rPr>
          <w:szCs w:val="20"/>
        </w:rPr>
        <w:t>edná se o klíčový finanční výkaz</w:t>
      </w:r>
      <w:r w:rsidR="00FC5C56">
        <w:rPr>
          <w:szCs w:val="20"/>
        </w:rPr>
        <w:t xml:space="preserve"> v</w:t>
      </w:r>
      <w:r w:rsidR="001E7BF2">
        <w:rPr>
          <w:szCs w:val="20"/>
        </w:rPr>
        <w:t> </w:t>
      </w:r>
      <w:r w:rsidR="00FC5C56">
        <w:rPr>
          <w:szCs w:val="20"/>
        </w:rPr>
        <w:t>oblasti rozpočtu</w:t>
      </w:r>
      <w:r w:rsidR="00A4303E">
        <w:rPr>
          <w:szCs w:val="20"/>
        </w:rPr>
        <w:t>, jehož údaje se přenášejí do</w:t>
      </w:r>
      <w:r>
        <w:rPr>
          <w:szCs w:val="20"/>
        </w:rPr>
        <w:t xml:space="preserve"> CSÚIS</w:t>
      </w:r>
      <w:r w:rsidR="00A4303E">
        <w:rPr>
          <w:szCs w:val="20"/>
        </w:rPr>
        <w:t>, a to měsíčně. Sestavení výkazu vyžaduje členění příjmů a výdajů minimálně podle odvětví a druhu (paragrafy a položky rozpočtové skladby).</w:t>
      </w:r>
      <w:r w:rsidR="00B25874">
        <w:rPr>
          <w:szCs w:val="20"/>
        </w:rPr>
        <w:t xml:space="preserve"> </w:t>
      </w:r>
      <w:r w:rsidR="00A4303E">
        <w:rPr>
          <w:szCs w:val="20"/>
        </w:rPr>
        <w:t>Výkaz má několik částí: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rozpočtové příjmy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rozpočtové výdaje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financování – třída 8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rekapitulace příjmů, výdajů, financování a jejich konsolidace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stavy a obraty na bankovních účtech</w:t>
      </w:r>
      <w:r w:rsidR="00FC5C56">
        <w:rPr>
          <w:szCs w:val="20"/>
        </w:rPr>
        <w:t>,</w:t>
      </w:r>
      <w:r>
        <w:rPr>
          <w:szCs w:val="20"/>
        </w:rPr>
        <w:t xml:space="preserve"> 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vybrané záznamové jednotky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přijaté t</w:t>
      </w:r>
      <w:r w:rsidR="00FC5C56">
        <w:rPr>
          <w:szCs w:val="20"/>
        </w:rPr>
        <w:t>ransfery a půjčky ze SR, SF a regionálních rad,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 xml:space="preserve">transfery a půjčky poskytnuté regionálními radami ÚSC, DSO a </w:t>
      </w:r>
      <w:r w:rsidR="00FC5C56">
        <w:rPr>
          <w:szCs w:val="20"/>
        </w:rPr>
        <w:t>regionálním radám,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příjmy z</w:t>
      </w:r>
      <w:r w:rsidR="001E7BF2">
        <w:rPr>
          <w:szCs w:val="20"/>
        </w:rPr>
        <w:t> </w:t>
      </w:r>
      <w:r>
        <w:rPr>
          <w:szCs w:val="20"/>
        </w:rPr>
        <w:t>rozpočtu EU a související příjmy v</w:t>
      </w:r>
      <w:r w:rsidR="001E7BF2">
        <w:rPr>
          <w:szCs w:val="20"/>
        </w:rPr>
        <w:t> </w:t>
      </w:r>
      <w:r>
        <w:rPr>
          <w:szCs w:val="20"/>
        </w:rPr>
        <w:t xml:space="preserve">členění </w:t>
      </w:r>
      <w:r w:rsidR="002D1FB2">
        <w:rPr>
          <w:szCs w:val="20"/>
        </w:rPr>
        <w:t xml:space="preserve">podle </w:t>
      </w:r>
      <w:r>
        <w:rPr>
          <w:szCs w:val="20"/>
        </w:rPr>
        <w:t>nástroje a zdroje financování</w:t>
      </w:r>
      <w:r w:rsidR="00FC5C56">
        <w:rPr>
          <w:szCs w:val="20"/>
        </w:rPr>
        <w:t>,</w:t>
      </w:r>
    </w:p>
    <w:p w:rsidR="00A4303E" w:rsidRDefault="00A4303E" w:rsidP="00C16579">
      <w:pPr>
        <w:pStyle w:val="Mjtext"/>
        <w:numPr>
          <w:ilvl w:val="0"/>
          <w:numId w:val="30"/>
        </w:numPr>
        <w:rPr>
          <w:szCs w:val="20"/>
        </w:rPr>
      </w:pPr>
      <w:r>
        <w:rPr>
          <w:szCs w:val="20"/>
        </w:rPr>
        <w:t>výdaje spolufinancované z</w:t>
      </w:r>
      <w:r w:rsidR="001E7BF2">
        <w:rPr>
          <w:szCs w:val="20"/>
        </w:rPr>
        <w:t> </w:t>
      </w:r>
      <w:r>
        <w:rPr>
          <w:szCs w:val="20"/>
        </w:rPr>
        <w:t>rozpočtu EU a související výdaje v</w:t>
      </w:r>
      <w:r w:rsidR="001E7BF2">
        <w:rPr>
          <w:szCs w:val="20"/>
        </w:rPr>
        <w:t> </w:t>
      </w:r>
      <w:r>
        <w:rPr>
          <w:szCs w:val="20"/>
        </w:rPr>
        <w:t xml:space="preserve">členění </w:t>
      </w:r>
      <w:r w:rsidR="002D1FB2">
        <w:rPr>
          <w:szCs w:val="20"/>
        </w:rPr>
        <w:t xml:space="preserve">podle </w:t>
      </w:r>
      <w:r>
        <w:rPr>
          <w:szCs w:val="20"/>
        </w:rPr>
        <w:t>nástroje a zdroje financování</w:t>
      </w:r>
      <w:r w:rsidR="00FC5C56">
        <w:rPr>
          <w:szCs w:val="20"/>
        </w:rPr>
        <w:t>.</w:t>
      </w:r>
    </w:p>
    <w:p w:rsidR="00F5461B" w:rsidRDefault="00F5461B" w:rsidP="00F5461B">
      <w:pPr>
        <w:pStyle w:val="Mjtext"/>
        <w:rPr>
          <w:szCs w:val="20"/>
        </w:rPr>
      </w:pPr>
      <w:r>
        <w:rPr>
          <w:szCs w:val="20"/>
        </w:rPr>
        <w:t>Údaje jsou vykazovány ve sloupcích schválený rozpočet, rozpočet po změnách a výsledek od počátku roku, je tedy možné sledovat jak změny rozpočtu, tak skutečnost vykazovanou v</w:t>
      </w:r>
      <w:r w:rsidR="001E7BF2">
        <w:rPr>
          <w:szCs w:val="20"/>
        </w:rPr>
        <w:t> </w:t>
      </w:r>
      <w:r>
        <w:rPr>
          <w:szCs w:val="20"/>
        </w:rPr>
        <w:t xml:space="preserve">účetnictví. </w:t>
      </w:r>
    </w:p>
    <w:p w:rsidR="00B20BB8" w:rsidRPr="000F19D7" w:rsidRDefault="00B20BB8" w:rsidP="00B20BB8">
      <w:pPr>
        <w:pStyle w:val="Mjtext"/>
      </w:pPr>
      <w:r w:rsidRPr="005C7E18">
        <w:rPr>
          <w:szCs w:val="20"/>
        </w:rPr>
        <w:t>Příjmy celkem po konsolidaci činily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31. 12. 2013 </w:t>
      </w:r>
      <w:r w:rsidRPr="00B20BB8">
        <w:rPr>
          <w:szCs w:val="20"/>
        </w:rPr>
        <w:t>260,61</w:t>
      </w:r>
      <w:r w:rsidRPr="005C7E18">
        <w:rPr>
          <w:szCs w:val="20"/>
        </w:rPr>
        <w:t> % plnění ke schválenému rozpočtu a </w:t>
      </w:r>
      <w:r w:rsidRPr="00B20BB8">
        <w:rPr>
          <w:szCs w:val="20"/>
        </w:rPr>
        <w:t>101,25 </w:t>
      </w:r>
      <w:r w:rsidRPr="005C7E18">
        <w:rPr>
          <w:szCs w:val="20"/>
        </w:rPr>
        <w:t>% plnění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rozpočtu po změnách. Výdaje celkem po konsolidaci představovaly </w:t>
      </w:r>
      <w:r w:rsidRPr="00B20BB8">
        <w:rPr>
          <w:szCs w:val="20"/>
        </w:rPr>
        <w:t>222,28</w:t>
      </w:r>
      <w:r w:rsidRPr="005C7E18">
        <w:rPr>
          <w:szCs w:val="20"/>
        </w:rPr>
        <w:t xml:space="preserve"> % čerpání podle schváleného </w:t>
      </w:r>
      <w:r w:rsidRPr="000F19D7">
        <w:rPr>
          <w:szCs w:val="20"/>
        </w:rPr>
        <w:t>rozpočtu a 91,28 % čerpání podle rozpočtu po změnách. Saldo příjmů a výdajů po konsolidaci pak činilo ve výsledku od počátku roku –547.162 tis. Kč. Výkaz FIN 2-</w:t>
      </w:r>
      <w:smartTag w:uri="urn:schemas-microsoft-com:office:smarttags" w:element="metricconverter">
        <w:smartTagPr>
          <w:attr w:name="ProductID" w:val="12 M"/>
        </w:smartTagPr>
        <w:r w:rsidRPr="000F19D7">
          <w:rPr>
            <w:szCs w:val="20"/>
          </w:rPr>
          <w:t>12 M</w:t>
        </w:r>
      </w:smartTag>
      <w:r w:rsidRPr="000F19D7">
        <w:rPr>
          <w:szCs w:val="20"/>
        </w:rPr>
        <w:t>, sestavený k</w:t>
      </w:r>
      <w:r w:rsidR="001E7BF2" w:rsidRPr="000F19D7">
        <w:rPr>
          <w:szCs w:val="20"/>
        </w:rPr>
        <w:t> </w:t>
      </w:r>
      <w:r w:rsidRPr="000F19D7">
        <w:rPr>
          <w:szCs w:val="20"/>
        </w:rPr>
        <w:t xml:space="preserve">31. 12. 2013, je součástí přílohy č. </w:t>
      </w:r>
      <w:r w:rsidR="005616AC" w:rsidRPr="000F19D7">
        <w:rPr>
          <w:szCs w:val="20"/>
        </w:rPr>
        <w:t>1</w:t>
      </w:r>
      <w:r w:rsidRPr="000F19D7">
        <w:rPr>
          <w:szCs w:val="20"/>
        </w:rPr>
        <w:t xml:space="preserve"> materiálu – </w:t>
      </w:r>
      <w:r w:rsidR="005616AC" w:rsidRPr="000F19D7">
        <w:rPr>
          <w:szCs w:val="20"/>
        </w:rPr>
        <w:t>Závěrečný účet Moravskoslezského kraje za rok 2013</w:t>
      </w:r>
      <w:r w:rsidRPr="000F19D7">
        <w:t>.</w:t>
      </w:r>
    </w:p>
    <w:p w:rsidR="00D25971" w:rsidRPr="000F19D7" w:rsidRDefault="008048CB" w:rsidP="00FB3163">
      <w:pPr>
        <w:pStyle w:val="Nadpis2"/>
      </w:pPr>
      <w:bookmarkStart w:id="40" w:name="_Toc388005089"/>
      <w:r w:rsidRPr="000F19D7">
        <w:t>Pomocný analytický přehled</w:t>
      </w:r>
      <w:bookmarkEnd w:id="40"/>
    </w:p>
    <w:p w:rsidR="00BB5373" w:rsidRPr="005C7E18" w:rsidRDefault="00BB5373" w:rsidP="00BB5373">
      <w:pPr>
        <w:jc w:val="both"/>
      </w:pPr>
      <w:r w:rsidRPr="005C7E18">
        <w:rPr>
          <w:rFonts w:ascii="Tahoma" w:hAnsi="Tahoma" w:cs="Tahoma"/>
          <w:sz w:val="20"/>
        </w:rPr>
        <w:t>Pro úplnost informace uvádíme, že kraj jakožto vybraná účetní jednotka předává pro účely monitorování a řízení veřejných financí (na základě požadavků vyplývajících z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 xml:space="preserve">evropských nařízení) </w:t>
      </w:r>
      <w:r w:rsidRPr="005C7E18">
        <w:rPr>
          <w:rFonts w:ascii="Tahoma" w:hAnsi="Tahoma" w:cs="Tahoma"/>
          <w:sz w:val="20"/>
        </w:rPr>
        <w:lastRenderedPageBreak/>
        <w:t>Pomocný analytický přehled (PAP). Právní rámec pro PAP vyplývá z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ustanov</w:t>
      </w:r>
      <w:r>
        <w:rPr>
          <w:rFonts w:ascii="Tahoma" w:hAnsi="Tahoma" w:cs="Tahoma"/>
          <w:sz w:val="20"/>
        </w:rPr>
        <w:t>en</w:t>
      </w:r>
      <w:r w:rsidRPr="005C7E18">
        <w:rPr>
          <w:rFonts w:ascii="Tahoma" w:hAnsi="Tahoma" w:cs="Tahoma"/>
          <w:sz w:val="20"/>
        </w:rPr>
        <w:t>í § 77 vyhlášky č. 410/2009 Sb. a § 3a vyhlášky č. 383/2009 Sb. Rozsah jednotlivých částí PAP, jejich vzory a termíny jejich předávání do CSÚIS stanoví Příloha č. 2a vyhlášky č. 383/2009 Sb. Četnost předávání je čtvrtletní (termíny jsou stanoveny v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Příloze č. 2b k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vyhlášce č. 383/2009 Sb.). Ve své podstatě vede kraj dvojí účetnictví – jednak účetnictví podle národního standardu a dále účetnictví pro potřeby sestavení PAP, která se shodují na úrovni vybraných rozvahových účtů a nákladových účtů. Pro potřeby PAP jsou zvoleny k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vybraným syntetickým účtům další analytické účty, jednotlivé účetní operace se zaznamenávají podle jednotlivých druhů pohybů (přírůstků a úbytků aktiva a pasiva) a jsou doplňovány dalšími informace</w:t>
      </w:r>
      <w:r w:rsidR="000D2585">
        <w:rPr>
          <w:rFonts w:ascii="Tahoma" w:hAnsi="Tahoma" w:cs="Tahoma"/>
          <w:sz w:val="20"/>
        </w:rPr>
        <w:t>mi</w:t>
      </w:r>
      <w:r w:rsidRPr="005C7E18">
        <w:rPr>
          <w:rFonts w:ascii="Tahoma" w:hAnsi="Tahoma" w:cs="Tahoma"/>
          <w:sz w:val="20"/>
        </w:rPr>
        <w:t xml:space="preserve"> o partnerovi aktiva/pasiva případně o partnerech transakce, rovněž vybrané nákladové a výnosové účty se sledují podle jednotlivých partnerů transakcí. Informace o PAP jsou vedeny prostřednictvím vnitropodnikového účetnictví. Tento výkaz, s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ohledem na velký rozsah, není přílohou tohoto materiálu (výkaz PAP má</w:t>
      </w:r>
      <w:r w:rsidRPr="00B758A6">
        <w:rPr>
          <w:rFonts w:ascii="Tahoma" w:hAnsi="Tahoma" w:cs="Tahoma"/>
          <w:sz w:val="20"/>
        </w:rPr>
        <w:t xml:space="preserve"> </w:t>
      </w:r>
      <w:r w:rsidRPr="00BB5373">
        <w:rPr>
          <w:rFonts w:ascii="Tahoma" w:hAnsi="Tahoma" w:cs="Tahoma"/>
          <w:sz w:val="20"/>
        </w:rPr>
        <w:t>13 částí</w:t>
      </w:r>
      <w:r w:rsidRPr="00B758A6">
        <w:rPr>
          <w:rFonts w:ascii="Tahoma" w:hAnsi="Tahoma" w:cs="Tahoma"/>
          <w:sz w:val="20"/>
        </w:rPr>
        <w:t xml:space="preserve"> </w:t>
      </w:r>
      <w:r w:rsidRPr="005C7E18">
        <w:rPr>
          <w:rFonts w:ascii="Tahoma" w:hAnsi="Tahoma" w:cs="Tahoma"/>
          <w:sz w:val="20"/>
        </w:rPr>
        <w:t>a obsahuje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 r.</w:t>
      </w:r>
      <w:r w:rsidRPr="005C7E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2013 </w:t>
      </w:r>
      <w:r w:rsidR="00CB00BA">
        <w:rPr>
          <w:rFonts w:ascii="Tahoma" w:hAnsi="Tahoma" w:cs="Tahoma"/>
          <w:sz w:val="20"/>
        </w:rPr>
        <w:t>205</w:t>
      </w:r>
      <w:r w:rsidRPr="00BB5373">
        <w:rPr>
          <w:rFonts w:ascii="Tahoma" w:hAnsi="Tahoma" w:cs="Tahoma"/>
          <w:sz w:val="20"/>
        </w:rPr>
        <w:t xml:space="preserve"> stran</w:t>
      </w:r>
      <w:r w:rsidRPr="005C7E18">
        <w:rPr>
          <w:rFonts w:ascii="Tahoma" w:hAnsi="Tahoma" w:cs="Tahoma"/>
          <w:sz w:val="20"/>
        </w:rPr>
        <w:t>); výkaz není součástí účetní závěrky definované právními předpisy.</w:t>
      </w:r>
    </w:p>
    <w:p w:rsidR="006C5839" w:rsidRDefault="006C5839" w:rsidP="006C5839">
      <w:pPr>
        <w:pStyle w:val="Nadpis1"/>
      </w:pPr>
      <w:bookmarkStart w:id="41" w:name="_Toc388005090"/>
      <w:bookmarkEnd w:id="6"/>
      <w:bookmarkEnd w:id="7"/>
      <w:bookmarkEnd w:id="8"/>
      <w:bookmarkEnd w:id="9"/>
      <w:bookmarkEnd w:id="10"/>
      <w:bookmarkEnd w:id="11"/>
      <w:bookmarkEnd w:id="12"/>
      <w:r>
        <w:t>Závěr</w:t>
      </w:r>
      <w:bookmarkEnd w:id="41"/>
    </w:p>
    <w:p w:rsidR="0043369F" w:rsidRDefault="006C5839" w:rsidP="006C58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vede účetnictví podle platných právních předpisů</w:t>
      </w:r>
      <w:r w:rsidR="000A282B">
        <w:rPr>
          <w:rFonts w:ascii="Tahoma" w:hAnsi="Tahoma" w:cs="Tahoma"/>
          <w:sz w:val="20"/>
          <w:szCs w:val="20"/>
        </w:rPr>
        <w:t>. O</w:t>
      </w:r>
      <w:r>
        <w:rPr>
          <w:rFonts w:ascii="Tahoma" w:hAnsi="Tahoma" w:cs="Tahoma"/>
          <w:sz w:val="20"/>
          <w:szCs w:val="20"/>
        </w:rPr>
        <w:t>bsah položek účetní závěrky odpovídá skutečnému stavu, který je zobrazen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souladu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účetními metodami, stanovenými prováděcími právními předpisy</w:t>
      </w:r>
      <w:r w:rsidR="000A282B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Účetní závěrka Moravskoslezského kraje</w:t>
      </w:r>
      <w:r w:rsidR="000A282B">
        <w:rPr>
          <w:rFonts w:ascii="Tahoma" w:hAnsi="Tahoma" w:cs="Tahoma"/>
          <w:sz w:val="20"/>
          <w:szCs w:val="20"/>
        </w:rPr>
        <w:t xml:space="preserve"> sestavená</w:t>
      </w:r>
      <w:r>
        <w:rPr>
          <w:rFonts w:ascii="Tahoma" w:hAnsi="Tahoma" w:cs="Tahoma"/>
          <w:sz w:val="20"/>
          <w:szCs w:val="20"/>
        </w:rPr>
        <w:t xml:space="preserve"> k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rozvahovému dni 31.</w:t>
      </w:r>
      <w:r w:rsidR="000A282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12.</w:t>
      </w:r>
      <w:r w:rsidR="000A282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201</w:t>
      </w:r>
      <w:r w:rsidR="00BB5373">
        <w:rPr>
          <w:rFonts w:ascii="Tahoma" w:hAnsi="Tahoma" w:cs="Tahoma"/>
          <w:sz w:val="20"/>
          <w:szCs w:val="20"/>
        </w:rPr>
        <w:t>3</w:t>
      </w:r>
      <w:r w:rsidR="000A282B">
        <w:rPr>
          <w:rFonts w:ascii="Tahoma" w:hAnsi="Tahoma" w:cs="Tahoma"/>
          <w:sz w:val="20"/>
          <w:szCs w:val="20"/>
        </w:rPr>
        <w:t xml:space="preserve"> </w:t>
      </w:r>
      <w:r w:rsidR="00092701">
        <w:rPr>
          <w:rFonts w:ascii="Tahoma" w:hAnsi="Tahoma" w:cs="Tahoma"/>
          <w:sz w:val="20"/>
          <w:szCs w:val="20"/>
        </w:rPr>
        <w:t>po</w:t>
      </w:r>
      <w:r w:rsidR="000A282B">
        <w:rPr>
          <w:rFonts w:ascii="Tahoma" w:hAnsi="Tahoma" w:cs="Tahoma"/>
          <w:sz w:val="20"/>
          <w:szCs w:val="20"/>
        </w:rPr>
        <w:t>dává věrný a poctivý obraz o předmětu účetnictví a finanční situaci účetní jednotky – Moravskoslezského kraje.</w:t>
      </w:r>
    </w:p>
    <w:p w:rsidR="007B0418" w:rsidRDefault="007B0418" w:rsidP="006C5839">
      <w:pPr>
        <w:jc w:val="both"/>
        <w:rPr>
          <w:rFonts w:ascii="Tahoma" w:hAnsi="Tahoma" w:cs="Tahoma"/>
          <w:sz w:val="20"/>
          <w:szCs w:val="20"/>
        </w:rPr>
      </w:pPr>
    </w:p>
    <w:p w:rsidR="00167BCB" w:rsidRDefault="00167BCB" w:rsidP="006C5839">
      <w:pPr>
        <w:jc w:val="both"/>
        <w:rPr>
          <w:rFonts w:ascii="Tahoma" w:hAnsi="Tahoma" w:cs="Tahoma"/>
          <w:sz w:val="20"/>
          <w:szCs w:val="20"/>
        </w:rPr>
      </w:pPr>
    </w:p>
    <w:p w:rsidR="007B0418" w:rsidRPr="000F19D7" w:rsidRDefault="007B0418" w:rsidP="006C5839">
      <w:pPr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Komentář k účetní závěrce zpracovalo:</w:t>
      </w:r>
    </w:p>
    <w:p w:rsidR="007B0418" w:rsidRDefault="007B0418" w:rsidP="006C5839">
      <w:pPr>
        <w:jc w:val="both"/>
        <w:rPr>
          <w:rFonts w:ascii="Tahoma" w:hAnsi="Tahoma" w:cs="Tahoma"/>
          <w:sz w:val="20"/>
          <w:szCs w:val="20"/>
        </w:rPr>
      </w:pPr>
      <w:r w:rsidRPr="000F19D7">
        <w:rPr>
          <w:rFonts w:ascii="Tahoma" w:hAnsi="Tahoma" w:cs="Tahoma"/>
          <w:sz w:val="20"/>
          <w:szCs w:val="20"/>
        </w:rPr>
        <w:t>Oddělení účetnictví a metodiky odboru financí</w:t>
      </w:r>
    </w:p>
    <w:p w:rsidR="00DD6A74" w:rsidRDefault="00DD6A74" w:rsidP="006C5839">
      <w:pPr>
        <w:jc w:val="both"/>
        <w:rPr>
          <w:rFonts w:ascii="Tahoma" w:hAnsi="Tahoma" w:cs="Tahoma"/>
          <w:sz w:val="20"/>
          <w:szCs w:val="20"/>
        </w:rPr>
      </w:pPr>
    </w:p>
    <w:p w:rsidR="00DD6A74" w:rsidRDefault="00DD6A74" w:rsidP="006C58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12. 5. 2014</w:t>
      </w:r>
    </w:p>
    <w:p w:rsidR="0043369F" w:rsidRPr="0043369F" w:rsidRDefault="0043369F" w:rsidP="0043369F">
      <w:pPr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Pr="0043369F">
        <w:rPr>
          <w:rFonts w:ascii="Tahoma" w:hAnsi="Tahoma" w:cs="Tahoma"/>
          <w:b/>
        </w:rPr>
        <w:lastRenderedPageBreak/>
        <w:t>Seznam použitých zkratek</w:t>
      </w:r>
    </w:p>
    <w:p w:rsidR="0043369F" w:rsidRDefault="0043369F" w:rsidP="0043369F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ARR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Agentura pro regionální rozvoj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E649F" w:rsidRPr="00111F31" w:rsidRDefault="0043369F" w:rsidP="00D217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D217A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217A4" w:rsidRPr="00111F31" w:rsidRDefault="00D217A4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ČS, a.s.</w:t>
            </w:r>
          </w:p>
        </w:tc>
        <w:tc>
          <w:tcPr>
            <w:tcW w:w="7020" w:type="dxa"/>
            <w:noWrap/>
            <w:vAlign w:val="bottom"/>
          </w:tcPr>
          <w:p w:rsidR="00D217A4" w:rsidRPr="00111F31" w:rsidRDefault="00D217A4" w:rsidP="00D217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daň z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111F31">
              <w:rPr>
                <w:rFonts w:ascii="Tahoma" w:hAnsi="Tahoma" w:cs="Tahoma"/>
                <w:sz w:val="20"/>
                <w:szCs w:val="20"/>
              </w:rPr>
              <w:t>přidané hodnoty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DPO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Dopravní podnik Ostrava, a.s.</w:t>
            </w:r>
          </w:p>
        </w:tc>
      </w:tr>
      <w:tr w:rsidR="0043369F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FÚ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úřad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k.ú.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</w:rPr>
            </w:pPr>
            <w:r w:rsidRPr="00111F31">
              <w:rPr>
                <w:rFonts w:ascii="Tahoma" w:hAnsi="Tahoma" w:cs="Tahoma"/>
                <w:sz w:val="20"/>
              </w:rPr>
              <w:t>Ministerstvo financí</w:t>
            </w:r>
          </w:p>
        </w:tc>
      </w:tr>
      <w:tr w:rsidR="001E7BF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E7BF2" w:rsidRPr="00111F31" w:rsidRDefault="001E7BF2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7020" w:type="dxa"/>
            <w:noWrap/>
            <w:vAlign w:val="bottom"/>
          </w:tcPr>
          <w:p w:rsidR="001E7BF2" w:rsidRPr="00111F31" w:rsidRDefault="001E7BF2" w:rsidP="00267BA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Mistrovství světa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pol. RS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 rozpočtové skladby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43369F" w:rsidRPr="00A21DE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</w:t>
            </w:r>
          </w:p>
        </w:tc>
        <w:tc>
          <w:tcPr>
            <w:tcW w:w="7020" w:type="dxa"/>
            <w:noWrap/>
            <w:vAlign w:val="bottom"/>
          </w:tcPr>
          <w:p w:rsidR="0043369F" w:rsidRPr="00A21DE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43369F" w:rsidRPr="00A21DE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DED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9765A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8D00D4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43369F" w:rsidRPr="00A21DE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21DED">
              <w:rPr>
                <w:rFonts w:ascii="Tahoma" w:hAnsi="Tahoma" w:cs="Tahoma"/>
                <w:sz w:val="20"/>
                <w:szCs w:val="20"/>
              </w:rPr>
              <w:t>tátní rozpočet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8D00D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43369F" w:rsidRPr="00B3213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2134">
              <w:rPr>
                <w:rFonts w:ascii="Tahoma" w:hAnsi="Tahoma" w:cs="Tahoma"/>
                <w:sz w:val="20"/>
                <w:szCs w:val="20"/>
              </w:rPr>
              <w:t>UnicreditBank Czech Republic</w:t>
            </w:r>
            <w:r w:rsidR="005616AC">
              <w:rPr>
                <w:rFonts w:ascii="Tahoma" w:hAnsi="Tahoma" w:cs="Tahoma"/>
                <w:sz w:val="20"/>
                <w:szCs w:val="20"/>
              </w:rPr>
              <w:t xml:space="preserve"> and Slovakia, a.s.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43369F" w:rsidRPr="00B3213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VH</w:t>
            </w:r>
          </w:p>
        </w:tc>
        <w:tc>
          <w:tcPr>
            <w:tcW w:w="7020" w:type="dxa"/>
            <w:noWrap/>
            <w:vAlign w:val="bottom"/>
          </w:tcPr>
          <w:p w:rsidR="0043369F" w:rsidRPr="00B3213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výsledek hospodaření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</w:tbl>
    <w:p w:rsidR="006C5839" w:rsidRPr="006C5839" w:rsidRDefault="006C5839" w:rsidP="006C5839">
      <w:pPr>
        <w:jc w:val="both"/>
        <w:rPr>
          <w:rFonts w:ascii="Tahoma" w:hAnsi="Tahoma" w:cs="Tahoma"/>
          <w:sz w:val="20"/>
          <w:szCs w:val="20"/>
        </w:rPr>
      </w:pPr>
    </w:p>
    <w:sectPr w:rsidR="006C5839" w:rsidRPr="006C5839" w:rsidSect="00E15307">
      <w:headerReference w:type="default" r:id="rId11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FF" w:rsidRDefault="00633AFF">
      <w:r>
        <w:separator/>
      </w:r>
    </w:p>
  </w:endnote>
  <w:endnote w:type="continuationSeparator" w:id="0">
    <w:p w:rsidR="00633AFF" w:rsidRDefault="0063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A8" w:rsidRDefault="000C09A8" w:rsidP="002B3D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9A8" w:rsidRDefault="000C09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A8" w:rsidRDefault="000C09A8" w:rsidP="00981D82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</w:p>
  <w:p w:rsidR="000C09A8" w:rsidRPr="00981D82" w:rsidRDefault="000C09A8" w:rsidP="00981D82">
    <w:pPr>
      <w:pStyle w:val="Zpat"/>
      <w:jc w:val="center"/>
      <w:rPr>
        <w:rFonts w:ascii="Tahoma" w:hAnsi="Tahoma" w:cs="Tahoma"/>
        <w:sz w:val="20"/>
        <w:szCs w:val="20"/>
      </w:rPr>
    </w:pPr>
    <w:r w:rsidRPr="00981D82">
      <w:rPr>
        <w:rStyle w:val="slostrnky"/>
        <w:rFonts w:ascii="Tahoma" w:hAnsi="Tahoma" w:cs="Tahoma"/>
        <w:sz w:val="20"/>
        <w:szCs w:val="20"/>
      </w:rPr>
      <w:fldChar w:fldCharType="begin"/>
    </w:r>
    <w:r w:rsidRPr="00981D8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81D82">
      <w:rPr>
        <w:rStyle w:val="slostrnky"/>
        <w:rFonts w:ascii="Tahoma" w:hAnsi="Tahoma" w:cs="Tahoma"/>
        <w:sz w:val="20"/>
        <w:szCs w:val="20"/>
      </w:rPr>
      <w:fldChar w:fldCharType="separate"/>
    </w:r>
    <w:r w:rsidR="00EC2C61">
      <w:rPr>
        <w:rStyle w:val="slostrnky"/>
        <w:rFonts w:ascii="Tahoma" w:hAnsi="Tahoma" w:cs="Tahoma"/>
        <w:sz w:val="20"/>
        <w:szCs w:val="20"/>
      </w:rPr>
      <w:t>2</w:t>
    </w:r>
    <w:r w:rsidRPr="00981D8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FF" w:rsidRDefault="00633AFF">
      <w:r>
        <w:separator/>
      </w:r>
    </w:p>
  </w:footnote>
  <w:footnote w:type="continuationSeparator" w:id="0">
    <w:p w:rsidR="00633AFF" w:rsidRDefault="0063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A8" w:rsidRDefault="000C09A8">
    <w:pPr>
      <w:pStyle w:val="Zhlav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Komentář k Účetní závěrce Moravskoslezského kraje k rozvahovému dni 31. 12. 2013</w:t>
    </w:r>
  </w:p>
  <w:p w:rsidR="000C09A8" w:rsidRDefault="000C09A8">
    <w:pPr>
      <w:pStyle w:val="Zhlav"/>
      <w:rPr>
        <w:rFonts w:ascii="Tahoma" w:hAnsi="Tahoma" w:cs="Tahoma"/>
        <w:i/>
        <w:sz w:val="18"/>
        <w:szCs w:val="18"/>
      </w:rPr>
    </w:pPr>
  </w:p>
  <w:p w:rsidR="000C09A8" w:rsidRPr="00981D82" w:rsidRDefault="000C09A8">
    <w:pPr>
      <w:pStyle w:val="Zhlav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1834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C5956"/>
    <w:multiLevelType w:val="hybridMultilevel"/>
    <w:tmpl w:val="DF9AA6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E0AB2"/>
    <w:multiLevelType w:val="hybridMultilevel"/>
    <w:tmpl w:val="513497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592D"/>
    <w:multiLevelType w:val="hybridMultilevel"/>
    <w:tmpl w:val="95BE4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30F97"/>
    <w:multiLevelType w:val="hybridMultilevel"/>
    <w:tmpl w:val="9E943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6C1EAB"/>
    <w:multiLevelType w:val="hybridMultilevel"/>
    <w:tmpl w:val="A11C32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0A00E5"/>
    <w:multiLevelType w:val="hybridMultilevel"/>
    <w:tmpl w:val="1D8289DA"/>
    <w:lvl w:ilvl="0" w:tplc="E7568B00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79F"/>
    <w:multiLevelType w:val="hybridMultilevel"/>
    <w:tmpl w:val="27F0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6550BE"/>
    <w:multiLevelType w:val="hybridMultilevel"/>
    <w:tmpl w:val="92925028"/>
    <w:lvl w:ilvl="0" w:tplc="C88E962A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</w:lvl>
    <w:lvl w:ilvl="1" w:tplc="58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A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B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A4337"/>
    <w:multiLevelType w:val="hybridMultilevel"/>
    <w:tmpl w:val="23AAA8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4A5725"/>
    <w:multiLevelType w:val="hybridMultilevel"/>
    <w:tmpl w:val="200CC95E"/>
    <w:lvl w:ilvl="0" w:tplc="D1F07544">
      <w:start w:val="1"/>
      <w:numFmt w:val="bullet"/>
      <w:pStyle w:val="Moje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05347"/>
    <w:multiLevelType w:val="hybridMultilevel"/>
    <w:tmpl w:val="2CDC3C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F786F"/>
    <w:multiLevelType w:val="multilevel"/>
    <w:tmpl w:val="3D70704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StylNadpis4Tahoma10b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2CB00EEB"/>
    <w:multiLevelType w:val="hybridMultilevel"/>
    <w:tmpl w:val="EB2CAC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C07090"/>
    <w:multiLevelType w:val="multilevel"/>
    <w:tmpl w:val="E03040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64646EA"/>
    <w:multiLevelType w:val="hybridMultilevel"/>
    <w:tmpl w:val="6AFE27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551AEA"/>
    <w:multiLevelType w:val="hybridMultilevel"/>
    <w:tmpl w:val="343C67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C747B5"/>
    <w:multiLevelType w:val="hybridMultilevel"/>
    <w:tmpl w:val="F808F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B641E"/>
    <w:multiLevelType w:val="hybridMultilevel"/>
    <w:tmpl w:val="56DC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7A16A4"/>
    <w:multiLevelType w:val="hybridMultilevel"/>
    <w:tmpl w:val="A2B0C47C"/>
    <w:lvl w:ilvl="0" w:tplc="76F40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68470C"/>
    <w:multiLevelType w:val="hybridMultilevel"/>
    <w:tmpl w:val="CA6E7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957C98"/>
    <w:multiLevelType w:val="hybridMultilevel"/>
    <w:tmpl w:val="45F2E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226E10"/>
    <w:multiLevelType w:val="hybridMultilevel"/>
    <w:tmpl w:val="433E1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620B1E"/>
    <w:multiLevelType w:val="multilevel"/>
    <w:tmpl w:val="186A0D7C"/>
    <w:lvl w:ilvl="0">
      <w:start w:val="1"/>
      <w:numFmt w:val="decimal"/>
      <w:pStyle w:val="Styl3tab"/>
      <w:lvlText w:val="Tab. č. %1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3DB3495"/>
    <w:multiLevelType w:val="hybridMultilevel"/>
    <w:tmpl w:val="DAF219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D3550"/>
    <w:multiLevelType w:val="hybridMultilevel"/>
    <w:tmpl w:val="EC260CFA"/>
    <w:lvl w:ilvl="0" w:tplc="B6F0B22C">
      <w:start w:val="1"/>
      <w:numFmt w:val="decimal"/>
      <w:pStyle w:val="seznamslovan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42CBF"/>
    <w:multiLevelType w:val="hybridMultilevel"/>
    <w:tmpl w:val="AA82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CB3E28"/>
    <w:multiLevelType w:val="hybridMultilevel"/>
    <w:tmpl w:val="9C665E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580344"/>
    <w:multiLevelType w:val="hybridMultilevel"/>
    <w:tmpl w:val="6748CA06"/>
    <w:lvl w:ilvl="0" w:tplc="1A882DF4">
      <w:start w:val="1"/>
      <w:numFmt w:val="upperLetter"/>
      <w:lvlText w:val="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0">
    <w:nsid w:val="712724CF"/>
    <w:multiLevelType w:val="hybridMultilevel"/>
    <w:tmpl w:val="9D902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A925CC"/>
    <w:multiLevelType w:val="multilevel"/>
    <w:tmpl w:val="6A4E9B9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pStyle w:val="CharChar1"/>
      <w:lvlText w:val="%1.%2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C4242EF"/>
    <w:multiLevelType w:val="hybridMultilevel"/>
    <w:tmpl w:val="2AE4E7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>
    <w:nsid w:val="7E7652AA"/>
    <w:multiLevelType w:val="hybridMultilevel"/>
    <w:tmpl w:val="22F43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10"/>
  </w:num>
  <w:num w:numId="5">
    <w:abstractNumId w:val="0"/>
  </w:num>
  <w:num w:numId="6">
    <w:abstractNumId w:val="23"/>
  </w:num>
  <w:num w:numId="7">
    <w:abstractNumId w:val="32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7"/>
  </w:num>
  <w:num w:numId="14">
    <w:abstractNumId w:val="22"/>
  </w:num>
  <w:num w:numId="15">
    <w:abstractNumId w:val="16"/>
  </w:num>
  <w:num w:numId="16">
    <w:abstractNumId w:val="21"/>
  </w:num>
  <w:num w:numId="17">
    <w:abstractNumId w:val="24"/>
  </w:num>
  <w:num w:numId="18">
    <w:abstractNumId w:val="28"/>
  </w:num>
  <w:num w:numId="19">
    <w:abstractNumId w:val="15"/>
  </w:num>
  <w:num w:numId="20">
    <w:abstractNumId w:val="27"/>
  </w:num>
  <w:num w:numId="21">
    <w:abstractNumId w:val="11"/>
  </w:num>
  <w:num w:numId="22">
    <w:abstractNumId w:val="18"/>
  </w:num>
  <w:num w:numId="23">
    <w:abstractNumId w:val="3"/>
  </w:num>
  <w:num w:numId="24">
    <w:abstractNumId w:val="4"/>
  </w:num>
  <w:num w:numId="25">
    <w:abstractNumId w:val="13"/>
  </w:num>
  <w:num w:numId="26">
    <w:abstractNumId w:val="30"/>
  </w:num>
  <w:num w:numId="27">
    <w:abstractNumId w:val="14"/>
  </w:num>
  <w:num w:numId="28">
    <w:abstractNumId w:val="1"/>
  </w:num>
  <w:num w:numId="29">
    <w:abstractNumId w:val="34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6"/>
  </w:num>
  <w:num w:numId="35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E"/>
    <w:rsid w:val="0000133C"/>
    <w:rsid w:val="000019F0"/>
    <w:rsid w:val="00001D5D"/>
    <w:rsid w:val="000040E1"/>
    <w:rsid w:val="00004977"/>
    <w:rsid w:val="00005556"/>
    <w:rsid w:val="00006540"/>
    <w:rsid w:val="00007743"/>
    <w:rsid w:val="000102A0"/>
    <w:rsid w:val="000114BF"/>
    <w:rsid w:val="000125F2"/>
    <w:rsid w:val="000130BE"/>
    <w:rsid w:val="00015203"/>
    <w:rsid w:val="00015512"/>
    <w:rsid w:val="00016470"/>
    <w:rsid w:val="00016B67"/>
    <w:rsid w:val="00016BDC"/>
    <w:rsid w:val="00016C87"/>
    <w:rsid w:val="000171E7"/>
    <w:rsid w:val="00020431"/>
    <w:rsid w:val="00020A90"/>
    <w:rsid w:val="000213C4"/>
    <w:rsid w:val="000251AB"/>
    <w:rsid w:val="00025E9B"/>
    <w:rsid w:val="000310BB"/>
    <w:rsid w:val="0003131B"/>
    <w:rsid w:val="000321BA"/>
    <w:rsid w:val="000321E9"/>
    <w:rsid w:val="00035572"/>
    <w:rsid w:val="00035F98"/>
    <w:rsid w:val="000369AB"/>
    <w:rsid w:val="00036AA8"/>
    <w:rsid w:val="0003704F"/>
    <w:rsid w:val="00041909"/>
    <w:rsid w:val="00041953"/>
    <w:rsid w:val="00041FD0"/>
    <w:rsid w:val="000437A5"/>
    <w:rsid w:val="000450E9"/>
    <w:rsid w:val="00045250"/>
    <w:rsid w:val="000455D4"/>
    <w:rsid w:val="00045A74"/>
    <w:rsid w:val="00045F88"/>
    <w:rsid w:val="00046902"/>
    <w:rsid w:val="00046B02"/>
    <w:rsid w:val="00046D0B"/>
    <w:rsid w:val="000504C1"/>
    <w:rsid w:val="0005132F"/>
    <w:rsid w:val="00053DA9"/>
    <w:rsid w:val="0005477B"/>
    <w:rsid w:val="000559E5"/>
    <w:rsid w:val="00055B9E"/>
    <w:rsid w:val="00055F80"/>
    <w:rsid w:val="00056C10"/>
    <w:rsid w:val="0005799F"/>
    <w:rsid w:val="000602C9"/>
    <w:rsid w:val="000603B8"/>
    <w:rsid w:val="000609B2"/>
    <w:rsid w:val="00063F7C"/>
    <w:rsid w:val="0006406C"/>
    <w:rsid w:val="000641B2"/>
    <w:rsid w:val="0006656D"/>
    <w:rsid w:val="0007086B"/>
    <w:rsid w:val="00071727"/>
    <w:rsid w:val="00071C50"/>
    <w:rsid w:val="0007286D"/>
    <w:rsid w:val="00072FF5"/>
    <w:rsid w:val="0007317D"/>
    <w:rsid w:val="0007486B"/>
    <w:rsid w:val="00074EB9"/>
    <w:rsid w:val="0007656B"/>
    <w:rsid w:val="00076F43"/>
    <w:rsid w:val="000805A7"/>
    <w:rsid w:val="00080A97"/>
    <w:rsid w:val="00081017"/>
    <w:rsid w:val="00081512"/>
    <w:rsid w:val="00082716"/>
    <w:rsid w:val="0008307F"/>
    <w:rsid w:val="00085310"/>
    <w:rsid w:val="00086342"/>
    <w:rsid w:val="00087A7C"/>
    <w:rsid w:val="00087E98"/>
    <w:rsid w:val="0009059A"/>
    <w:rsid w:val="00091B30"/>
    <w:rsid w:val="00092701"/>
    <w:rsid w:val="0009402C"/>
    <w:rsid w:val="0009596B"/>
    <w:rsid w:val="00095BF8"/>
    <w:rsid w:val="00095F22"/>
    <w:rsid w:val="00096B35"/>
    <w:rsid w:val="00096DBD"/>
    <w:rsid w:val="000977D4"/>
    <w:rsid w:val="000A00E1"/>
    <w:rsid w:val="000A087D"/>
    <w:rsid w:val="000A133A"/>
    <w:rsid w:val="000A1396"/>
    <w:rsid w:val="000A282B"/>
    <w:rsid w:val="000A29C2"/>
    <w:rsid w:val="000A2CAB"/>
    <w:rsid w:val="000A352D"/>
    <w:rsid w:val="000A3A0A"/>
    <w:rsid w:val="000A41FF"/>
    <w:rsid w:val="000A5661"/>
    <w:rsid w:val="000A5AAC"/>
    <w:rsid w:val="000A5D85"/>
    <w:rsid w:val="000A62A3"/>
    <w:rsid w:val="000B0758"/>
    <w:rsid w:val="000B0945"/>
    <w:rsid w:val="000B0DAC"/>
    <w:rsid w:val="000B0E9F"/>
    <w:rsid w:val="000B1091"/>
    <w:rsid w:val="000B164E"/>
    <w:rsid w:val="000B1C51"/>
    <w:rsid w:val="000B26C7"/>
    <w:rsid w:val="000B3812"/>
    <w:rsid w:val="000B4556"/>
    <w:rsid w:val="000B4F9A"/>
    <w:rsid w:val="000B547B"/>
    <w:rsid w:val="000B55A5"/>
    <w:rsid w:val="000B5A88"/>
    <w:rsid w:val="000B5B49"/>
    <w:rsid w:val="000B5BCC"/>
    <w:rsid w:val="000B6856"/>
    <w:rsid w:val="000B7FDC"/>
    <w:rsid w:val="000C09A8"/>
    <w:rsid w:val="000C0CCB"/>
    <w:rsid w:val="000C1FC6"/>
    <w:rsid w:val="000C2D49"/>
    <w:rsid w:val="000C4FEE"/>
    <w:rsid w:val="000C5FD4"/>
    <w:rsid w:val="000C6653"/>
    <w:rsid w:val="000D0121"/>
    <w:rsid w:val="000D0659"/>
    <w:rsid w:val="000D1484"/>
    <w:rsid w:val="000D1B9C"/>
    <w:rsid w:val="000D2585"/>
    <w:rsid w:val="000D4CB6"/>
    <w:rsid w:val="000D7898"/>
    <w:rsid w:val="000D79F6"/>
    <w:rsid w:val="000E2CE0"/>
    <w:rsid w:val="000E4274"/>
    <w:rsid w:val="000E4828"/>
    <w:rsid w:val="000E5D37"/>
    <w:rsid w:val="000E7E45"/>
    <w:rsid w:val="000F19D7"/>
    <w:rsid w:val="000F432D"/>
    <w:rsid w:val="000F4FCC"/>
    <w:rsid w:val="000F6083"/>
    <w:rsid w:val="000F63D7"/>
    <w:rsid w:val="000F77CE"/>
    <w:rsid w:val="000F787C"/>
    <w:rsid w:val="000F7F03"/>
    <w:rsid w:val="00100326"/>
    <w:rsid w:val="001009D0"/>
    <w:rsid w:val="00103BFB"/>
    <w:rsid w:val="00105650"/>
    <w:rsid w:val="00106227"/>
    <w:rsid w:val="0011173C"/>
    <w:rsid w:val="00112B20"/>
    <w:rsid w:val="001147AE"/>
    <w:rsid w:val="00115E82"/>
    <w:rsid w:val="0012134B"/>
    <w:rsid w:val="00123A66"/>
    <w:rsid w:val="001243DC"/>
    <w:rsid w:val="00126255"/>
    <w:rsid w:val="00127465"/>
    <w:rsid w:val="00130E94"/>
    <w:rsid w:val="001322BB"/>
    <w:rsid w:val="0013241B"/>
    <w:rsid w:val="00132F60"/>
    <w:rsid w:val="0013305B"/>
    <w:rsid w:val="00133A3F"/>
    <w:rsid w:val="00133C00"/>
    <w:rsid w:val="00133EA2"/>
    <w:rsid w:val="00134438"/>
    <w:rsid w:val="00135D97"/>
    <w:rsid w:val="00136EFE"/>
    <w:rsid w:val="00137444"/>
    <w:rsid w:val="001374C9"/>
    <w:rsid w:val="00140639"/>
    <w:rsid w:val="00143679"/>
    <w:rsid w:val="001436FF"/>
    <w:rsid w:val="00144581"/>
    <w:rsid w:val="00145803"/>
    <w:rsid w:val="00145836"/>
    <w:rsid w:val="001460F3"/>
    <w:rsid w:val="00146B08"/>
    <w:rsid w:val="001476B9"/>
    <w:rsid w:val="00147AC4"/>
    <w:rsid w:val="00150377"/>
    <w:rsid w:val="001515EA"/>
    <w:rsid w:val="001539DE"/>
    <w:rsid w:val="00153C13"/>
    <w:rsid w:val="00156236"/>
    <w:rsid w:val="00156941"/>
    <w:rsid w:val="00157B6C"/>
    <w:rsid w:val="00157ED8"/>
    <w:rsid w:val="00160CA6"/>
    <w:rsid w:val="0016175A"/>
    <w:rsid w:val="00161CA6"/>
    <w:rsid w:val="00164778"/>
    <w:rsid w:val="00164794"/>
    <w:rsid w:val="00164906"/>
    <w:rsid w:val="0016537F"/>
    <w:rsid w:val="001656B7"/>
    <w:rsid w:val="00165927"/>
    <w:rsid w:val="00166C7F"/>
    <w:rsid w:val="00167BCB"/>
    <w:rsid w:val="00167F45"/>
    <w:rsid w:val="0017063F"/>
    <w:rsid w:val="00171196"/>
    <w:rsid w:val="001714F9"/>
    <w:rsid w:val="00172399"/>
    <w:rsid w:val="00172712"/>
    <w:rsid w:val="00173AA1"/>
    <w:rsid w:val="0017524E"/>
    <w:rsid w:val="00175A9B"/>
    <w:rsid w:val="001764B2"/>
    <w:rsid w:val="00180860"/>
    <w:rsid w:val="00180DA9"/>
    <w:rsid w:val="001865B5"/>
    <w:rsid w:val="001868B6"/>
    <w:rsid w:val="00186900"/>
    <w:rsid w:val="00186B5F"/>
    <w:rsid w:val="001901CB"/>
    <w:rsid w:val="00190993"/>
    <w:rsid w:val="00190B89"/>
    <w:rsid w:val="00190F86"/>
    <w:rsid w:val="0019216A"/>
    <w:rsid w:val="001937BA"/>
    <w:rsid w:val="00194B1C"/>
    <w:rsid w:val="00194CD8"/>
    <w:rsid w:val="001954B5"/>
    <w:rsid w:val="00196B7B"/>
    <w:rsid w:val="001A0816"/>
    <w:rsid w:val="001A12A7"/>
    <w:rsid w:val="001A14DE"/>
    <w:rsid w:val="001A1E98"/>
    <w:rsid w:val="001A348D"/>
    <w:rsid w:val="001A3F97"/>
    <w:rsid w:val="001A45A3"/>
    <w:rsid w:val="001A4793"/>
    <w:rsid w:val="001A534D"/>
    <w:rsid w:val="001A5805"/>
    <w:rsid w:val="001A6579"/>
    <w:rsid w:val="001A7ECE"/>
    <w:rsid w:val="001B1825"/>
    <w:rsid w:val="001B21B7"/>
    <w:rsid w:val="001B23B1"/>
    <w:rsid w:val="001B272D"/>
    <w:rsid w:val="001B3D71"/>
    <w:rsid w:val="001B3D7B"/>
    <w:rsid w:val="001B4831"/>
    <w:rsid w:val="001B5147"/>
    <w:rsid w:val="001C4B05"/>
    <w:rsid w:val="001C58C5"/>
    <w:rsid w:val="001C5901"/>
    <w:rsid w:val="001C5ACB"/>
    <w:rsid w:val="001C5D9D"/>
    <w:rsid w:val="001C69EB"/>
    <w:rsid w:val="001C7305"/>
    <w:rsid w:val="001D1C06"/>
    <w:rsid w:val="001D2786"/>
    <w:rsid w:val="001D486F"/>
    <w:rsid w:val="001D6DFB"/>
    <w:rsid w:val="001E05B1"/>
    <w:rsid w:val="001E0830"/>
    <w:rsid w:val="001E3CC4"/>
    <w:rsid w:val="001E3DE7"/>
    <w:rsid w:val="001E4519"/>
    <w:rsid w:val="001E4E96"/>
    <w:rsid w:val="001E61ED"/>
    <w:rsid w:val="001E627B"/>
    <w:rsid w:val="001E674A"/>
    <w:rsid w:val="001E6CA7"/>
    <w:rsid w:val="001E6D3B"/>
    <w:rsid w:val="001E7BF2"/>
    <w:rsid w:val="001F03B7"/>
    <w:rsid w:val="001F03FB"/>
    <w:rsid w:val="001F09A5"/>
    <w:rsid w:val="001F1094"/>
    <w:rsid w:val="001F11AC"/>
    <w:rsid w:val="001F1B7E"/>
    <w:rsid w:val="001F1BC0"/>
    <w:rsid w:val="001F1BD8"/>
    <w:rsid w:val="001F2A96"/>
    <w:rsid w:val="001F4177"/>
    <w:rsid w:val="001F4BB0"/>
    <w:rsid w:val="001F5193"/>
    <w:rsid w:val="001F7CF1"/>
    <w:rsid w:val="00200C1A"/>
    <w:rsid w:val="002022CD"/>
    <w:rsid w:val="00202F00"/>
    <w:rsid w:val="00203C4B"/>
    <w:rsid w:val="00203CB8"/>
    <w:rsid w:val="002050C5"/>
    <w:rsid w:val="002053FB"/>
    <w:rsid w:val="00206836"/>
    <w:rsid w:val="00211668"/>
    <w:rsid w:val="00213D43"/>
    <w:rsid w:val="00217362"/>
    <w:rsid w:val="00220187"/>
    <w:rsid w:val="00220DD9"/>
    <w:rsid w:val="00224C9F"/>
    <w:rsid w:val="002258B5"/>
    <w:rsid w:val="00226596"/>
    <w:rsid w:val="00226867"/>
    <w:rsid w:val="002273CC"/>
    <w:rsid w:val="00227AB4"/>
    <w:rsid w:val="00227B93"/>
    <w:rsid w:val="0023519F"/>
    <w:rsid w:val="0023715A"/>
    <w:rsid w:val="002375DD"/>
    <w:rsid w:val="0023792B"/>
    <w:rsid w:val="0024115F"/>
    <w:rsid w:val="00241AF7"/>
    <w:rsid w:val="00243DA6"/>
    <w:rsid w:val="00244CBA"/>
    <w:rsid w:val="00246A05"/>
    <w:rsid w:val="002471DC"/>
    <w:rsid w:val="00247D86"/>
    <w:rsid w:val="002502BE"/>
    <w:rsid w:val="00250B7A"/>
    <w:rsid w:val="00250D48"/>
    <w:rsid w:val="0025187D"/>
    <w:rsid w:val="00251DB7"/>
    <w:rsid w:val="002520FF"/>
    <w:rsid w:val="00252721"/>
    <w:rsid w:val="00252A58"/>
    <w:rsid w:val="00253897"/>
    <w:rsid w:val="00254725"/>
    <w:rsid w:val="00254E28"/>
    <w:rsid w:val="00255EF2"/>
    <w:rsid w:val="00256037"/>
    <w:rsid w:val="002566AD"/>
    <w:rsid w:val="002568C5"/>
    <w:rsid w:val="00262692"/>
    <w:rsid w:val="00262F9E"/>
    <w:rsid w:val="002639E6"/>
    <w:rsid w:val="00264CCC"/>
    <w:rsid w:val="002662D4"/>
    <w:rsid w:val="00267BAE"/>
    <w:rsid w:val="0027012F"/>
    <w:rsid w:val="002709B1"/>
    <w:rsid w:val="00271DE3"/>
    <w:rsid w:val="00271F27"/>
    <w:rsid w:val="00272FCC"/>
    <w:rsid w:val="002737EE"/>
    <w:rsid w:val="00274BFA"/>
    <w:rsid w:val="00275853"/>
    <w:rsid w:val="00276D8A"/>
    <w:rsid w:val="00277436"/>
    <w:rsid w:val="002803CD"/>
    <w:rsid w:val="00280ED8"/>
    <w:rsid w:val="00281C3B"/>
    <w:rsid w:val="00281D42"/>
    <w:rsid w:val="00282DDC"/>
    <w:rsid w:val="00283E3B"/>
    <w:rsid w:val="002849F8"/>
    <w:rsid w:val="002869A5"/>
    <w:rsid w:val="00286D1A"/>
    <w:rsid w:val="002876A7"/>
    <w:rsid w:val="002919E0"/>
    <w:rsid w:val="00291A31"/>
    <w:rsid w:val="00292444"/>
    <w:rsid w:val="00292576"/>
    <w:rsid w:val="002926D6"/>
    <w:rsid w:val="00292B76"/>
    <w:rsid w:val="00292F2C"/>
    <w:rsid w:val="0029348A"/>
    <w:rsid w:val="0029410A"/>
    <w:rsid w:val="00294563"/>
    <w:rsid w:val="00294C59"/>
    <w:rsid w:val="00294FAE"/>
    <w:rsid w:val="00296FA1"/>
    <w:rsid w:val="002971EC"/>
    <w:rsid w:val="002A0303"/>
    <w:rsid w:val="002A174C"/>
    <w:rsid w:val="002A218E"/>
    <w:rsid w:val="002A23FB"/>
    <w:rsid w:val="002A2FDA"/>
    <w:rsid w:val="002A376C"/>
    <w:rsid w:val="002A3F6F"/>
    <w:rsid w:val="002A4712"/>
    <w:rsid w:val="002B2623"/>
    <w:rsid w:val="002B27EB"/>
    <w:rsid w:val="002B2988"/>
    <w:rsid w:val="002B2CD0"/>
    <w:rsid w:val="002B3D48"/>
    <w:rsid w:val="002C14AA"/>
    <w:rsid w:val="002C1F5B"/>
    <w:rsid w:val="002C2041"/>
    <w:rsid w:val="002C3256"/>
    <w:rsid w:val="002C3673"/>
    <w:rsid w:val="002C387F"/>
    <w:rsid w:val="002C3E38"/>
    <w:rsid w:val="002C3EE6"/>
    <w:rsid w:val="002C7633"/>
    <w:rsid w:val="002C7ACF"/>
    <w:rsid w:val="002D1FB2"/>
    <w:rsid w:val="002D3145"/>
    <w:rsid w:val="002D356A"/>
    <w:rsid w:val="002D4E3C"/>
    <w:rsid w:val="002D7531"/>
    <w:rsid w:val="002E05D2"/>
    <w:rsid w:val="002E3690"/>
    <w:rsid w:val="002E4501"/>
    <w:rsid w:val="002E459B"/>
    <w:rsid w:val="002E4F1A"/>
    <w:rsid w:val="002E5F68"/>
    <w:rsid w:val="002E7899"/>
    <w:rsid w:val="002E7FCC"/>
    <w:rsid w:val="002F2606"/>
    <w:rsid w:val="002F2F52"/>
    <w:rsid w:val="002F46AC"/>
    <w:rsid w:val="002F5F38"/>
    <w:rsid w:val="002F609B"/>
    <w:rsid w:val="002F7C98"/>
    <w:rsid w:val="0030004D"/>
    <w:rsid w:val="0030127E"/>
    <w:rsid w:val="003018DA"/>
    <w:rsid w:val="003021E0"/>
    <w:rsid w:val="00302859"/>
    <w:rsid w:val="00302F7F"/>
    <w:rsid w:val="00303ADB"/>
    <w:rsid w:val="00305E5B"/>
    <w:rsid w:val="00307702"/>
    <w:rsid w:val="0031031E"/>
    <w:rsid w:val="00311134"/>
    <w:rsid w:val="00314670"/>
    <w:rsid w:val="003149BC"/>
    <w:rsid w:val="00314B7C"/>
    <w:rsid w:val="00315B43"/>
    <w:rsid w:val="00321877"/>
    <w:rsid w:val="00321C82"/>
    <w:rsid w:val="003221D5"/>
    <w:rsid w:val="003235B7"/>
    <w:rsid w:val="00325238"/>
    <w:rsid w:val="00325800"/>
    <w:rsid w:val="00326207"/>
    <w:rsid w:val="00330027"/>
    <w:rsid w:val="00331CD3"/>
    <w:rsid w:val="00331E73"/>
    <w:rsid w:val="00332C75"/>
    <w:rsid w:val="003336F8"/>
    <w:rsid w:val="003339B7"/>
    <w:rsid w:val="003343F8"/>
    <w:rsid w:val="00334810"/>
    <w:rsid w:val="00335DAC"/>
    <w:rsid w:val="003362FA"/>
    <w:rsid w:val="00343F18"/>
    <w:rsid w:val="00345B39"/>
    <w:rsid w:val="00346EF7"/>
    <w:rsid w:val="00347CA5"/>
    <w:rsid w:val="00347D42"/>
    <w:rsid w:val="00350F3A"/>
    <w:rsid w:val="00351792"/>
    <w:rsid w:val="003530B2"/>
    <w:rsid w:val="003553B4"/>
    <w:rsid w:val="00356864"/>
    <w:rsid w:val="00357BB7"/>
    <w:rsid w:val="00360467"/>
    <w:rsid w:val="00361083"/>
    <w:rsid w:val="003610CC"/>
    <w:rsid w:val="003622C4"/>
    <w:rsid w:val="00364B93"/>
    <w:rsid w:val="00364B99"/>
    <w:rsid w:val="00364C82"/>
    <w:rsid w:val="00366186"/>
    <w:rsid w:val="0036644D"/>
    <w:rsid w:val="00366864"/>
    <w:rsid w:val="00372D09"/>
    <w:rsid w:val="00373CDD"/>
    <w:rsid w:val="003742A5"/>
    <w:rsid w:val="00374310"/>
    <w:rsid w:val="00374651"/>
    <w:rsid w:val="003762BC"/>
    <w:rsid w:val="00377219"/>
    <w:rsid w:val="00380291"/>
    <w:rsid w:val="00381499"/>
    <w:rsid w:val="00381B57"/>
    <w:rsid w:val="0038257F"/>
    <w:rsid w:val="003828AA"/>
    <w:rsid w:val="00383E65"/>
    <w:rsid w:val="0038432A"/>
    <w:rsid w:val="00384B6D"/>
    <w:rsid w:val="00384D76"/>
    <w:rsid w:val="0038629F"/>
    <w:rsid w:val="00390FA6"/>
    <w:rsid w:val="00391707"/>
    <w:rsid w:val="00392528"/>
    <w:rsid w:val="00394F07"/>
    <w:rsid w:val="00394FBD"/>
    <w:rsid w:val="00396BC7"/>
    <w:rsid w:val="00397B4A"/>
    <w:rsid w:val="003A1B5D"/>
    <w:rsid w:val="003A4817"/>
    <w:rsid w:val="003A5966"/>
    <w:rsid w:val="003A5BC4"/>
    <w:rsid w:val="003B0018"/>
    <w:rsid w:val="003B0497"/>
    <w:rsid w:val="003B061C"/>
    <w:rsid w:val="003B07A1"/>
    <w:rsid w:val="003B08D8"/>
    <w:rsid w:val="003B2DE2"/>
    <w:rsid w:val="003B315E"/>
    <w:rsid w:val="003B45F8"/>
    <w:rsid w:val="003B467A"/>
    <w:rsid w:val="003B59AD"/>
    <w:rsid w:val="003B7835"/>
    <w:rsid w:val="003B7D82"/>
    <w:rsid w:val="003B7DF0"/>
    <w:rsid w:val="003C0257"/>
    <w:rsid w:val="003C110B"/>
    <w:rsid w:val="003C3897"/>
    <w:rsid w:val="003C4183"/>
    <w:rsid w:val="003C51AD"/>
    <w:rsid w:val="003C5712"/>
    <w:rsid w:val="003C642D"/>
    <w:rsid w:val="003C7633"/>
    <w:rsid w:val="003D06FC"/>
    <w:rsid w:val="003D0DB2"/>
    <w:rsid w:val="003D2022"/>
    <w:rsid w:val="003D2433"/>
    <w:rsid w:val="003D2A77"/>
    <w:rsid w:val="003D4297"/>
    <w:rsid w:val="003D4587"/>
    <w:rsid w:val="003D5794"/>
    <w:rsid w:val="003D663C"/>
    <w:rsid w:val="003D78C9"/>
    <w:rsid w:val="003E0C39"/>
    <w:rsid w:val="003E2B20"/>
    <w:rsid w:val="003E369D"/>
    <w:rsid w:val="003E3C45"/>
    <w:rsid w:val="003E4570"/>
    <w:rsid w:val="003E6D77"/>
    <w:rsid w:val="003E750C"/>
    <w:rsid w:val="003F0231"/>
    <w:rsid w:val="003F171A"/>
    <w:rsid w:val="003F226D"/>
    <w:rsid w:val="003F2FB5"/>
    <w:rsid w:val="003F3BC6"/>
    <w:rsid w:val="003F720D"/>
    <w:rsid w:val="00401CAE"/>
    <w:rsid w:val="00401ED9"/>
    <w:rsid w:val="004023BF"/>
    <w:rsid w:val="0040262C"/>
    <w:rsid w:val="00402C98"/>
    <w:rsid w:val="00402DAD"/>
    <w:rsid w:val="004044D6"/>
    <w:rsid w:val="00405B33"/>
    <w:rsid w:val="00406EB0"/>
    <w:rsid w:val="00407645"/>
    <w:rsid w:val="00407DAD"/>
    <w:rsid w:val="00410B64"/>
    <w:rsid w:val="004115C9"/>
    <w:rsid w:val="004137BF"/>
    <w:rsid w:val="0041444C"/>
    <w:rsid w:val="00414C33"/>
    <w:rsid w:val="004150FD"/>
    <w:rsid w:val="00421A1E"/>
    <w:rsid w:val="00423E3C"/>
    <w:rsid w:val="00423FB7"/>
    <w:rsid w:val="00425D48"/>
    <w:rsid w:val="00426C08"/>
    <w:rsid w:val="00427C88"/>
    <w:rsid w:val="0043113B"/>
    <w:rsid w:val="00431154"/>
    <w:rsid w:val="004315BB"/>
    <w:rsid w:val="0043215E"/>
    <w:rsid w:val="004325AE"/>
    <w:rsid w:val="00432A66"/>
    <w:rsid w:val="004332D1"/>
    <w:rsid w:val="004333E9"/>
    <w:rsid w:val="0043369F"/>
    <w:rsid w:val="00434EE8"/>
    <w:rsid w:val="0043563B"/>
    <w:rsid w:val="00435B60"/>
    <w:rsid w:val="0043625C"/>
    <w:rsid w:val="00440E0C"/>
    <w:rsid w:val="0044109C"/>
    <w:rsid w:val="004412FE"/>
    <w:rsid w:val="00441931"/>
    <w:rsid w:val="00442576"/>
    <w:rsid w:val="00443145"/>
    <w:rsid w:val="00443996"/>
    <w:rsid w:val="00443E7E"/>
    <w:rsid w:val="0044467A"/>
    <w:rsid w:val="00445D1D"/>
    <w:rsid w:val="0044681B"/>
    <w:rsid w:val="00447F59"/>
    <w:rsid w:val="00451B27"/>
    <w:rsid w:val="00451C05"/>
    <w:rsid w:val="00451C2B"/>
    <w:rsid w:val="00452C2F"/>
    <w:rsid w:val="00453210"/>
    <w:rsid w:val="0046084E"/>
    <w:rsid w:val="00461700"/>
    <w:rsid w:val="00461BE8"/>
    <w:rsid w:val="0046510E"/>
    <w:rsid w:val="0046539A"/>
    <w:rsid w:val="004654B2"/>
    <w:rsid w:val="00466085"/>
    <w:rsid w:val="00466EA9"/>
    <w:rsid w:val="00466F00"/>
    <w:rsid w:val="00467F48"/>
    <w:rsid w:val="0047047D"/>
    <w:rsid w:val="00472018"/>
    <w:rsid w:val="004736CF"/>
    <w:rsid w:val="004742F3"/>
    <w:rsid w:val="004759A0"/>
    <w:rsid w:val="004759C5"/>
    <w:rsid w:val="004761CB"/>
    <w:rsid w:val="00476A5E"/>
    <w:rsid w:val="004802FD"/>
    <w:rsid w:val="00481A53"/>
    <w:rsid w:val="00482165"/>
    <w:rsid w:val="004827A5"/>
    <w:rsid w:val="004830B6"/>
    <w:rsid w:val="00484026"/>
    <w:rsid w:val="00484500"/>
    <w:rsid w:val="00484900"/>
    <w:rsid w:val="004870E4"/>
    <w:rsid w:val="00487982"/>
    <w:rsid w:val="004931BE"/>
    <w:rsid w:val="00493520"/>
    <w:rsid w:val="00493DAE"/>
    <w:rsid w:val="00494959"/>
    <w:rsid w:val="00495AAD"/>
    <w:rsid w:val="00496C30"/>
    <w:rsid w:val="0049722E"/>
    <w:rsid w:val="00497EBA"/>
    <w:rsid w:val="004A0309"/>
    <w:rsid w:val="004A16F9"/>
    <w:rsid w:val="004A21A6"/>
    <w:rsid w:val="004A25FF"/>
    <w:rsid w:val="004A2DAE"/>
    <w:rsid w:val="004A61DF"/>
    <w:rsid w:val="004A68AD"/>
    <w:rsid w:val="004A6950"/>
    <w:rsid w:val="004A734E"/>
    <w:rsid w:val="004B0A8E"/>
    <w:rsid w:val="004B1F4E"/>
    <w:rsid w:val="004B2AF3"/>
    <w:rsid w:val="004B2C14"/>
    <w:rsid w:val="004B4A7D"/>
    <w:rsid w:val="004B5157"/>
    <w:rsid w:val="004B5D63"/>
    <w:rsid w:val="004B62E5"/>
    <w:rsid w:val="004B7082"/>
    <w:rsid w:val="004C216C"/>
    <w:rsid w:val="004C307A"/>
    <w:rsid w:val="004C30B3"/>
    <w:rsid w:val="004C4E7D"/>
    <w:rsid w:val="004C4EB7"/>
    <w:rsid w:val="004C5F1B"/>
    <w:rsid w:val="004C6F12"/>
    <w:rsid w:val="004D1D93"/>
    <w:rsid w:val="004D3086"/>
    <w:rsid w:val="004D326E"/>
    <w:rsid w:val="004D4C3A"/>
    <w:rsid w:val="004E0B8F"/>
    <w:rsid w:val="004E11B8"/>
    <w:rsid w:val="004E3AE8"/>
    <w:rsid w:val="004E4C67"/>
    <w:rsid w:val="004E5979"/>
    <w:rsid w:val="004E683D"/>
    <w:rsid w:val="004E7FAD"/>
    <w:rsid w:val="004F114A"/>
    <w:rsid w:val="004F316E"/>
    <w:rsid w:val="004F429E"/>
    <w:rsid w:val="004F4500"/>
    <w:rsid w:val="004F459D"/>
    <w:rsid w:val="004F4E81"/>
    <w:rsid w:val="004F56E4"/>
    <w:rsid w:val="00500017"/>
    <w:rsid w:val="005011E4"/>
    <w:rsid w:val="00501C44"/>
    <w:rsid w:val="00501D11"/>
    <w:rsid w:val="00502C13"/>
    <w:rsid w:val="00502D30"/>
    <w:rsid w:val="00503137"/>
    <w:rsid w:val="005035D7"/>
    <w:rsid w:val="00503A46"/>
    <w:rsid w:val="00503A88"/>
    <w:rsid w:val="00505B27"/>
    <w:rsid w:val="00507907"/>
    <w:rsid w:val="005104A9"/>
    <w:rsid w:val="0051088F"/>
    <w:rsid w:val="00511202"/>
    <w:rsid w:val="00511294"/>
    <w:rsid w:val="00511A35"/>
    <w:rsid w:val="00515FAD"/>
    <w:rsid w:val="00517F0B"/>
    <w:rsid w:val="00520190"/>
    <w:rsid w:val="00520334"/>
    <w:rsid w:val="005210CF"/>
    <w:rsid w:val="005237B9"/>
    <w:rsid w:val="005246F3"/>
    <w:rsid w:val="005247CB"/>
    <w:rsid w:val="005264F3"/>
    <w:rsid w:val="00526AD4"/>
    <w:rsid w:val="005278A5"/>
    <w:rsid w:val="00527AAA"/>
    <w:rsid w:val="00530011"/>
    <w:rsid w:val="00530165"/>
    <w:rsid w:val="005304B1"/>
    <w:rsid w:val="00530F87"/>
    <w:rsid w:val="00531006"/>
    <w:rsid w:val="0053102B"/>
    <w:rsid w:val="005311BF"/>
    <w:rsid w:val="00531678"/>
    <w:rsid w:val="005351DE"/>
    <w:rsid w:val="005361D4"/>
    <w:rsid w:val="00537765"/>
    <w:rsid w:val="00537A12"/>
    <w:rsid w:val="00537FA1"/>
    <w:rsid w:val="00541638"/>
    <w:rsid w:val="00541914"/>
    <w:rsid w:val="00541DF8"/>
    <w:rsid w:val="00542ABD"/>
    <w:rsid w:val="005435A6"/>
    <w:rsid w:val="00545340"/>
    <w:rsid w:val="0054632E"/>
    <w:rsid w:val="00547177"/>
    <w:rsid w:val="00547F38"/>
    <w:rsid w:val="00547FD3"/>
    <w:rsid w:val="005501D2"/>
    <w:rsid w:val="00550616"/>
    <w:rsid w:val="00552CC9"/>
    <w:rsid w:val="00554163"/>
    <w:rsid w:val="00554A1A"/>
    <w:rsid w:val="0055505B"/>
    <w:rsid w:val="005556A1"/>
    <w:rsid w:val="00556F68"/>
    <w:rsid w:val="00556FC9"/>
    <w:rsid w:val="005574E2"/>
    <w:rsid w:val="00561577"/>
    <w:rsid w:val="005616AC"/>
    <w:rsid w:val="005618D4"/>
    <w:rsid w:val="005620A8"/>
    <w:rsid w:val="00562854"/>
    <w:rsid w:val="0056332E"/>
    <w:rsid w:val="00564060"/>
    <w:rsid w:val="0056473B"/>
    <w:rsid w:val="00565957"/>
    <w:rsid w:val="005674A2"/>
    <w:rsid w:val="00570229"/>
    <w:rsid w:val="00570D75"/>
    <w:rsid w:val="005712D7"/>
    <w:rsid w:val="00571338"/>
    <w:rsid w:val="0057309A"/>
    <w:rsid w:val="005731A4"/>
    <w:rsid w:val="0057628E"/>
    <w:rsid w:val="005762F4"/>
    <w:rsid w:val="005768B2"/>
    <w:rsid w:val="0057690E"/>
    <w:rsid w:val="005837DB"/>
    <w:rsid w:val="0058470C"/>
    <w:rsid w:val="0058703C"/>
    <w:rsid w:val="005871DB"/>
    <w:rsid w:val="00590233"/>
    <w:rsid w:val="00592168"/>
    <w:rsid w:val="00592466"/>
    <w:rsid w:val="00592472"/>
    <w:rsid w:val="005935D1"/>
    <w:rsid w:val="00594F20"/>
    <w:rsid w:val="005965A8"/>
    <w:rsid w:val="00596B10"/>
    <w:rsid w:val="005972A7"/>
    <w:rsid w:val="005A0E68"/>
    <w:rsid w:val="005A160B"/>
    <w:rsid w:val="005A351F"/>
    <w:rsid w:val="005A429D"/>
    <w:rsid w:val="005A50BF"/>
    <w:rsid w:val="005A610D"/>
    <w:rsid w:val="005B22E1"/>
    <w:rsid w:val="005B427D"/>
    <w:rsid w:val="005B6DC1"/>
    <w:rsid w:val="005B715C"/>
    <w:rsid w:val="005B7B68"/>
    <w:rsid w:val="005B7EBA"/>
    <w:rsid w:val="005C03F7"/>
    <w:rsid w:val="005C1097"/>
    <w:rsid w:val="005C1537"/>
    <w:rsid w:val="005C1902"/>
    <w:rsid w:val="005C1FBA"/>
    <w:rsid w:val="005C3062"/>
    <w:rsid w:val="005C37A4"/>
    <w:rsid w:val="005C624E"/>
    <w:rsid w:val="005C657F"/>
    <w:rsid w:val="005C6D5A"/>
    <w:rsid w:val="005C71D7"/>
    <w:rsid w:val="005C7C79"/>
    <w:rsid w:val="005C7F5F"/>
    <w:rsid w:val="005D1103"/>
    <w:rsid w:val="005D1238"/>
    <w:rsid w:val="005D1CE0"/>
    <w:rsid w:val="005D1E1E"/>
    <w:rsid w:val="005D2469"/>
    <w:rsid w:val="005D292D"/>
    <w:rsid w:val="005D3099"/>
    <w:rsid w:val="005D3DC0"/>
    <w:rsid w:val="005E0975"/>
    <w:rsid w:val="005E0CB3"/>
    <w:rsid w:val="005E3A39"/>
    <w:rsid w:val="005E4390"/>
    <w:rsid w:val="005E610B"/>
    <w:rsid w:val="005E716D"/>
    <w:rsid w:val="005F3155"/>
    <w:rsid w:val="005F4509"/>
    <w:rsid w:val="005F6D99"/>
    <w:rsid w:val="005F6EF1"/>
    <w:rsid w:val="00600242"/>
    <w:rsid w:val="00601D67"/>
    <w:rsid w:val="00601DF8"/>
    <w:rsid w:val="00602AAC"/>
    <w:rsid w:val="00603EAA"/>
    <w:rsid w:val="00604422"/>
    <w:rsid w:val="006045DA"/>
    <w:rsid w:val="00605D5B"/>
    <w:rsid w:val="00605F00"/>
    <w:rsid w:val="006063B5"/>
    <w:rsid w:val="00611624"/>
    <w:rsid w:val="006153F8"/>
    <w:rsid w:val="00615CEE"/>
    <w:rsid w:val="00616539"/>
    <w:rsid w:val="00616553"/>
    <w:rsid w:val="0061768B"/>
    <w:rsid w:val="00617CDD"/>
    <w:rsid w:val="00617F29"/>
    <w:rsid w:val="00621B65"/>
    <w:rsid w:val="006225D8"/>
    <w:rsid w:val="00623EEF"/>
    <w:rsid w:val="00624750"/>
    <w:rsid w:val="00625DFE"/>
    <w:rsid w:val="0062682D"/>
    <w:rsid w:val="006274F1"/>
    <w:rsid w:val="00630475"/>
    <w:rsid w:val="006325D3"/>
    <w:rsid w:val="00633002"/>
    <w:rsid w:val="00633760"/>
    <w:rsid w:val="00633AFF"/>
    <w:rsid w:val="00634E86"/>
    <w:rsid w:val="006353E1"/>
    <w:rsid w:val="00635A73"/>
    <w:rsid w:val="00635AD8"/>
    <w:rsid w:val="006365AB"/>
    <w:rsid w:val="006366A9"/>
    <w:rsid w:val="006378F1"/>
    <w:rsid w:val="0064095D"/>
    <w:rsid w:val="00640C34"/>
    <w:rsid w:val="00641210"/>
    <w:rsid w:val="00641D9F"/>
    <w:rsid w:val="00643D63"/>
    <w:rsid w:val="00644651"/>
    <w:rsid w:val="00645014"/>
    <w:rsid w:val="00647E10"/>
    <w:rsid w:val="0065077A"/>
    <w:rsid w:val="00652991"/>
    <w:rsid w:val="00652ED9"/>
    <w:rsid w:val="006536EF"/>
    <w:rsid w:val="00653FBE"/>
    <w:rsid w:val="00654339"/>
    <w:rsid w:val="00655947"/>
    <w:rsid w:val="00661C55"/>
    <w:rsid w:val="00663DA7"/>
    <w:rsid w:val="00666C57"/>
    <w:rsid w:val="0066717D"/>
    <w:rsid w:val="006709C4"/>
    <w:rsid w:val="00671AFD"/>
    <w:rsid w:val="00672742"/>
    <w:rsid w:val="00673EDA"/>
    <w:rsid w:val="00673F35"/>
    <w:rsid w:val="0067407A"/>
    <w:rsid w:val="006757CE"/>
    <w:rsid w:val="00676675"/>
    <w:rsid w:val="00680201"/>
    <w:rsid w:val="0068053A"/>
    <w:rsid w:val="00680BC2"/>
    <w:rsid w:val="00680DE3"/>
    <w:rsid w:val="00682BCA"/>
    <w:rsid w:val="00682F28"/>
    <w:rsid w:val="0068454F"/>
    <w:rsid w:val="0068492A"/>
    <w:rsid w:val="00684954"/>
    <w:rsid w:val="00685533"/>
    <w:rsid w:val="00686C33"/>
    <w:rsid w:val="00686F49"/>
    <w:rsid w:val="00687743"/>
    <w:rsid w:val="00687AF9"/>
    <w:rsid w:val="006905A4"/>
    <w:rsid w:val="00691129"/>
    <w:rsid w:val="00691E01"/>
    <w:rsid w:val="006A1782"/>
    <w:rsid w:val="006A33C9"/>
    <w:rsid w:val="006A5532"/>
    <w:rsid w:val="006A5718"/>
    <w:rsid w:val="006A683C"/>
    <w:rsid w:val="006B138F"/>
    <w:rsid w:val="006B28A6"/>
    <w:rsid w:val="006B28C2"/>
    <w:rsid w:val="006B2EDD"/>
    <w:rsid w:val="006B3B62"/>
    <w:rsid w:val="006B440B"/>
    <w:rsid w:val="006B55C5"/>
    <w:rsid w:val="006B5EE7"/>
    <w:rsid w:val="006B7712"/>
    <w:rsid w:val="006C299F"/>
    <w:rsid w:val="006C33BE"/>
    <w:rsid w:val="006C3AE5"/>
    <w:rsid w:val="006C53F9"/>
    <w:rsid w:val="006C5839"/>
    <w:rsid w:val="006C5A64"/>
    <w:rsid w:val="006C617D"/>
    <w:rsid w:val="006C64C9"/>
    <w:rsid w:val="006C7709"/>
    <w:rsid w:val="006D0563"/>
    <w:rsid w:val="006D242F"/>
    <w:rsid w:val="006D24C7"/>
    <w:rsid w:val="006D3728"/>
    <w:rsid w:val="006D4868"/>
    <w:rsid w:val="006D4D8F"/>
    <w:rsid w:val="006D4F14"/>
    <w:rsid w:val="006E1837"/>
    <w:rsid w:val="006E2917"/>
    <w:rsid w:val="006E32C4"/>
    <w:rsid w:val="006E4204"/>
    <w:rsid w:val="006E46D1"/>
    <w:rsid w:val="006E487B"/>
    <w:rsid w:val="006E6486"/>
    <w:rsid w:val="006E6490"/>
    <w:rsid w:val="006E71BA"/>
    <w:rsid w:val="006E78B8"/>
    <w:rsid w:val="006F132E"/>
    <w:rsid w:val="006F1A44"/>
    <w:rsid w:val="006F1B60"/>
    <w:rsid w:val="006F2A90"/>
    <w:rsid w:val="006F571A"/>
    <w:rsid w:val="0070038B"/>
    <w:rsid w:val="00700BCB"/>
    <w:rsid w:val="00702D35"/>
    <w:rsid w:val="00703052"/>
    <w:rsid w:val="00704576"/>
    <w:rsid w:val="00705035"/>
    <w:rsid w:val="00705864"/>
    <w:rsid w:val="00707DB3"/>
    <w:rsid w:val="00707E90"/>
    <w:rsid w:val="00710AFC"/>
    <w:rsid w:val="007122A9"/>
    <w:rsid w:val="00712FFA"/>
    <w:rsid w:val="00713067"/>
    <w:rsid w:val="00713219"/>
    <w:rsid w:val="0071399F"/>
    <w:rsid w:val="00713AFA"/>
    <w:rsid w:val="00714559"/>
    <w:rsid w:val="00714613"/>
    <w:rsid w:val="00714D57"/>
    <w:rsid w:val="00716453"/>
    <w:rsid w:val="00716763"/>
    <w:rsid w:val="00716F47"/>
    <w:rsid w:val="007222E5"/>
    <w:rsid w:val="00723E03"/>
    <w:rsid w:val="00724217"/>
    <w:rsid w:val="00725A3B"/>
    <w:rsid w:val="00726E4E"/>
    <w:rsid w:val="00727078"/>
    <w:rsid w:val="007271E9"/>
    <w:rsid w:val="00730277"/>
    <w:rsid w:val="00731154"/>
    <w:rsid w:val="007314DC"/>
    <w:rsid w:val="0073338E"/>
    <w:rsid w:val="007333B1"/>
    <w:rsid w:val="00734935"/>
    <w:rsid w:val="00734B5E"/>
    <w:rsid w:val="007378A5"/>
    <w:rsid w:val="00740853"/>
    <w:rsid w:val="00740CC7"/>
    <w:rsid w:val="0074114A"/>
    <w:rsid w:val="00741CD1"/>
    <w:rsid w:val="007427B8"/>
    <w:rsid w:val="00742C25"/>
    <w:rsid w:val="007434E7"/>
    <w:rsid w:val="007441B0"/>
    <w:rsid w:val="00745F28"/>
    <w:rsid w:val="0074719F"/>
    <w:rsid w:val="00750C13"/>
    <w:rsid w:val="00751BB9"/>
    <w:rsid w:val="007530B8"/>
    <w:rsid w:val="00753C35"/>
    <w:rsid w:val="007546AE"/>
    <w:rsid w:val="007553B7"/>
    <w:rsid w:val="00755F3D"/>
    <w:rsid w:val="00756FD9"/>
    <w:rsid w:val="007575A1"/>
    <w:rsid w:val="00760706"/>
    <w:rsid w:val="00760B74"/>
    <w:rsid w:val="00763416"/>
    <w:rsid w:val="00763FBB"/>
    <w:rsid w:val="00764626"/>
    <w:rsid w:val="00765F50"/>
    <w:rsid w:val="00766115"/>
    <w:rsid w:val="00766195"/>
    <w:rsid w:val="00766363"/>
    <w:rsid w:val="00766ADC"/>
    <w:rsid w:val="007670D4"/>
    <w:rsid w:val="00767E55"/>
    <w:rsid w:val="007737F7"/>
    <w:rsid w:val="00773AA6"/>
    <w:rsid w:val="00774FEA"/>
    <w:rsid w:val="00775883"/>
    <w:rsid w:val="00775E3E"/>
    <w:rsid w:val="0077698C"/>
    <w:rsid w:val="00776E64"/>
    <w:rsid w:val="00776F9A"/>
    <w:rsid w:val="00780506"/>
    <w:rsid w:val="00780905"/>
    <w:rsid w:val="007814A6"/>
    <w:rsid w:val="00781960"/>
    <w:rsid w:val="007821D3"/>
    <w:rsid w:val="00782FF3"/>
    <w:rsid w:val="0078352B"/>
    <w:rsid w:val="007846C8"/>
    <w:rsid w:val="00784D87"/>
    <w:rsid w:val="00785DD1"/>
    <w:rsid w:val="007864CB"/>
    <w:rsid w:val="007864F0"/>
    <w:rsid w:val="00786789"/>
    <w:rsid w:val="00786BC4"/>
    <w:rsid w:val="00787039"/>
    <w:rsid w:val="00787229"/>
    <w:rsid w:val="0079028A"/>
    <w:rsid w:val="00790661"/>
    <w:rsid w:val="00790925"/>
    <w:rsid w:val="0079108E"/>
    <w:rsid w:val="00791D45"/>
    <w:rsid w:val="00791F88"/>
    <w:rsid w:val="00792DA3"/>
    <w:rsid w:val="007937BC"/>
    <w:rsid w:val="007937CF"/>
    <w:rsid w:val="00794D5F"/>
    <w:rsid w:val="00795052"/>
    <w:rsid w:val="007952B8"/>
    <w:rsid w:val="00795603"/>
    <w:rsid w:val="00796EF2"/>
    <w:rsid w:val="00797A79"/>
    <w:rsid w:val="007A2F04"/>
    <w:rsid w:val="007A385F"/>
    <w:rsid w:val="007A4C2A"/>
    <w:rsid w:val="007A55BD"/>
    <w:rsid w:val="007A5B75"/>
    <w:rsid w:val="007A6053"/>
    <w:rsid w:val="007A6BC0"/>
    <w:rsid w:val="007A765A"/>
    <w:rsid w:val="007A7DC5"/>
    <w:rsid w:val="007B0418"/>
    <w:rsid w:val="007B0FA6"/>
    <w:rsid w:val="007B141A"/>
    <w:rsid w:val="007B14B1"/>
    <w:rsid w:val="007B392D"/>
    <w:rsid w:val="007B3A7B"/>
    <w:rsid w:val="007B4174"/>
    <w:rsid w:val="007B42F4"/>
    <w:rsid w:val="007B502E"/>
    <w:rsid w:val="007B606C"/>
    <w:rsid w:val="007C0010"/>
    <w:rsid w:val="007C038A"/>
    <w:rsid w:val="007C2BCC"/>
    <w:rsid w:val="007C2FFE"/>
    <w:rsid w:val="007C4C06"/>
    <w:rsid w:val="007C605D"/>
    <w:rsid w:val="007C6435"/>
    <w:rsid w:val="007C65A2"/>
    <w:rsid w:val="007C69ED"/>
    <w:rsid w:val="007D07B1"/>
    <w:rsid w:val="007D1C4E"/>
    <w:rsid w:val="007D2293"/>
    <w:rsid w:val="007D3791"/>
    <w:rsid w:val="007D505B"/>
    <w:rsid w:val="007D5720"/>
    <w:rsid w:val="007D6603"/>
    <w:rsid w:val="007D6AC6"/>
    <w:rsid w:val="007D6FEA"/>
    <w:rsid w:val="007E3D79"/>
    <w:rsid w:val="007E3DDD"/>
    <w:rsid w:val="007E53D6"/>
    <w:rsid w:val="007E63DB"/>
    <w:rsid w:val="007E75CE"/>
    <w:rsid w:val="007E7C00"/>
    <w:rsid w:val="007F2471"/>
    <w:rsid w:val="007F5713"/>
    <w:rsid w:val="007F7407"/>
    <w:rsid w:val="0080016F"/>
    <w:rsid w:val="00800287"/>
    <w:rsid w:val="00800BDF"/>
    <w:rsid w:val="008011AA"/>
    <w:rsid w:val="00801937"/>
    <w:rsid w:val="00802879"/>
    <w:rsid w:val="00802DC6"/>
    <w:rsid w:val="00803A25"/>
    <w:rsid w:val="00803BDC"/>
    <w:rsid w:val="00803F5C"/>
    <w:rsid w:val="0080444F"/>
    <w:rsid w:val="008048CB"/>
    <w:rsid w:val="00805BC8"/>
    <w:rsid w:val="00806101"/>
    <w:rsid w:val="00807697"/>
    <w:rsid w:val="00807BA3"/>
    <w:rsid w:val="00811E75"/>
    <w:rsid w:val="00811EFF"/>
    <w:rsid w:val="00812236"/>
    <w:rsid w:val="00813480"/>
    <w:rsid w:val="00813C03"/>
    <w:rsid w:val="00814EED"/>
    <w:rsid w:val="008157D6"/>
    <w:rsid w:val="00817161"/>
    <w:rsid w:val="00822359"/>
    <w:rsid w:val="00823DD7"/>
    <w:rsid w:val="00824C09"/>
    <w:rsid w:val="00825626"/>
    <w:rsid w:val="00825C3E"/>
    <w:rsid w:val="00826319"/>
    <w:rsid w:val="008309F0"/>
    <w:rsid w:val="00830B89"/>
    <w:rsid w:val="00835C25"/>
    <w:rsid w:val="00836195"/>
    <w:rsid w:val="008361F0"/>
    <w:rsid w:val="0083713E"/>
    <w:rsid w:val="00837148"/>
    <w:rsid w:val="00840C96"/>
    <w:rsid w:val="008426C4"/>
    <w:rsid w:val="0084283B"/>
    <w:rsid w:val="00842B46"/>
    <w:rsid w:val="00842F62"/>
    <w:rsid w:val="00844BFA"/>
    <w:rsid w:val="00844E23"/>
    <w:rsid w:val="008458C5"/>
    <w:rsid w:val="00846BB2"/>
    <w:rsid w:val="00847477"/>
    <w:rsid w:val="008500DA"/>
    <w:rsid w:val="0085013C"/>
    <w:rsid w:val="0085211F"/>
    <w:rsid w:val="00853183"/>
    <w:rsid w:val="00853DBB"/>
    <w:rsid w:val="008552EE"/>
    <w:rsid w:val="00855919"/>
    <w:rsid w:val="00856226"/>
    <w:rsid w:val="00856FAA"/>
    <w:rsid w:val="00857938"/>
    <w:rsid w:val="0086061B"/>
    <w:rsid w:val="00860AA0"/>
    <w:rsid w:val="00860B50"/>
    <w:rsid w:val="0086152E"/>
    <w:rsid w:val="00861C33"/>
    <w:rsid w:val="00862F1E"/>
    <w:rsid w:val="00863129"/>
    <w:rsid w:val="00863AFA"/>
    <w:rsid w:val="00864016"/>
    <w:rsid w:val="008641B6"/>
    <w:rsid w:val="00864E57"/>
    <w:rsid w:val="0086523B"/>
    <w:rsid w:val="0086614D"/>
    <w:rsid w:val="0086650D"/>
    <w:rsid w:val="00870116"/>
    <w:rsid w:val="008706AA"/>
    <w:rsid w:val="008720A3"/>
    <w:rsid w:val="00872D11"/>
    <w:rsid w:val="00873298"/>
    <w:rsid w:val="0087381A"/>
    <w:rsid w:val="0087403F"/>
    <w:rsid w:val="00874C83"/>
    <w:rsid w:val="008757AB"/>
    <w:rsid w:val="00876136"/>
    <w:rsid w:val="00876226"/>
    <w:rsid w:val="008808CF"/>
    <w:rsid w:val="008810CD"/>
    <w:rsid w:val="008822A4"/>
    <w:rsid w:val="00882AE6"/>
    <w:rsid w:val="00882E20"/>
    <w:rsid w:val="008842A0"/>
    <w:rsid w:val="00884940"/>
    <w:rsid w:val="00885B19"/>
    <w:rsid w:val="008866DA"/>
    <w:rsid w:val="00886E57"/>
    <w:rsid w:val="008872C4"/>
    <w:rsid w:val="00891ADA"/>
    <w:rsid w:val="00892BD4"/>
    <w:rsid w:val="008930F6"/>
    <w:rsid w:val="008931E4"/>
    <w:rsid w:val="0089474F"/>
    <w:rsid w:val="008956DF"/>
    <w:rsid w:val="0089581B"/>
    <w:rsid w:val="00895C8F"/>
    <w:rsid w:val="008A0618"/>
    <w:rsid w:val="008A0AE5"/>
    <w:rsid w:val="008A0D96"/>
    <w:rsid w:val="008A149F"/>
    <w:rsid w:val="008A1543"/>
    <w:rsid w:val="008A3025"/>
    <w:rsid w:val="008A4298"/>
    <w:rsid w:val="008A56CD"/>
    <w:rsid w:val="008A605B"/>
    <w:rsid w:val="008A6369"/>
    <w:rsid w:val="008A6BE6"/>
    <w:rsid w:val="008A6F27"/>
    <w:rsid w:val="008A7116"/>
    <w:rsid w:val="008B01B5"/>
    <w:rsid w:val="008B1913"/>
    <w:rsid w:val="008B2C4B"/>
    <w:rsid w:val="008B464B"/>
    <w:rsid w:val="008B53EA"/>
    <w:rsid w:val="008B5F8A"/>
    <w:rsid w:val="008B7149"/>
    <w:rsid w:val="008B7FAC"/>
    <w:rsid w:val="008C0BE3"/>
    <w:rsid w:val="008C259F"/>
    <w:rsid w:val="008C2607"/>
    <w:rsid w:val="008C28A2"/>
    <w:rsid w:val="008C6199"/>
    <w:rsid w:val="008C7590"/>
    <w:rsid w:val="008C790E"/>
    <w:rsid w:val="008C7A8E"/>
    <w:rsid w:val="008C7FB6"/>
    <w:rsid w:val="008D1426"/>
    <w:rsid w:val="008D252B"/>
    <w:rsid w:val="008D2939"/>
    <w:rsid w:val="008D2B59"/>
    <w:rsid w:val="008D3469"/>
    <w:rsid w:val="008D3764"/>
    <w:rsid w:val="008D3AE5"/>
    <w:rsid w:val="008D3B87"/>
    <w:rsid w:val="008D5601"/>
    <w:rsid w:val="008D5CAF"/>
    <w:rsid w:val="008D5E6D"/>
    <w:rsid w:val="008D75CB"/>
    <w:rsid w:val="008E1065"/>
    <w:rsid w:val="008E3C0C"/>
    <w:rsid w:val="008E4099"/>
    <w:rsid w:val="008F0690"/>
    <w:rsid w:val="008F08B3"/>
    <w:rsid w:val="008F10C2"/>
    <w:rsid w:val="008F11FC"/>
    <w:rsid w:val="008F300C"/>
    <w:rsid w:val="008F3597"/>
    <w:rsid w:val="008F71CD"/>
    <w:rsid w:val="009001E1"/>
    <w:rsid w:val="00900D8E"/>
    <w:rsid w:val="00901FE1"/>
    <w:rsid w:val="00902BA0"/>
    <w:rsid w:val="00902D60"/>
    <w:rsid w:val="009030E4"/>
    <w:rsid w:val="009032D6"/>
    <w:rsid w:val="00903432"/>
    <w:rsid w:val="00904BCB"/>
    <w:rsid w:val="00904F42"/>
    <w:rsid w:val="00906B62"/>
    <w:rsid w:val="00906B6C"/>
    <w:rsid w:val="00907D51"/>
    <w:rsid w:val="009109A9"/>
    <w:rsid w:val="00910E57"/>
    <w:rsid w:val="00910FAA"/>
    <w:rsid w:val="00911513"/>
    <w:rsid w:val="009119CD"/>
    <w:rsid w:val="00912C88"/>
    <w:rsid w:val="00915B3E"/>
    <w:rsid w:val="00915E30"/>
    <w:rsid w:val="009161D3"/>
    <w:rsid w:val="00917004"/>
    <w:rsid w:val="00917618"/>
    <w:rsid w:val="00917C8F"/>
    <w:rsid w:val="00923892"/>
    <w:rsid w:val="00924627"/>
    <w:rsid w:val="00926681"/>
    <w:rsid w:val="00926B5A"/>
    <w:rsid w:val="00926D31"/>
    <w:rsid w:val="009272B9"/>
    <w:rsid w:val="00933365"/>
    <w:rsid w:val="009333EC"/>
    <w:rsid w:val="00934B45"/>
    <w:rsid w:val="00937EB5"/>
    <w:rsid w:val="009408A0"/>
    <w:rsid w:val="00942B51"/>
    <w:rsid w:val="0094325F"/>
    <w:rsid w:val="00943F71"/>
    <w:rsid w:val="009471AF"/>
    <w:rsid w:val="009504DC"/>
    <w:rsid w:val="00953059"/>
    <w:rsid w:val="0095431B"/>
    <w:rsid w:val="00955955"/>
    <w:rsid w:val="00956A31"/>
    <w:rsid w:val="00956A51"/>
    <w:rsid w:val="00956F76"/>
    <w:rsid w:val="00957A2B"/>
    <w:rsid w:val="0096171A"/>
    <w:rsid w:val="00961766"/>
    <w:rsid w:val="009640F0"/>
    <w:rsid w:val="00964CE6"/>
    <w:rsid w:val="00965544"/>
    <w:rsid w:val="0096757F"/>
    <w:rsid w:val="0096773D"/>
    <w:rsid w:val="009714DD"/>
    <w:rsid w:val="0097164B"/>
    <w:rsid w:val="00971BA3"/>
    <w:rsid w:val="00972628"/>
    <w:rsid w:val="009727F3"/>
    <w:rsid w:val="00972913"/>
    <w:rsid w:val="00972F8A"/>
    <w:rsid w:val="00973664"/>
    <w:rsid w:val="009749F2"/>
    <w:rsid w:val="00974AD9"/>
    <w:rsid w:val="00975261"/>
    <w:rsid w:val="00975EDE"/>
    <w:rsid w:val="00980937"/>
    <w:rsid w:val="00980AC1"/>
    <w:rsid w:val="00981D82"/>
    <w:rsid w:val="00981E80"/>
    <w:rsid w:val="009829E5"/>
    <w:rsid w:val="00983DFF"/>
    <w:rsid w:val="00984963"/>
    <w:rsid w:val="00984EE5"/>
    <w:rsid w:val="00985510"/>
    <w:rsid w:val="00986306"/>
    <w:rsid w:val="0098685B"/>
    <w:rsid w:val="009870F2"/>
    <w:rsid w:val="009916CF"/>
    <w:rsid w:val="00992371"/>
    <w:rsid w:val="0099404C"/>
    <w:rsid w:val="00994C08"/>
    <w:rsid w:val="00996A17"/>
    <w:rsid w:val="009972EC"/>
    <w:rsid w:val="00997D8C"/>
    <w:rsid w:val="009A0D83"/>
    <w:rsid w:val="009A1BBD"/>
    <w:rsid w:val="009A2C7B"/>
    <w:rsid w:val="009A360D"/>
    <w:rsid w:val="009A4449"/>
    <w:rsid w:val="009A489C"/>
    <w:rsid w:val="009A5C46"/>
    <w:rsid w:val="009A7080"/>
    <w:rsid w:val="009B0B38"/>
    <w:rsid w:val="009B2127"/>
    <w:rsid w:val="009B733C"/>
    <w:rsid w:val="009C1227"/>
    <w:rsid w:val="009C1289"/>
    <w:rsid w:val="009C2A83"/>
    <w:rsid w:val="009C344C"/>
    <w:rsid w:val="009C53CD"/>
    <w:rsid w:val="009C5966"/>
    <w:rsid w:val="009C5A02"/>
    <w:rsid w:val="009C5AB5"/>
    <w:rsid w:val="009C6017"/>
    <w:rsid w:val="009C67A3"/>
    <w:rsid w:val="009C690C"/>
    <w:rsid w:val="009C6DF6"/>
    <w:rsid w:val="009C7CAD"/>
    <w:rsid w:val="009D05E9"/>
    <w:rsid w:val="009D170F"/>
    <w:rsid w:val="009D1AFE"/>
    <w:rsid w:val="009D3C5D"/>
    <w:rsid w:val="009D6019"/>
    <w:rsid w:val="009D6BFD"/>
    <w:rsid w:val="009D737F"/>
    <w:rsid w:val="009E0FC2"/>
    <w:rsid w:val="009E111F"/>
    <w:rsid w:val="009E4ABF"/>
    <w:rsid w:val="009E55D3"/>
    <w:rsid w:val="009E6594"/>
    <w:rsid w:val="009E6961"/>
    <w:rsid w:val="009F0A87"/>
    <w:rsid w:val="009F0AE6"/>
    <w:rsid w:val="009F1664"/>
    <w:rsid w:val="009F6515"/>
    <w:rsid w:val="009F6766"/>
    <w:rsid w:val="009F6D5B"/>
    <w:rsid w:val="009F7081"/>
    <w:rsid w:val="009F742E"/>
    <w:rsid w:val="00A00862"/>
    <w:rsid w:val="00A017F5"/>
    <w:rsid w:val="00A02014"/>
    <w:rsid w:val="00A02110"/>
    <w:rsid w:val="00A02EEC"/>
    <w:rsid w:val="00A03597"/>
    <w:rsid w:val="00A03D35"/>
    <w:rsid w:val="00A10451"/>
    <w:rsid w:val="00A13233"/>
    <w:rsid w:val="00A138B9"/>
    <w:rsid w:val="00A1393F"/>
    <w:rsid w:val="00A14E55"/>
    <w:rsid w:val="00A15656"/>
    <w:rsid w:val="00A156FB"/>
    <w:rsid w:val="00A158E7"/>
    <w:rsid w:val="00A16AAB"/>
    <w:rsid w:val="00A1750D"/>
    <w:rsid w:val="00A2020A"/>
    <w:rsid w:val="00A203F9"/>
    <w:rsid w:val="00A20900"/>
    <w:rsid w:val="00A21E2B"/>
    <w:rsid w:val="00A220B8"/>
    <w:rsid w:val="00A2271D"/>
    <w:rsid w:val="00A25351"/>
    <w:rsid w:val="00A257B2"/>
    <w:rsid w:val="00A26E5E"/>
    <w:rsid w:val="00A27F71"/>
    <w:rsid w:val="00A313AE"/>
    <w:rsid w:val="00A322F1"/>
    <w:rsid w:val="00A32616"/>
    <w:rsid w:val="00A32BD9"/>
    <w:rsid w:val="00A33242"/>
    <w:rsid w:val="00A33B96"/>
    <w:rsid w:val="00A34619"/>
    <w:rsid w:val="00A35560"/>
    <w:rsid w:val="00A42538"/>
    <w:rsid w:val="00A42CA8"/>
    <w:rsid w:val="00A4303E"/>
    <w:rsid w:val="00A44292"/>
    <w:rsid w:val="00A442AE"/>
    <w:rsid w:val="00A44430"/>
    <w:rsid w:val="00A4546C"/>
    <w:rsid w:val="00A45CD0"/>
    <w:rsid w:val="00A4643B"/>
    <w:rsid w:val="00A47680"/>
    <w:rsid w:val="00A50990"/>
    <w:rsid w:val="00A52DE4"/>
    <w:rsid w:val="00A539CF"/>
    <w:rsid w:val="00A545D3"/>
    <w:rsid w:val="00A56365"/>
    <w:rsid w:val="00A579F9"/>
    <w:rsid w:val="00A6007F"/>
    <w:rsid w:val="00A618F7"/>
    <w:rsid w:val="00A625DD"/>
    <w:rsid w:val="00A64061"/>
    <w:rsid w:val="00A6530F"/>
    <w:rsid w:val="00A70AC4"/>
    <w:rsid w:val="00A721F0"/>
    <w:rsid w:val="00A72B62"/>
    <w:rsid w:val="00A73105"/>
    <w:rsid w:val="00A75029"/>
    <w:rsid w:val="00A755FA"/>
    <w:rsid w:val="00A75B5B"/>
    <w:rsid w:val="00A802C8"/>
    <w:rsid w:val="00A80F37"/>
    <w:rsid w:val="00A81370"/>
    <w:rsid w:val="00A81D03"/>
    <w:rsid w:val="00A82EBB"/>
    <w:rsid w:val="00A852F6"/>
    <w:rsid w:val="00A86659"/>
    <w:rsid w:val="00A86E4C"/>
    <w:rsid w:val="00A91743"/>
    <w:rsid w:val="00A91756"/>
    <w:rsid w:val="00A92701"/>
    <w:rsid w:val="00A92B13"/>
    <w:rsid w:val="00A931F3"/>
    <w:rsid w:val="00A95912"/>
    <w:rsid w:val="00A97C95"/>
    <w:rsid w:val="00AA0C55"/>
    <w:rsid w:val="00AA16E4"/>
    <w:rsid w:val="00AA47A5"/>
    <w:rsid w:val="00AA4EB1"/>
    <w:rsid w:val="00AA5A17"/>
    <w:rsid w:val="00AA5F30"/>
    <w:rsid w:val="00AA6DC6"/>
    <w:rsid w:val="00AA754A"/>
    <w:rsid w:val="00AA7616"/>
    <w:rsid w:val="00AB1121"/>
    <w:rsid w:val="00AB1354"/>
    <w:rsid w:val="00AB1BC8"/>
    <w:rsid w:val="00AB43F0"/>
    <w:rsid w:val="00AB5547"/>
    <w:rsid w:val="00AC0BFA"/>
    <w:rsid w:val="00AC1096"/>
    <w:rsid w:val="00AC3EE0"/>
    <w:rsid w:val="00AC5F29"/>
    <w:rsid w:val="00AC6BE1"/>
    <w:rsid w:val="00AD17F9"/>
    <w:rsid w:val="00AD30A7"/>
    <w:rsid w:val="00AD6349"/>
    <w:rsid w:val="00AD7446"/>
    <w:rsid w:val="00AE326B"/>
    <w:rsid w:val="00AE3AE5"/>
    <w:rsid w:val="00AE513B"/>
    <w:rsid w:val="00AE5AA4"/>
    <w:rsid w:val="00AE6A69"/>
    <w:rsid w:val="00AE6C41"/>
    <w:rsid w:val="00AF096B"/>
    <w:rsid w:val="00AF09F6"/>
    <w:rsid w:val="00AF0E21"/>
    <w:rsid w:val="00AF10EE"/>
    <w:rsid w:val="00AF1A55"/>
    <w:rsid w:val="00AF2611"/>
    <w:rsid w:val="00AF4421"/>
    <w:rsid w:val="00AF4BDD"/>
    <w:rsid w:val="00AF4E6B"/>
    <w:rsid w:val="00AF5B34"/>
    <w:rsid w:val="00B00131"/>
    <w:rsid w:val="00B00214"/>
    <w:rsid w:val="00B004CD"/>
    <w:rsid w:val="00B04155"/>
    <w:rsid w:val="00B04513"/>
    <w:rsid w:val="00B046DC"/>
    <w:rsid w:val="00B052B5"/>
    <w:rsid w:val="00B05C64"/>
    <w:rsid w:val="00B06D02"/>
    <w:rsid w:val="00B10892"/>
    <w:rsid w:val="00B138A3"/>
    <w:rsid w:val="00B13A87"/>
    <w:rsid w:val="00B1438A"/>
    <w:rsid w:val="00B14FB7"/>
    <w:rsid w:val="00B15BFE"/>
    <w:rsid w:val="00B15EE1"/>
    <w:rsid w:val="00B16072"/>
    <w:rsid w:val="00B20BB8"/>
    <w:rsid w:val="00B21EB1"/>
    <w:rsid w:val="00B21EB9"/>
    <w:rsid w:val="00B2549B"/>
    <w:rsid w:val="00B25523"/>
    <w:rsid w:val="00B25874"/>
    <w:rsid w:val="00B260AC"/>
    <w:rsid w:val="00B279BC"/>
    <w:rsid w:val="00B27B08"/>
    <w:rsid w:val="00B3344D"/>
    <w:rsid w:val="00B33BBB"/>
    <w:rsid w:val="00B342FB"/>
    <w:rsid w:val="00B349B7"/>
    <w:rsid w:val="00B34D02"/>
    <w:rsid w:val="00B35457"/>
    <w:rsid w:val="00B355FC"/>
    <w:rsid w:val="00B359FF"/>
    <w:rsid w:val="00B36647"/>
    <w:rsid w:val="00B36D80"/>
    <w:rsid w:val="00B37138"/>
    <w:rsid w:val="00B3774A"/>
    <w:rsid w:val="00B37A45"/>
    <w:rsid w:val="00B40009"/>
    <w:rsid w:val="00B403D2"/>
    <w:rsid w:val="00B40520"/>
    <w:rsid w:val="00B4112A"/>
    <w:rsid w:val="00B42297"/>
    <w:rsid w:val="00B43343"/>
    <w:rsid w:val="00B43743"/>
    <w:rsid w:val="00B43AB2"/>
    <w:rsid w:val="00B4475A"/>
    <w:rsid w:val="00B45F41"/>
    <w:rsid w:val="00B46434"/>
    <w:rsid w:val="00B47559"/>
    <w:rsid w:val="00B47938"/>
    <w:rsid w:val="00B47C66"/>
    <w:rsid w:val="00B47ED7"/>
    <w:rsid w:val="00B5079D"/>
    <w:rsid w:val="00B51FE9"/>
    <w:rsid w:val="00B52102"/>
    <w:rsid w:val="00B52456"/>
    <w:rsid w:val="00B5343A"/>
    <w:rsid w:val="00B54F96"/>
    <w:rsid w:val="00B55376"/>
    <w:rsid w:val="00B564F4"/>
    <w:rsid w:val="00B569E6"/>
    <w:rsid w:val="00B56BD4"/>
    <w:rsid w:val="00B5794D"/>
    <w:rsid w:val="00B57C49"/>
    <w:rsid w:val="00B57F75"/>
    <w:rsid w:val="00B6004D"/>
    <w:rsid w:val="00B6191A"/>
    <w:rsid w:val="00B61A38"/>
    <w:rsid w:val="00B622F3"/>
    <w:rsid w:val="00B6249E"/>
    <w:rsid w:val="00B62961"/>
    <w:rsid w:val="00B642DF"/>
    <w:rsid w:val="00B64FD1"/>
    <w:rsid w:val="00B6582C"/>
    <w:rsid w:val="00B672D6"/>
    <w:rsid w:val="00B67824"/>
    <w:rsid w:val="00B709CD"/>
    <w:rsid w:val="00B70D90"/>
    <w:rsid w:val="00B72F7D"/>
    <w:rsid w:val="00B7360B"/>
    <w:rsid w:val="00B749C3"/>
    <w:rsid w:val="00B758A6"/>
    <w:rsid w:val="00B76A38"/>
    <w:rsid w:val="00B76C3C"/>
    <w:rsid w:val="00B76C62"/>
    <w:rsid w:val="00B8493C"/>
    <w:rsid w:val="00B8688D"/>
    <w:rsid w:val="00B90DBE"/>
    <w:rsid w:val="00B91A1D"/>
    <w:rsid w:val="00B91FA2"/>
    <w:rsid w:val="00B933FB"/>
    <w:rsid w:val="00B95504"/>
    <w:rsid w:val="00B95B96"/>
    <w:rsid w:val="00B9750D"/>
    <w:rsid w:val="00B97587"/>
    <w:rsid w:val="00BA1648"/>
    <w:rsid w:val="00BA1929"/>
    <w:rsid w:val="00BA2DA8"/>
    <w:rsid w:val="00BA3592"/>
    <w:rsid w:val="00BA4833"/>
    <w:rsid w:val="00BA5478"/>
    <w:rsid w:val="00BA56CA"/>
    <w:rsid w:val="00BA5BDE"/>
    <w:rsid w:val="00BA6842"/>
    <w:rsid w:val="00BA70A5"/>
    <w:rsid w:val="00BA726D"/>
    <w:rsid w:val="00BA7288"/>
    <w:rsid w:val="00BA7C8E"/>
    <w:rsid w:val="00BB011D"/>
    <w:rsid w:val="00BB0441"/>
    <w:rsid w:val="00BB1824"/>
    <w:rsid w:val="00BB2EA8"/>
    <w:rsid w:val="00BB3A51"/>
    <w:rsid w:val="00BB5373"/>
    <w:rsid w:val="00BB53BE"/>
    <w:rsid w:val="00BB664F"/>
    <w:rsid w:val="00BC1724"/>
    <w:rsid w:val="00BC1DDE"/>
    <w:rsid w:val="00BC25E9"/>
    <w:rsid w:val="00BC3E28"/>
    <w:rsid w:val="00BC4E91"/>
    <w:rsid w:val="00BC6019"/>
    <w:rsid w:val="00BC6D7B"/>
    <w:rsid w:val="00BD0187"/>
    <w:rsid w:val="00BD0306"/>
    <w:rsid w:val="00BD0490"/>
    <w:rsid w:val="00BD456D"/>
    <w:rsid w:val="00BD4FB2"/>
    <w:rsid w:val="00BE072A"/>
    <w:rsid w:val="00BE09BF"/>
    <w:rsid w:val="00BE0E27"/>
    <w:rsid w:val="00BE2519"/>
    <w:rsid w:val="00BE2F50"/>
    <w:rsid w:val="00BE34F6"/>
    <w:rsid w:val="00BE4DB5"/>
    <w:rsid w:val="00BE649F"/>
    <w:rsid w:val="00BF2010"/>
    <w:rsid w:val="00BF221A"/>
    <w:rsid w:val="00BF262E"/>
    <w:rsid w:val="00BF2695"/>
    <w:rsid w:val="00BF30FA"/>
    <w:rsid w:val="00BF67C9"/>
    <w:rsid w:val="00BF778E"/>
    <w:rsid w:val="00BF77A4"/>
    <w:rsid w:val="00BF7FB5"/>
    <w:rsid w:val="00C0196E"/>
    <w:rsid w:val="00C01BF8"/>
    <w:rsid w:val="00C02AE9"/>
    <w:rsid w:val="00C03D98"/>
    <w:rsid w:val="00C03EB0"/>
    <w:rsid w:val="00C043BC"/>
    <w:rsid w:val="00C04949"/>
    <w:rsid w:val="00C04D3D"/>
    <w:rsid w:val="00C10386"/>
    <w:rsid w:val="00C16579"/>
    <w:rsid w:val="00C17245"/>
    <w:rsid w:val="00C2079A"/>
    <w:rsid w:val="00C20A7E"/>
    <w:rsid w:val="00C20C2F"/>
    <w:rsid w:val="00C213BA"/>
    <w:rsid w:val="00C21415"/>
    <w:rsid w:val="00C226F5"/>
    <w:rsid w:val="00C22D1B"/>
    <w:rsid w:val="00C237BD"/>
    <w:rsid w:val="00C23F69"/>
    <w:rsid w:val="00C244B8"/>
    <w:rsid w:val="00C24C24"/>
    <w:rsid w:val="00C3050A"/>
    <w:rsid w:val="00C30679"/>
    <w:rsid w:val="00C30C90"/>
    <w:rsid w:val="00C32449"/>
    <w:rsid w:val="00C3278A"/>
    <w:rsid w:val="00C35406"/>
    <w:rsid w:val="00C36A4D"/>
    <w:rsid w:val="00C420EB"/>
    <w:rsid w:val="00C42BA9"/>
    <w:rsid w:val="00C4312C"/>
    <w:rsid w:val="00C43FFF"/>
    <w:rsid w:val="00C45C06"/>
    <w:rsid w:val="00C4714B"/>
    <w:rsid w:val="00C50E27"/>
    <w:rsid w:val="00C51368"/>
    <w:rsid w:val="00C51503"/>
    <w:rsid w:val="00C51AED"/>
    <w:rsid w:val="00C53152"/>
    <w:rsid w:val="00C53320"/>
    <w:rsid w:val="00C53623"/>
    <w:rsid w:val="00C5364B"/>
    <w:rsid w:val="00C54A62"/>
    <w:rsid w:val="00C5629A"/>
    <w:rsid w:val="00C572F6"/>
    <w:rsid w:val="00C57E12"/>
    <w:rsid w:val="00C60CF1"/>
    <w:rsid w:val="00C621F3"/>
    <w:rsid w:val="00C62855"/>
    <w:rsid w:val="00C62D86"/>
    <w:rsid w:val="00C66114"/>
    <w:rsid w:val="00C663BB"/>
    <w:rsid w:val="00C7074F"/>
    <w:rsid w:val="00C70A67"/>
    <w:rsid w:val="00C71F75"/>
    <w:rsid w:val="00C728C3"/>
    <w:rsid w:val="00C72FCA"/>
    <w:rsid w:val="00C762A1"/>
    <w:rsid w:val="00C7654A"/>
    <w:rsid w:val="00C76661"/>
    <w:rsid w:val="00C800A5"/>
    <w:rsid w:val="00C80988"/>
    <w:rsid w:val="00C80DA2"/>
    <w:rsid w:val="00C81619"/>
    <w:rsid w:val="00C82193"/>
    <w:rsid w:val="00C8660D"/>
    <w:rsid w:val="00C87D1D"/>
    <w:rsid w:val="00C9081E"/>
    <w:rsid w:val="00C949AA"/>
    <w:rsid w:val="00C95380"/>
    <w:rsid w:val="00C969F7"/>
    <w:rsid w:val="00C96C0B"/>
    <w:rsid w:val="00C979F2"/>
    <w:rsid w:val="00CA0393"/>
    <w:rsid w:val="00CA0FCC"/>
    <w:rsid w:val="00CA1220"/>
    <w:rsid w:val="00CA1AB4"/>
    <w:rsid w:val="00CA1E6A"/>
    <w:rsid w:val="00CA335E"/>
    <w:rsid w:val="00CA33E2"/>
    <w:rsid w:val="00CA47FA"/>
    <w:rsid w:val="00CA533F"/>
    <w:rsid w:val="00CA5489"/>
    <w:rsid w:val="00CB00BA"/>
    <w:rsid w:val="00CB0E98"/>
    <w:rsid w:val="00CB132F"/>
    <w:rsid w:val="00CB14F0"/>
    <w:rsid w:val="00CB1688"/>
    <w:rsid w:val="00CB2209"/>
    <w:rsid w:val="00CB2210"/>
    <w:rsid w:val="00CB2935"/>
    <w:rsid w:val="00CB5950"/>
    <w:rsid w:val="00CB60E3"/>
    <w:rsid w:val="00CB74A3"/>
    <w:rsid w:val="00CC09FE"/>
    <w:rsid w:val="00CC0D70"/>
    <w:rsid w:val="00CC1F26"/>
    <w:rsid w:val="00CC2090"/>
    <w:rsid w:val="00CC2A5D"/>
    <w:rsid w:val="00CC31B2"/>
    <w:rsid w:val="00CC4171"/>
    <w:rsid w:val="00CC559D"/>
    <w:rsid w:val="00CC6750"/>
    <w:rsid w:val="00CC6829"/>
    <w:rsid w:val="00CC7473"/>
    <w:rsid w:val="00CD00D7"/>
    <w:rsid w:val="00CD0A93"/>
    <w:rsid w:val="00CD11C6"/>
    <w:rsid w:val="00CD331F"/>
    <w:rsid w:val="00CD3328"/>
    <w:rsid w:val="00CD356D"/>
    <w:rsid w:val="00CD40B7"/>
    <w:rsid w:val="00CD40D3"/>
    <w:rsid w:val="00CD6D3B"/>
    <w:rsid w:val="00CD7511"/>
    <w:rsid w:val="00CD7782"/>
    <w:rsid w:val="00CE0861"/>
    <w:rsid w:val="00CE1A86"/>
    <w:rsid w:val="00CE38D3"/>
    <w:rsid w:val="00CE5418"/>
    <w:rsid w:val="00CE5B02"/>
    <w:rsid w:val="00CE5DC4"/>
    <w:rsid w:val="00CE634F"/>
    <w:rsid w:val="00CE67F4"/>
    <w:rsid w:val="00CE6E11"/>
    <w:rsid w:val="00CF1998"/>
    <w:rsid w:val="00CF5C9F"/>
    <w:rsid w:val="00CF688D"/>
    <w:rsid w:val="00D01EF4"/>
    <w:rsid w:val="00D03CD7"/>
    <w:rsid w:val="00D04E49"/>
    <w:rsid w:val="00D0696A"/>
    <w:rsid w:val="00D07B66"/>
    <w:rsid w:val="00D11706"/>
    <w:rsid w:val="00D117E6"/>
    <w:rsid w:val="00D11A3E"/>
    <w:rsid w:val="00D12DD4"/>
    <w:rsid w:val="00D1740D"/>
    <w:rsid w:val="00D1780F"/>
    <w:rsid w:val="00D20EBE"/>
    <w:rsid w:val="00D217A4"/>
    <w:rsid w:val="00D21D9D"/>
    <w:rsid w:val="00D22CFA"/>
    <w:rsid w:val="00D2377A"/>
    <w:rsid w:val="00D24821"/>
    <w:rsid w:val="00D24C6B"/>
    <w:rsid w:val="00D25563"/>
    <w:rsid w:val="00D2578B"/>
    <w:rsid w:val="00D25971"/>
    <w:rsid w:val="00D25E87"/>
    <w:rsid w:val="00D27357"/>
    <w:rsid w:val="00D32227"/>
    <w:rsid w:val="00D33873"/>
    <w:rsid w:val="00D33AB9"/>
    <w:rsid w:val="00D33CE7"/>
    <w:rsid w:val="00D3477B"/>
    <w:rsid w:val="00D348DC"/>
    <w:rsid w:val="00D36758"/>
    <w:rsid w:val="00D36A3C"/>
    <w:rsid w:val="00D40B0A"/>
    <w:rsid w:val="00D430D3"/>
    <w:rsid w:val="00D43B83"/>
    <w:rsid w:val="00D43BA6"/>
    <w:rsid w:val="00D4443E"/>
    <w:rsid w:val="00D44D7A"/>
    <w:rsid w:val="00D45643"/>
    <w:rsid w:val="00D456B9"/>
    <w:rsid w:val="00D46664"/>
    <w:rsid w:val="00D47AD0"/>
    <w:rsid w:val="00D513B1"/>
    <w:rsid w:val="00D51A02"/>
    <w:rsid w:val="00D53080"/>
    <w:rsid w:val="00D5415E"/>
    <w:rsid w:val="00D54CEE"/>
    <w:rsid w:val="00D54E58"/>
    <w:rsid w:val="00D6006D"/>
    <w:rsid w:val="00D604FA"/>
    <w:rsid w:val="00D60AD4"/>
    <w:rsid w:val="00D60BC4"/>
    <w:rsid w:val="00D625BA"/>
    <w:rsid w:val="00D63BD9"/>
    <w:rsid w:val="00D65212"/>
    <w:rsid w:val="00D65B52"/>
    <w:rsid w:val="00D66D58"/>
    <w:rsid w:val="00D70D02"/>
    <w:rsid w:val="00D70E66"/>
    <w:rsid w:val="00D71806"/>
    <w:rsid w:val="00D72DB6"/>
    <w:rsid w:val="00D72F05"/>
    <w:rsid w:val="00D74ACB"/>
    <w:rsid w:val="00D752BE"/>
    <w:rsid w:val="00D7607F"/>
    <w:rsid w:val="00D76DA6"/>
    <w:rsid w:val="00D773F6"/>
    <w:rsid w:val="00D813DC"/>
    <w:rsid w:val="00D814EA"/>
    <w:rsid w:val="00D81681"/>
    <w:rsid w:val="00D82598"/>
    <w:rsid w:val="00D83294"/>
    <w:rsid w:val="00D8509D"/>
    <w:rsid w:val="00D904E6"/>
    <w:rsid w:val="00D9119A"/>
    <w:rsid w:val="00D949DA"/>
    <w:rsid w:val="00D952E3"/>
    <w:rsid w:val="00D9533E"/>
    <w:rsid w:val="00D95C83"/>
    <w:rsid w:val="00D95D48"/>
    <w:rsid w:val="00D9733E"/>
    <w:rsid w:val="00DA0B28"/>
    <w:rsid w:val="00DA53BB"/>
    <w:rsid w:val="00DA54C9"/>
    <w:rsid w:val="00DA6296"/>
    <w:rsid w:val="00DB08EA"/>
    <w:rsid w:val="00DB19AD"/>
    <w:rsid w:val="00DB2058"/>
    <w:rsid w:val="00DB3515"/>
    <w:rsid w:val="00DB3F04"/>
    <w:rsid w:val="00DB4362"/>
    <w:rsid w:val="00DB4839"/>
    <w:rsid w:val="00DB4B68"/>
    <w:rsid w:val="00DB4E66"/>
    <w:rsid w:val="00DB71E0"/>
    <w:rsid w:val="00DC215D"/>
    <w:rsid w:val="00DC2A9D"/>
    <w:rsid w:val="00DC51B9"/>
    <w:rsid w:val="00DC6152"/>
    <w:rsid w:val="00DC7351"/>
    <w:rsid w:val="00DC7BBA"/>
    <w:rsid w:val="00DD3223"/>
    <w:rsid w:val="00DD6111"/>
    <w:rsid w:val="00DD6A74"/>
    <w:rsid w:val="00DE3850"/>
    <w:rsid w:val="00DE3BFD"/>
    <w:rsid w:val="00DE5847"/>
    <w:rsid w:val="00DE5CCD"/>
    <w:rsid w:val="00DE61AB"/>
    <w:rsid w:val="00DE6950"/>
    <w:rsid w:val="00DE76E8"/>
    <w:rsid w:val="00DE7753"/>
    <w:rsid w:val="00DE7769"/>
    <w:rsid w:val="00DE7C71"/>
    <w:rsid w:val="00DF0161"/>
    <w:rsid w:val="00DF0E9C"/>
    <w:rsid w:val="00DF250E"/>
    <w:rsid w:val="00DF3EB0"/>
    <w:rsid w:val="00DF41C4"/>
    <w:rsid w:val="00DF56C4"/>
    <w:rsid w:val="00DF5AC7"/>
    <w:rsid w:val="00E00298"/>
    <w:rsid w:val="00E00639"/>
    <w:rsid w:val="00E01B2D"/>
    <w:rsid w:val="00E04CA2"/>
    <w:rsid w:val="00E0716C"/>
    <w:rsid w:val="00E074EB"/>
    <w:rsid w:val="00E101F9"/>
    <w:rsid w:val="00E10995"/>
    <w:rsid w:val="00E110DC"/>
    <w:rsid w:val="00E117CE"/>
    <w:rsid w:val="00E12937"/>
    <w:rsid w:val="00E1404A"/>
    <w:rsid w:val="00E14107"/>
    <w:rsid w:val="00E1424B"/>
    <w:rsid w:val="00E15307"/>
    <w:rsid w:val="00E1632F"/>
    <w:rsid w:val="00E17F5F"/>
    <w:rsid w:val="00E20D55"/>
    <w:rsid w:val="00E250C2"/>
    <w:rsid w:val="00E2574F"/>
    <w:rsid w:val="00E262E8"/>
    <w:rsid w:val="00E26DF8"/>
    <w:rsid w:val="00E27090"/>
    <w:rsid w:val="00E27303"/>
    <w:rsid w:val="00E27DDE"/>
    <w:rsid w:val="00E3237C"/>
    <w:rsid w:val="00E327A3"/>
    <w:rsid w:val="00E334CE"/>
    <w:rsid w:val="00E363F8"/>
    <w:rsid w:val="00E36C58"/>
    <w:rsid w:val="00E41528"/>
    <w:rsid w:val="00E41C46"/>
    <w:rsid w:val="00E42843"/>
    <w:rsid w:val="00E42C30"/>
    <w:rsid w:val="00E50556"/>
    <w:rsid w:val="00E513CA"/>
    <w:rsid w:val="00E5307C"/>
    <w:rsid w:val="00E54039"/>
    <w:rsid w:val="00E540E3"/>
    <w:rsid w:val="00E55BD5"/>
    <w:rsid w:val="00E57A4E"/>
    <w:rsid w:val="00E602EA"/>
    <w:rsid w:val="00E6174F"/>
    <w:rsid w:val="00E61BA7"/>
    <w:rsid w:val="00E630A1"/>
    <w:rsid w:val="00E63840"/>
    <w:rsid w:val="00E63AD4"/>
    <w:rsid w:val="00E63DE5"/>
    <w:rsid w:val="00E65C74"/>
    <w:rsid w:val="00E66C98"/>
    <w:rsid w:val="00E71698"/>
    <w:rsid w:val="00E72149"/>
    <w:rsid w:val="00E72155"/>
    <w:rsid w:val="00E723D5"/>
    <w:rsid w:val="00E727D8"/>
    <w:rsid w:val="00E73139"/>
    <w:rsid w:val="00E734CF"/>
    <w:rsid w:val="00E74D24"/>
    <w:rsid w:val="00E75D25"/>
    <w:rsid w:val="00E75E50"/>
    <w:rsid w:val="00E76BC1"/>
    <w:rsid w:val="00E778B6"/>
    <w:rsid w:val="00E818F0"/>
    <w:rsid w:val="00E84318"/>
    <w:rsid w:val="00E84552"/>
    <w:rsid w:val="00E85F2F"/>
    <w:rsid w:val="00E867A0"/>
    <w:rsid w:val="00E871E0"/>
    <w:rsid w:val="00E874A9"/>
    <w:rsid w:val="00E87DB1"/>
    <w:rsid w:val="00E90B07"/>
    <w:rsid w:val="00E91B21"/>
    <w:rsid w:val="00E93799"/>
    <w:rsid w:val="00E93C73"/>
    <w:rsid w:val="00E94697"/>
    <w:rsid w:val="00E967E5"/>
    <w:rsid w:val="00EA0EC6"/>
    <w:rsid w:val="00EA1569"/>
    <w:rsid w:val="00EA19CD"/>
    <w:rsid w:val="00EA1C60"/>
    <w:rsid w:val="00EA2400"/>
    <w:rsid w:val="00EA4AA8"/>
    <w:rsid w:val="00EA5E21"/>
    <w:rsid w:val="00EA70A7"/>
    <w:rsid w:val="00EA78E3"/>
    <w:rsid w:val="00EB3285"/>
    <w:rsid w:val="00EB3916"/>
    <w:rsid w:val="00EB5BA3"/>
    <w:rsid w:val="00EB5ED7"/>
    <w:rsid w:val="00EB62B4"/>
    <w:rsid w:val="00EB6614"/>
    <w:rsid w:val="00EB6D4C"/>
    <w:rsid w:val="00EB74B3"/>
    <w:rsid w:val="00EB7841"/>
    <w:rsid w:val="00EB7A70"/>
    <w:rsid w:val="00EC1152"/>
    <w:rsid w:val="00EC13CD"/>
    <w:rsid w:val="00EC1689"/>
    <w:rsid w:val="00EC2C61"/>
    <w:rsid w:val="00EC5B21"/>
    <w:rsid w:val="00EC6E38"/>
    <w:rsid w:val="00EC7143"/>
    <w:rsid w:val="00EC77B1"/>
    <w:rsid w:val="00EC78C2"/>
    <w:rsid w:val="00ED0162"/>
    <w:rsid w:val="00ED049A"/>
    <w:rsid w:val="00ED1E14"/>
    <w:rsid w:val="00ED24C0"/>
    <w:rsid w:val="00ED25F5"/>
    <w:rsid w:val="00ED2F16"/>
    <w:rsid w:val="00ED5195"/>
    <w:rsid w:val="00ED55E2"/>
    <w:rsid w:val="00ED5B8E"/>
    <w:rsid w:val="00EE1300"/>
    <w:rsid w:val="00EE2193"/>
    <w:rsid w:val="00EE2404"/>
    <w:rsid w:val="00EE38AA"/>
    <w:rsid w:val="00EE4696"/>
    <w:rsid w:val="00EE564B"/>
    <w:rsid w:val="00EE6EC2"/>
    <w:rsid w:val="00EE7959"/>
    <w:rsid w:val="00EF1A93"/>
    <w:rsid w:val="00EF537C"/>
    <w:rsid w:val="00EF5ABC"/>
    <w:rsid w:val="00EF678C"/>
    <w:rsid w:val="00F00290"/>
    <w:rsid w:val="00F01652"/>
    <w:rsid w:val="00F0245D"/>
    <w:rsid w:val="00F02C9E"/>
    <w:rsid w:val="00F034B5"/>
    <w:rsid w:val="00F053AC"/>
    <w:rsid w:val="00F0651B"/>
    <w:rsid w:val="00F06EB7"/>
    <w:rsid w:val="00F07117"/>
    <w:rsid w:val="00F125F2"/>
    <w:rsid w:val="00F12754"/>
    <w:rsid w:val="00F13365"/>
    <w:rsid w:val="00F134AE"/>
    <w:rsid w:val="00F13647"/>
    <w:rsid w:val="00F142A0"/>
    <w:rsid w:val="00F1525B"/>
    <w:rsid w:val="00F15F56"/>
    <w:rsid w:val="00F15FCD"/>
    <w:rsid w:val="00F16BCC"/>
    <w:rsid w:val="00F204F9"/>
    <w:rsid w:val="00F2087B"/>
    <w:rsid w:val="00F20DD7"/>
    <w:rsid w:val="00F23C64"/>
    <w:rsid w:val="00F261F5"/>
    <w:rsid w:val="00F26FF2"/>
    <w:rsid w:val="00F273EF"/>
    <w:rsid w:val="00F27F0C"/>
    <w:rsid w:val="00F3017A"/>
    <w:rsid w:val="00F305F0"/>
    <w:rsid w:val="00F31181"/>
    <w:rsid w:val="00F31C7D"/>
    <w:rsid w:val="00F3503C"/>
    <w:rsid w:val="00F36EE1"/>
    <w:rsid w:val="00F36F25"/>
    <w:rsid w:val="00F3712C"/>
    <w:rsid w:val="00F3737D"/>
    <w:rsid w:val="00F41F7E"/>
    <w:rsid w:val="00F44DD3"/>
    <w:rsid w:val="00F4503D"/>
    <w:rsid w:val="00F4553F"/>
    <w:rsid w:val="00F45A38"/>
    <w:rsid w:val="00F46C12"/>
    <w:rsid w:val="00F47629"/>
    <w:rsid w:val="00F527E7"/>
    <w:rsid w:val="00F52BEF"/>
    <w:rsid w:val="00F5461B"/>
    <w:rsid w:val="00F57971"/>
    <w:rsid w:val="00F6070A"/>
    <w:rsid w:val="00F60AFF"/>
    <w:rsid w:val="00F61055"/>
    <w:rsid w:val="00F627DF"/>
    <w:rsid w:val="00F634E3"/>
    <w:rsid w:val="00F637D7"/>
    <w:rsid w:val="00F63D94"/>
    <w:rsid w:val="00F63E74"/>
    <w:rsid w:val="00F65549"/>
    <w:rsid w:val="00F66CFC"/>
    <w:rsid w:val="00F67958"/>
    <w:rsid w:val="00F7024D"/>
    <w:rsid w:val="00F7064B"/>
    <w:rsid w:val="00F713E1"/>
    <w:rsid w:val="00F722F6"/>
    <w:rsid w:val="00F74FA6"/>
    <w:rsid w:val="00F7538B"/>
    <w:rsid w:val="00F76196"/>
    <w:rsid w:val="00F76C89"/>
    <w:rsid w:val="00F76D13"/>
    <w:rsid w:val="00F81086"/>
    <w:rsid w:val="00F813C9"/>
    <w:rsid w:val="00F81780"/>
    <w:rsid w:val="00F826B8"/>
    <w:rsid w:val="00F83909"/>
    <w:rsid w:val="00F842AE"/>
    <w:rsid w:val="00F85AE7"/>
    <w:rsid w:val="00F85AF1"/>
    <w:rsid w:val="00F874AE"/>
    <w:rsid w:val="00F8783F"/>
    <w:rsid w:val="00F87C21"/>
    <w:rsid w:val="00F9006F"/>
    <w:rsid w:val="00F90655"/>
    <w:rsid w:val="00F91B9B"/>
    <w:rsid w:val="00F91DDB"/>
    <w:rsid w:val="00F923F5"/>
    <w:rsid w:val="00F9347A"/>
    <w:rsid w:val="00F94A35"/>
    <w:rsid w:val="00F958EA"/>
    <w:rsid w:val="00F96078"/>
    <w:rsid w:val="00F962B0"/>
    <w:rsid w:val="00F970D8"/>
    <w:rsid w:val="00F979E1"/>
    <w:rsid w:val="00FA01BD"/>
    <w:rsid w:val="00FA15ED"/>
    <w:rsid w:val="00FA1B79"/>
    <w:rsid w:val="00FA226E"/>
    <w:rsid w:val="00FA2D63"/>
    <w:rsid w:val="00FA2FE4"/>
    <w:rsid w:val="00FA3696"/>
    <w:rsid w:val="00FA3F8E"/>
    <w:rsid w:val="00FA3FC3"/>
    <w:rsid w:val="00FA4341"/>
    <w:rsid w:val="00FA48C7"/>
    <w:rsid w:val="00FA4B39"/>
    <w:rsid w:val="00FA4EB2"/>
    <w:rsid w:val="00FA588B"/>
    <w:rsid w:val="00FA588D"/>
    <w:rsid w:val="00FA5D5D"/>
    <w:rsid w:val="00FA6C22"/>
    <w:rsid w:val="00FA701C"/>
    <w:rsid w:val="00FA71F1"/>
    <w:rsid w:val="00FB0355"/>
    <w:rsid w:val="00FB180A"/>
    <w:rsid w:val="00FB1889"/>
    <w:rsid w:val="00FB1D6A"/>
    <w:rsid w:val="00FB3163"/>
    <w:rsid w:val="00FB3352"/>
    <w:rsid w:val="00FB3BCD"/>
    <w:rsid w:val="00FB6398"/>
    <w:rsid w:val="00FC005F"/>
    <w:rsid w:val="00FC2A98"/>
    <w:rsid w:val="00FC47C6"/>
    <w:rsid w:val="00FC5C56"/>
    <w:rsid w:val="00FC7122"/>
    <w:rsid w:val="00FC75D9"/>
    <w:rsid w:val="00FD14A1"/>
    <w:rsid w:val="00FD15C6"/>
    <w:rsid w:val="00FD1B74"/>
    <w:rsid w:val="00FD1DC0"/>
    <w:rsid w:val="00FD2309"/>
    <w:rsid w:val="00FD469C"/>
    <w:rsid w:val="00FD7ACC"/>
    <w:rsid w:val="00FD7CF5"/>
    <w:rsid w:val="00FE19BF"/>
    <w:rsid w:val="00FE2BF8"/>
    <w:rsid w:val="00FE2D83"/>
    <w:rsid w:val="00FE2DCC"/>
    <w:rsid w:val="00FE3D76"/>
    <w:rsid w:val="00FE4C66"/>
    <w:rsid w:val="00FE51F7"/>
    <w:rsid w:val="00FE6A45"/>
    <w:rsid w:val="00FE7F0E"/>
    <w:rsid w:val="00FF0A0F"/>
    <w:rsid w:val="00FF139F"/>
    <w:rsid w:val="00FF3256"/>
    <w:rsid w:val="00FF42C1"/>
    <w:rsid w:val="00FF4630"/>
    <w:rsid w:val="00FF7429"/>
    <w:rsid w:val="00FF7AA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48"/>
    <w:rPr>
      <w:sz w:val="24"/>
      <w:szCs w:val="24"/>
    </w:rPr>
  </w:style>
  <w:style w:type="paragraph" w:styleId="Nadpis1">
    <w:name w:val="heading 1"/>
    <w:basedOn w:val="Normln"/>
    <w:next w:val="Normln"/>
    <w:qFormat/>
    <w:rsid w:val="00CD11C6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autoRedefine/>
    <w:qFormat/>
    <w:rsid w:val="00FB316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qFormat/>
    <w:rsid w:val="00CD11C6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D11C6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CD11C6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D11C6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D11C6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D11C6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D11C6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D11C6"/>
    <w:rPr>
      <w:b/>
      <w:bCs/>
      <w:sz w:val="24"/>
      <w:szCs w:val="28"/>
    </w:rPr>
  </w:style>
  <w:style w:type="paragraph" w:styleId="Zkladntext">
    <w:name w:val="Body Text"/>
    <w:aliases w:val=" Char,Char"/>
    <w:basedOn w:val="Normln"/>
    <w:link w:val="ZkladntextChar1"/>
    <w:rsid w:val="002B3D48"/>
    <w:pPr>
      <w:spacing w:before="240" w:after="240"/>
      <w:jc w:val="both"/>
    </w:p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2B3D48"/>
    <w:rPr>
      <w:sz w:val="24"/>
      <w:szCs w:val="24"/>
      <w:lang w:val="cs-CZ" w:eastAsia="cs-CZ" w:bidi="ar-SA"/>
    </w:rPr>
  </w:style>
  <w:style w:type="paragraph" w:customStyle="1" w:styleId="Styltab">
    <w:name w:val="Styl tab."/>
    <w:basedOn w:val="Normln"/>
    <w:next w:val="Normln"/>
    <w:link w:val="StyltabChar"/>
    <w:autoRedefine/>
    <w:rsid w:val="00727078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727078"/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link w:val="MjtextChar"/>
    <w:rsid w:val="002B3D48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2B3D48"/>
    <w:rPr>
      <w:rFonts w:ascii="Tahoma" w:hAnsi="Tahoma" w:cs="Tahoma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2B3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EB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2B3D48"/>
  </w:style>
  <w:style w:type="paragraph" w:styleId="Zhlav">
    <w:name w:val="header"/>
    <w:basedOn w:val="Normln"/>
    <w:rsid w:val="002B3D4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D14A1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  <w:rsid w:val="004736CF"/>
    <w:pPr>
      <w:numPr>
        <w:numId w:val="3"/>
      </w:numPr>
    </w:pPr>
  </w:style>
  <w:style w:type="paragraph" w:customStyle="1" w:styleId="KUMS-text">
    <w:name w:val="KUMS-text"/>
    <w:basedOn w:val="Zkladntext"/>
    <w:rsid w:val="003610CC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B279BC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561577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0E4828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D20EBE"/>
    <w:rPr>
      <w:rFonts w:ascii="Tahoma" w:hAnsi="Tahoma" w:cs="Tahoma"/>
      <w:b w:val="0"/>
      <w:bCs/>
      <w:sz w:val="24"/>
      <w:szCs w:val="28"/>
      <w:lang w:val="cs-CZ" w:eastAsia="cs-CZ" w:bidi="ar-SA"/>
    </w:rPr>
  </w:style>
  <w:style w:type="character" w:customStyle="1" w:styleId="Char1">
    <w:name w:val="Char1"/>
    <w:basedOn w:val="Standardnpsmoodstavce"/>
    <w:rsid w:val="00D20EBE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350F3A"/>
    <w:pPr>
      <w:spacing w:before="0"/>
    </w:pPr>
  </w:style>
  <w:style w:type="character" w:customStyle="1" w:styleId="tunslovo">
    <w:name w:val="tučné slovo"/>
    <w:basedOn w:val="Standardnpsmoodstavce"/>
    <w:rsid w:val="00350F3A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350F3A"/>
    <w:rPr>
      <w:rFonts w:cs="Times New Roman"/>
    </w:rPr>
  </w:style>
  <w:style w:type="paragraph" w:customStyle="1" w:styleId="a">
    <w:basedOn w:val="Normln"/>
    <w:next w:val="Normlnweb"/>
    <w:rsid w:val="00025E9B"/>
    <w:pPr>
      <w:spacing w:before="100" w:beforeAutospacing="1" w:after="100" w:afterAutospacing="1"/>
    </w:pPr>
    <w:rPr>
      <w:rFonts w:ascii="Verdana" w:hAnsi="Verdana"/>
    </w:rPr>
  </w:style>
  <w:style w:type="paragraph" w:styleId="Normlnweb">
    <w:name w:val="Normal (Web)"/>
    <w:basedOn w:val="Normln"/>
    <w:rsid w:val="00025E9B"/>
  </w:style>
  <w:style w:type="paragraph" w:customStyle="1" w:styleId="KUMS-adresa">
    <w:name w:val="KUMS-adresa"/>
    <w:basedOn w:val="Normln"/>
    <w:rsid w:val="00D20EBE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rsid w:val="00D20EBE"/>
    <w:pPr>
      <w:spacing w:after="120" w:line="480" w:lineRule="auto"/>
    </w:pPr>
  </w:style>
  <w:style w:type="character" w:customStyle="1" w:styleId="CharChar">
    <w:name w:val="Char Char"/>
    <w:basedOn w:val="Standardnpsmoodstavce"/>
    <w:rsid w:val="00D20EBE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D20EBE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rsid w:val="00D20EBE"/>
    <w:pPr>
      <w:jc w:val="center"/>
    </w:pPr>
    <w:rPr>
      <w:b/>
      <w:bCs/>
    </w:rPr>
  </w:style>
  <w:style w:type="paragraph" w:styleId="Zkladntextodsazen3">
    <w:name w:val="Body Text Indent 3"/>
    <w:basedOn w:val="Normln"/>
    <w:rsid w:val="00D20EBE"/>
    <w:pPr>
      <w:ind w:left="36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rsid w:val="00D20EBE"/>
    <w:rPr>
      <w:sz w:val="24"/>
      <w:szCs w:val="24"/>
      <w:lang w:val="cs-CZ" w:eastAsia="cs-CZ" w:bidi="ar-SA"/>
    </w:rPr>
  </w:style>
  <w:style w:type="paragraph" w:customStyle="1" w:styleId="zkladntext1">
    <w:name w:val="základní text 1"/>
    <w:basedOn w:val="Zpat"/>
    <w:link w:val="zkladntext1Char"/>
    <w:rsid w:val="00D20EBE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D20EBE"/>
    <w:rPr>
      <w:rFonts w:cs="Arial"/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D20EBE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D20EBE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D20EBE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D20EBE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D20EBE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D20EBE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D20EBE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D20EBE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D20EBE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D20EBE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20EBE"/>
    <w:rPr>
      <w:color w:val="0000FF"/>
      <w:u w:val="single"/>
    </w:rPr>
  </w:style>
  <w:style w:type="paragraph" w:customStyle="1" w:styleId="Styl3tab">
    <w:name w:val="Styl3tab"/>
    <w:basedOn w:val="Zkladntext"/>
    <w:rsid w:val="00D20EBE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rsid w:val="00D20EBE"/>
    <w:pPr>
      <w:spacing w:after="120" w:line="480" w:lineRule="auto"/>
      <w:ind w:left="283"/>
    </w:pPr>
  </w:style>
  <w:style w:type="paragraph" w:styleId="FormtovanvHTML">
    <w:name w:val="HTML Preformatted"/>
    <w:basedOn w:val="Normln"/>
    <w:rsid w:val="006E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rsid w:val="00F90655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74FA6"/>
    <w:pPr>
      <w:spacing w:after="120"/>
      <w:ind w:left="283"/>
    </w:pPr>
  </w:style>
  <w:style w:type="character" w:customStyle="1" w:styleId="Znakypropoznmkupodarou">
    <w:name w:val="Znaky pro poznámku pod čarou"/>
    <w:basedOn w:val="Standardnpsmoodstavce"/>
    <w:rsid w:val="00F74FA6"/>
    <w:rPr>
      <w:vertAlign w:val="superscript"/>
    </w:rPr>
  </w:style>
  <w:style w:type="character" w:styleId="Siln">
    <w:name w:val="Strong"/>
    <w:basedOn w:val="Standardnpsmoodstavce"/>
    <w:qFormat/>
    <w:rsid w:val="00F74FA6"/>
    <w:rPr>
      <w:b/>
      <w:bCs/>
    </w:rPr>
  </w:style>
  <w:style w:type="paragraph" w:customStyle="1" w:styleId="Normaln">
    <w:name w:val="Normalní"/>
    <w:basedOn w:val="Normln"/>
    <w:link w:val="NormalnChar"/>
    <w:rsid w:val="00F74FA6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E36C58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172399"/>
    <w:pPr>
      <w:numPr>
        <w:numId w:val="7"/>
      </w:numPr>
    </w:pPr>
  </w:style>
  <w:style w:type="paragraph" w:customStyle="1" w:styleId="Styl2">
    <w:name w:val="Styl2"/>
    <w:basedOn w:val="Normln"/>
    <w:rsid w:val="00172399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A61DF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A61D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A61DF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semiHidden/>
    <w:rsid w:val="00A86E4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B21EB9"/>
    <w:pPr>
      <w:ind w:left="283" w:hanging="283"/>
    </w:pPr>
  </w:style>
  <w:style w:type="paragraph" w:styleId="Seznamsodrkami">
    <w:name w:val="List Bullet"/>
    <w:basedOn w:val="Normln"/>
    <w:autoRedefine/>
    <w:rsid w:val="00B21EB9"/>
    <w:pPr>
      <w:numPr>
        <w:numId w:val="5"/>
      </w:numPr>
    </w:pPr>
  </w:style>
  <w:style w:type="paragraph" w:styleId="Pokraovnseznamu">
    <w:name w:val="List Continue"/>
    <w:basedOn w:val="Normln"/>
    <w:rsid w:val="00B21EB9"/>
    <w:pPr>
      <w:spacing w:after="120"/>
      <w:ind w:left="283"/>
    </w:pPr>
  </w:style>
  <w:style w:type="paragraph" w:styleId="Textpoznpodarou">
    <w:name w:val="footnote text"/>
    <w:basedOn w:val="Normln"/>
    <w:semiHidden/>
    <w:rsid w:val="00FB180A"/>
    <w:rPr>
      <w:rFonts w:ascii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FB180A"/>
    <w:rPr>
      <w:vertAlign w:val="superscript"/>
    </w:rPr>
  </w:style>
  <w:style w:type="paragraph" w:customStyle="1" w:styleId="seznamslovan0">
    <w:name w:val="seznam číslovaný"/>
    <w:basedOn w:val="Normln"/>
    <w:rsid w:val="00860AA0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652991"/>
    <w:rPr>
      <w:sz w:val="16"/>
      <w:szCs w:val="16"/>
    </w:rPr>
  </w:style>
  <w:style w:type="paragraph" w:styleId="Textkomente">
    <w:name w:val="annotation text"/>
    <w:basedOn w:val="Normln"/>
    <w:semiHidden/>
    <w:rsid w:val="006529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2991"/>
    <w:rPr>
      <w:b/>
      <w:bCs/>
    </w:rPr>
  </w:style>
  <w:style w:type="character" w:customStyle="1" w:styleId="NormalnChar">
    <w:name w:val="Normalní Char"/>
    <w:basedOn w:val="Standardnpsmoodstavce"/>
    <w:link w:val="Normaln"/>
    <w:rsid w:val="00127465"/>
    <w:rPr>
      <w:rFonts w:ascii="Arial" w:hAnsi="Arial"/>
      <w:sz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F87C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8757AB"/>
    <w:pPr>
      <w:ind w:left="720"/>
      <w:contextualSpacing/>
    </w:pPr>
  </w:style>
  <w:style w:type="paragraph" w:customStyle="1" w:styleId="CharChar2">
    <w:name w:val="Char Char2"/>
    <w:basedOn w:val="Normln"/>
    <w:rsid w:val="00B475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5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48"/>
    <w:rPr>
      <w:sz w:val="24"/>
      <w:szCs w:val="24"/>
    </w:rPr>
  </w:style>
  <w:style w:type="paragraph" w:styleId="Nadpis1">
    <w:name w:val="heading 1"/>
    <w:basedOn w:val="Normln"/>
    <w:next w:val="Normln"/>
    <w:qFormat/>
    <w:rsid w:val="00CD11C6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autoRedefine/>
    <w:qFormat/>
    <w:rsid w:val="00FB316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qFormat/>
    <w:rsid w:val="00CD11C6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D11C6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CD11C6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D11C6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D11C6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D11C6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D11C6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D11C6"/>
    <w:rPr>
      <w:b/>
      <w:bCs/>
      <w:sz w:val="24"/>
      <w:szCs w:val="28"/>
    </w:rPr>
  </w:style>
  <w:style w:type="paragraph" w:styleId="Zkladntext">
    <w:name w:val="Body Text"/>
    <w:aliases w:val=" Char,Char"/>
    <w:basedOn w:val="Normln"/>
    <w:link w:val="ZkladntextChar1"/>
    <w:rsid w:val="002B3D48"/>
    <w:pPr>
      <w:spacing w:before="240" w:after="240"/>
      <w:jc w:val="both"/>
    </w:p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2B3D48"/>
    <w:rPr>
      <w:sz w:val="24"/>
      <w:szCs w:val="24"/>
      <w:lang w:val="cs-CZ" w:eastAsia="cs-CZ" w:bidi="ar-SA"/>
    </w:rPr>
  </w:style>
  <w:style w:type="paragraph" w:customStyle="1" w:styleId="Styltab">
    <w:name w:val="Styl tab."/>
    <w:basedOn w:val="Normln"/>
    <w:next w:val="Normln"/>
    <w:link w:val="StyltabChar"/>
    <w:autoRedefine/>
    <w:rsid w:val="00727078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727078"/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link w:val="MjtextChar"/>
    <w:rsid w:val="002B3D48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2B3D48"/>
    <w:rPr>
      <w:rFonts w:ascii="Tahoma" w:hAnsi="Tahoma" w:cs="Tahoma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2B3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EB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2B3D48"/>
  </w:style>
  <w:style w:type="paragraph" w:styleId="Zhlav">
    <w:name w:val="header"/>
    <w:basedOn w:val="Normln"/>
    <w:rsid w:val="002B3D4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D14A1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  <w:rsid w:val="004736CF"/>
    <w:pPr>
      <w:numPr>
        <w:numId w:val="3"/>
      </w:numPr>
    </w:pPr>
  </w:style>
  <w:style w:type="paragraph" w:customStyle="1" w:styleId="KUMS-text">
    <w:name w:val="KUMS-text"/>
    <w:basedOn w:val="Zkladntext"/>
    <w:rsid w:val="003610CC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B279BC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561577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0E4828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D20EBE"/>
    <w:rPr>
      <w:rFonts w:ascii="Tahoma" w:hAnsi="Tahoma" w:cs="Tahoma"/>
      <w:b w:val="0"/>
      <w:bCs/>
      <w:sz w:val="24"/>
      <w:szCs w:val="28"/>
      <w:lang w:val="cs-CZ" w:eastAsia="cs-CZ" w:bidi="ar-SA"/>
    </w:rPr>
  </w:style>
  <w:style w:type="character" w:customStyle="1" w:styleId="Char1">
    <w:name w:val="Char1"/>
    <w:basedOn w:val="Standardnpsmoodstavce"/>
    <w:rsid w:val="00D20EBE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350F3A"/>
    <w:pPr>
      <w:spacing w:before="0"/>
    </w:pPr>
  </w:style>
  <w:style w:type="character" w:customStyle="1" w:styleId="tunslovo">
    <w:name w:val="tučné slovo"/>
    <w:basedOn w:val="Standardnpsmoodstavce"/>
    <w:rsid w:val="00350F3A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350F3A"/>
    <w:rPr>
      <w:rFonts w:cs="Times New Roman"/>
    </w:rPr>
  </w:style>
  <w:style w:type="paragraph" w:customStyle="1" w:styleId="a">
    <w:basedOn w:val="Normln"/>
    <w:next w:val="Normlnweb"/>
    <w:rsid w:val="00025E9B"/>
    <w:pPr>
      <w:spacing w:before="100" w:beforeAutospacing="1" w:after="100" w:afterAutospacing="1"/>
    </w:pPr>
    <w:rPr>
      <w:rFonts w:ascii="Verdana" w:hAnsi="Verdana"/>
    </w:rPr>
  </w:style>
  <w:style w:type="paragraph" w:styleId="Normlnweb">
    <w:name w:val="Normal (Web)"/>
    <w:basedOn w:val="Normln"/>
    <w:rsid w:val="00025E9B"/>
  </w:style>
  <w:style w:type="paragraph" w:customStyle="1" w:styleId="KUMS-adresa">
    <w:name w:val="KUMS-adresa"/>
    <w:basedOn w:val="Normln"/>
    <w:rsid w:val="00D20EBE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rsid w:val="00D20EBE"/>
    <w:pPr>
      <w:spacing w:after="120" w:line="480" w:lineRule="auto"/>
    </w:pPr>
  </w:style>
  <w:style w:type="character" w:customStyle="1" w:styleId="CharChar">
    <w:name w:val="Char Char"/>
    <w:basedOn w:val="Standardnpsmoodstavce"/>
    <w:rsid w:val="00D20EBE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D20EBE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rsid w:val="00D20EBE"/>
    <w:pPr>
      <w:jc w:val="center"/>
    </w:pPr>
    <w:rPr>
      <w:b/>
      <w:bCs/>
    </w:rPr>
  </w:style>
  <w:style w:type="paragraph" w:styleId="Zkladntextodsazen3">
    <w:name w:val="Body Text Indent 3"/>
    <w:basedOn w:val="Normln"/>
    <w:rsid w:val="00D20EBE"/>
    <w:pPr>
      <w:ind w:left="36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rsid w:val="00D20EBE"/>
    <w:rPr>
      <w:sz w:val="24"/>
      <w:szCs w:val="24"/>
      <w:lang w:val="cs-CZ" w:eastAsia="cs-CZ" w:bidi="ar-SA"/>
    </w:rPr>
  </w:style>
  <w:style w:type="paragraph" w:customStyle="1" w:styleId="zkladntext1">
    <w:name w:val="základní text 1"/>
    <w:basedOn w:val="Zpat"/>
    <w:link w:val="zkladntext1Char"/>
    <w:rsid w:val="00D20EBE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D20EBE"/>
    <w:rPr>
      <w:rFonts w:cs="Arial"/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D20EBE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D20EBE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D20EBE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D20EBE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D20EBE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D20EBE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D20EBE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D20EBE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D20EBE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D20EBE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20EBE"/>
    <w:rPr>
      <w:color w:val="0000FF"/>
      <w:u w:val="single"/>
    </w:rPr>
  </w:style>
  <w:style w:type="paragraph" w:customStyle="1" w:styleId="Styl3tab">
    <w:name w:val="Styl3tab"/>
    <w:basedOn w:val="Zkladntext"/>
    <w:rsid w:val="00D20EBE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rsid w:val="00D20EBE"/>
    <w:pPr>
      <w:spacing w:after="120" w:line="480" w:lineRule="auto"/>
      <w:ind w:left="283"/>
    </w:pPr>
  </w:style>
  <w:style w:type="paragraph" w:styleId="FormtovanvHTML">
    <w:name w:val="HTML Preformatted"/>
    <w:basedOn w:val="Normln"/>
    <w:rsid w:val="006E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rsid w:val="00F90655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74FA6"/>
    <w:pPr>
      <w:spacing w:after="120"/>
      <w:ind w:left="283"/>
    </w:pPr>
  </w:style>
  <w:style w:type="character" w:customStyle="1" w:styleId="Znakypropoznmkupodarou">
    <w:name w:val="Znaky pro poznámku pod čarou"/>
    <w:basedOn w:val="Standardnpsmoodstavce"/>
    <w:rsid w:val="00F74FA6"/>
    <w:rPr>
      <w:vertAlign w:val="superscript"/>
    </w:rPr>
  </w:style>
  <w:style w:type="character" w:styleId="Siln">
    <w:name w:val="Strong"/>
    <w:basedOn w:val="Standardnpsmoodstavce"/>
    <w:qFormat/>
    <w:rsid w:val="00F74FA6"/>
    <w:rPr>
      <w:b/>
      <w:bCs/>
    </w:rPr>
  </w:style>
  <w:style w:type="paragraph" w:customStyle="1" w:styleId="Normaln">
    <w:name w:val="Normalní"/>
    <w:basedOn w:val="Normln"/>
    <w:link w:val="NormalnChar"/>
    <w:rsid w:val="00F74FA6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E36C58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172399"/>
    <w:pPr>
      <w:numPr>
        <w:numId w:val="7"/>
      </w:numPr>
    </w:pPr>
  </w:style>
  <w:style w:type="paragraph" w:customStyle="1" w:styleId="Styl2">
    <w:name w:val="Styl2"/>
    <w:basedOn w:val="Normln"/>
    <w:rsid w:val="00172399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A61DF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A61D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A61DF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semiHidden/>
    <w:rsid w:val="00A86E4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B21EB9"/>
    <w:pPr>
      <w:ind w:left="283" w:hanging="283"/>
    </w:pPr>
  </w:style>
  <w:style w:type="paragraph" w:styleId="Seznamsodrkami">
    <w:name w:val="List Bullet"/>
    <w:basedOn w:val="Normln"/>
    <w:autoRedefine/>
    <w:rsid w:val="00B21EB9"/>
    <w:pPr>
      <w:numPr>
        <w:numId w:val="5"/>
      </w:numPr>
    </w:pPr>
  </w:style>
  <w:style w:type="paragraph" w:styleId="Pokraovnseznamu">
    <w:name w:val="List Continue"/>
    <w:basedOn w:val="Normln"/>
    <w:rsid w:val="00B21EB9"/>
    <w:pPr>
      <w:spacing w:after="120"/>
      <w:ind w:left="283"/>
    </w:pPr>
  </w:style>
  <w:style w:type="paragraph" w:styleId="Textpoznpodarou">
    <w:name w:val="footnote text"/>
    <w:basedOn w:val="Normln"/>
    <w:semiHidden/>
    <w:rsid w:val="00FB180A"/>
    <w:rPr>
      <w:rFonts w:ascii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FB180A"/>
    <w:rPr>
      <w:vertAlign w:val="superscript"/>
    </w:rPr>
  </w:style>
  <w:style w:type="paragraph" w:customStyle="1" w:styleId="seznamslovan0">
    <w:name w:val="seznam číslovaný"/>
    <w:basedOn w:val="Normln"/>
    <w:rsid w:val="00860AA0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652991"/>
    <w:rPr>
      <w:sz w:val="16"/>
      <w:szCs w:val="16"/>
    </w:rPr>
  </w:style>
  <w:style w:type="paragraph" w:styleId="Textkomente">
    <w:name w:val="annotation text"/>
    <w:basedOn w:val="Normln"/>
    <w:semiHidden/>
    <w:rsid w:val="006529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2991"/>
    <w:rPr>
      <w:b/>
      <w:bCs/>
    </w:rPr>
  </w:style>
  <w:style w:type="character" w:customStyle="1" w:styleId="NormalnChar">
    <w:name w:val="Normalní Char"/>
    <w:basedOn w:val="Standardnpsmoodstavce"/>
    <w:link w:val="Normaln"/>
    <w:rsid w:val="00127465"/>
    <w:rPr>
      <w:rFonts w:ascii="Arial" w:hAnsi="Arial"/>
      <w:sz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F87C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8757AB"/>
    <w:pPr>
      <w:ind w:left="720"/>
      <w:contextualSpacing/>
    </w:pPr>
  </w:style>
  <w:style w:type="paragraph" w:customStyle="1" w:styleId="CharChar2">
    <w:name w:val="Char Char2"/>
    <w:basedOn w:val="Normln"/>
    <w:rsid w:val="00B475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00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1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F6D1-46DE-46E7-9DE1-6F1DF68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16405</Words>
  <Characters>96795</Characters>
  <Application>Microsoft Office Word</Application>
  <DocSecurity>0</DocSecurity>
  <Lines>806</Lines>
  <Paragraphs>225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KUMSK</Company>
  <LinksUpToDate>false</LinksUpToDate>
  <CharactersWithSpaces>112975</CharactersWithSpaces>
  <SharedDoc>false</SharedDoc>
  <HLinks>
    <vt:vector size="204" baseType="variant"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_Toc357072239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_Toc357072238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_Toc357072237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_Toc357072236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_Toc357072235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_Toc357072234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_Toc357072233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_Toc357072232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_Toc357072231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_Toc357072230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_Toc357072229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_Toc357072228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_Toc357072227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_Toc357072226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_Toc357072225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_Toc357072224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_Toc357072223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_Toc357072222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_Toc357072221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_Toc357072220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_Toc357072219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_Toc357072218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_Toc357072217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_Toc357072216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_Toc357072215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_Toc357072214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_Toc357072213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_Toc357072212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_Toc357072211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_Toc357072210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_Toc357072209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_Toc357072208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_Toc357072207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_Toc357072206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metelka</dc:creator>
  <cp:lastModifiedBy>Metelka Tomáš</cp:lastModifiedBy>
  <cp:revision>9</cp:revision>
  <cp:lastPrinted>2014-05-27T11:52:00Z</cp:lastPrinted>
  <dcterms:created xsi:type="dcterms:W3CDTF">2014-05-20T10:37:00Z</dcterms:created>
  <dcterms:modified xsi:type="dcterms:W3CDTF">2014-05-27T12:25:00Z</dcterms:modified>
</cp:coreProperties>
</file>