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2CA8" w:rsidRPr="00405AA6" w:rsidRDefault="00E73B91">
      <w:pPr>
        <w:spacing w:before="4400" w:after="0"/>
        <w:jc w:val="center"/>
        <w:rPr>
          <w:rFonts w:ascii="Arial" w:eastAsia="Arial" w:hAnsi="Arial" w:cs="Arial"/>
          <w:b/>
          <w:color w:val="595959" w:themeColor="text1" w:themeTint="A6"/>
          <w:sz w:val="32"/>
        </w:rPr>
      </w:pPr>
      <w:bookmarkStart w:id="0" w:name="h.gjdgxs" w:colFirst="0" w:colLast="0"/>
      <w:bookmarkEnd w:id="0"/>
      <w:r w:rsidRPr="00642480">
        <w:rPr>
          <w:rFonts w:ascii="Arial" w:eastAsia="Arial" w:hAnsi="Arial" w:cs="Arial"/>
          <w:b/>
          <w:color w:val="595959" w:themeColor="text1" w:themeTint="A6"/>
          <w:sz w:val="32"/>
        </w:rPr>
        <w:t>REGIONÁLNÍ INOVAČNÍ STRATEGIE MORAVSKOSLEZSKÉHO KRAJE 2014-2020</w:t>
      </w:r>
    </w:p>
    <w:p w:rsidR="000A2CA8" w:rsidRPr="00E25366" w:rsidRDefault="000A2CA8" w:rsidP="00E25366">
      <w:pPr>
        <w:pStyle w:val="Bezmezer"/>
        <w:rPr>
          <w:rFonts w:ascii="Arial" w:hAnsi="Arial" w:cs="Arial"/>
          <w:color w:val="595959" w:themeColor="text1" w:themeTint="A6"/>
          <w:sz w:val="32"/>
          <w:szCs w:val="32"/>
        </w:rPr>
      </w:pPr>
    </w:p>
    <w:p w:rsidR="000A2CA8" w:rsidRPr="00405AA6" w:rsidRDefault="00E73B91">
      <w:pPr>
        <w:jc w:val="center"/>
        <w:rPr>
          <w:rFonts w:ascii="Arial" w:eastAsia="Arial" w:hAnsi="Arial" w:cs="Arial"/>
          <w:b/>
          <w:color w:val="595959" w:themeColor="text1" w:themeTint="A6"/>
          <w:sz w:val="32"/>
        </w:rPr>
      </w:pPr>
      <w:r w:rsidRPr="00642480">
        <w:rPr>
          <w:rFonts w:ascii="Arial" w:eastAsia="Arial" w:hAnsi="Arial" w:cs="Arial"/>
          <w:b/>
          <w:color w:val="595959" w:themeColor="text1" w:themeTint="A6"/>
          <w:sz w:val="32"/>
        </w:rPr>
        <w:t>RIS</w:t>
      </w:r>
      <w:r w:rsidRPr="00642480">
        <w:rPr>
          <w:rFonts w:ascii="Arial" w:eastAsia="Arial" w:hAnsi="Arial" w:cs="Arial"/>
          <w:b/>
          <w:color w:val="595959" w:themeColor="text1" w:themeTint="A6"/>
          <w:sz w:val="32"/>
          <w:vertAlign w:val="superscript"/>
        </w:rPr>
        <w:t xml:space="preserve">3 </w:t>
      </w:r>
      <w:r w:rsidRPr="00642480">
        <w:rPr>
          <w:rFonts w:ascii="Arial" w:eastAsia="Arial" w:hAnsi="Arial" w:cs="Arial"/>
          <w:b/>
          <w:color w:val="595959" w:themeColor="text1" w:themeTint="A6"/>
          <w:sz w:val="32"/>
        </w:rPr>
        <w:t>MSK</w:t>
      </w:r>
    </w:p>
    <w:p w:rsidR="000A2CA8" w:rsidRPr="00405AA6" w:rsidRDefault="00E73B91">
      <w:pPr>
        <w:spacing w:before="840"/>
        <w:jc w:val="center"/>
        <w:rPr>
          <w:rFonts w:ascii="Arial" w:eastAsia="Arial" w:hAnsi="Arial" w:cs="Arial"/>
          <w:b/>
          <w:color w:val="595959" w:themeColor="text1" w:themeTint="A6"/>
          <w:sz w:val="32"/>
        </w:rPr>
      </w:pPr>
      <w:r w:rsidRPr="00642480">
        <w:rPr>
          <w:rFonts w:ascii="Arial" w:eastAsia="Arial" w:hAnsi="Arial" w:cs="Arial"/>
          <w:b/>
          <w:color w:val="595959" w:themeColor="text1" w:themeTint="A6"/>
          <w:sz w:val="32"/>
        </w:rPr>
        <w:t>AKČNÍ PLÁN 2014 - VYHODNOCENÍ</w:t>
      </w:r>
    </w:p>
    <w:p w:rsidR="000A2CA8" w:rsidRPr="00642480" w:rsidRDefault="00E73B91">
      <w:pPr>
        <w:tabs>
          <w:tab w:val="left" w:pos="284"/>
        </w:tabs>
        <w:spacing w:before="4400" w:after="0" w:line="360" w:lineRule="auto"/>
        <w:rPr>
          <w:color w:val="595959" w:themeColor="text1" w:themeTint="A6"/>
        </w:rPr>
      </w:pPr>
      <w:r w:rsidRPr="00642480">
        <w:rPr>
          <w:rFonts w:ascii="Arial" w:eastAsia="Arial" w:hAnsi="Arial" w:cs="Arial"/>
          <w:color w:val="595959" w:themeColor="text1" w:themeTint="A6"/>
        </w:rPr>
        <w:tab/>
        <w:t>Zadavatel:</w:t>
      </w:r>
      <w:r w:rsidRPr="00642480">
        <w:rPr>
          <w:rFonts w:ascii="Arial" w:eastAsia="Arial" w:hAnsi="Arial" w:cs="Arial"/>
          <w:color w:val="595959" w:themeColor="text1" w:themeTint="A6"/>
        </w:rPr>
        <w:tab/>
      </w:r>
      <w:r w:rsidRPr="00642480">
        <w:rPr>
          <w:rFonts w:ascii="Arial" w:eastAsia="Arial" w:hAnsi="Arial" w:cs="Arial"/>
          <w:color w:val="595959" w:themeColor="text1" w:themeTint="A6"/>
        </w:rPr>
        <w:tab/>
      </w:r>
      <w:r w:rsidRPr="00642480">
        <w:rPr>
          <w:rFonts w:ascii="Arial" w:eastAsia="Arial" w:hAnsi="Arial" w:cs="Arial"/>
          <w:color w:val="595959" w:themeColor="text1" w:themeTint="A6"/>
        </w:rPr>
        <w:tab/>
        <w:t>Moravskoslezský kraj</w:t>
      </w:r>
    </w:p>
    <w:p w:rsidR="000A2CA8" w:rsidRPr="00642480" w:rsidRDefault="00E73B91">
      <w:pPr>
        <w:spacing w:after="0" w:line="360" w:lineRule="auto"/>
        <w:ind w:firstLine="284"/>
        <w:rPr>
          <w:color w:val="595959" w:themeColor="text1" w:themeTint="A6"/>
        </w:rPr>
      </w:pPr>
      <w:r w:rsidRPr="00642480">
        <w:rPr>
          <w:rFonts w:ascii="Arial" w:eastAsia="Arial" w:hAnsi="Arial" w:cs="Arial"/>
          <w:color w:val="595959" w:themeColor="text1" w:themeTint="A6"/>
        </w:rPr>
        <w:t>Zpracovatel:</w:t>
      </w:r>
      <w:r w:rsidRPr="00642480">
        <w:rPr>
          <w:rFonts w:ascii="Arial" w:eastAsia="Arial" w:hAnsi="Arial" w:cs="Arial"/>
          <w:color w:val="595959" w:themeColor="text1" w:themeTint="A6"/>
        </w:rPr>
        <w:tab/>
      </w:r>
      <w:r w:rsidRPr="00642480">
        <w:rPr>
          <w:rFonts w:ascii="Arial" w:eastAsia="Arial" w:hAnsi="Arial" w:cs="Arial"/>
          <w:color w:val="595959" w:themeColor="text1" w:themeTint="A6"/>
        </w:rPr>
        <w:tab/>
        <w:t>Agentura pro regionální rozvoj, a.s.</w:t>
      </w:r>
    </w:p>
    <w:p w:rsidR="000A2CA8" w:rsidRPr="00642480" w:rsidRDefault="000A2CA8">
      <w:pPr>
        <w:spacing w:after="0" w:line="360" w:lineRule="auto"/>
        <w:ind w:firstLine="284"/>
        <w:rPr>
          <w:color w:val="595959" w:themeColor="text1" w:themeTint="A6"/>
        </w:rPr>
      </w:pPr>
    </w:p>
    <w:p w:rsidR="000A2CA8" w:rsidRPr="00642480" w:rsidRDefault="00E73B91">
      <w:pPr>
        <w:spacing w:line="360" w:lineRule="auto"/>
        <w:rPr>
          <w:color w:val="595959" w:themeColor="text1" w:themeTint="A6"/>
        </w:rPr>
      </w:pPr>
      <w:r w:rsidRPr="00642480">
        <w:rPr>
          <w:rFonts w:ascii="Arial" w:eastAsia="Arial" w:hAnsi="Arial" w:cs="Arial"/>
          <w:color w:val="595959" w:themeColor="text1" w:themeTint="A6"/>
          <w:sz w:val="24"/>
        </w:rPr>
        <w:tab/>
      </w:r>
      <w:r w:rsidRPr="00642480">
        <w:rPr>
          <w:rFonts w:ascii="Arial" w:eastAsia="Arial" w:hAnsi="Arial" w:cs="Arial"/>
          <w:color w:val="595959" w:themeColor="text1" w:themeTint="A6"/>
          <w:sz w:val="24"/>
        </w:rPr>
        <w:tab/>
      </w:r>
      <w:r w:rsidRPr="00642480">
        <w:rPr>
          <w:rFonts w:ascii="Arial" w:eastAsia="Arial" w:hAnsi="Arial" w:cs="Arial"/>
          <w:color w:val="595959" w:themeColor="text1" w:themeTint="A6"/>
          <w:sz w:val="24"/>
        </w:rPr>
        <w:tab/>
      </w:r>
      <w:r w:rsidRPr="00642480">
        <w:rPr>
          <w:rFonts w:ascii="Arial" w:eastAsia="Arial" w:hAnsi="Arial" w:cs="Arial"/>
          <w:color w:val="595959" w:themeColor="text1" w:themeTint="A6"/>
          <w:sz w:val="24"/>
        </w:rPr>
        <w:tab/>
      </w:r>
      <w:r w:rsidR="00046A1C">
        <w:rPr>
          <w:rFonts w:ascii="Arial" w:eastAsia="Arial" w:hAnsi="Arial" w:cs="Arial"/>
          <w:color w:val="595959" w:themeColor="text1" w:themeTint="A6"/>
        </w:rPr>
        <w:t>DUBEN</w:t>
      </w:r>
      <w:r w:rsidRPr="00642480">
        <w:rPr>
          <w:rFonts w:ascii="Arial" w:eastAsia="Arial" w:hAnsi="Arial" w:cs="Arial"/>
          <w:color w:val="595959" w:themeColor="text1" w:themeTint="A6"/>
        </w:rPr>
        <w:t xml:space="preserve"> 2015</w:t>
      </w:r>
    </w:p>
    <w:p w:rsidR="00E25366" w:rsidRDefault="00E25366">
      <w:pPr>
        <w:rPr>
          <w:rFonts w:ascii="Arial" w:eastAsiaTheme="minorEastAsia" w:hAnsi="Arial" w:cs="Arial"/>
          <w:b/>
          <w:color w:val="595959" w:themeColor="text1" w:themeTint="A6"/>
          <w:sz w:val="24"/>
          <w:szCs w:val="24"/>
        </w:rPr>
      </w:pPr>
    </w:p>
    <w:p w:rsidR="000A2CA8" w:rsidRDefault="00E73B91">
      <w:pPr>
        <w:rPr>
          <w:rFonts w:ascii="Arial" w:eastAsiaTheme="minorEastAsia" w:hAnsi="Arial" w:cs="Arial"/>
          <w:b/>
          <w:color w:val="595959" w:themeColor="text1" w:themeTint="A6"/>
          <w:sz w:val="24"/>
          <w:szCs w:val="24"/>
        </w:rPr>
      </w:pPr>
      <w:r w:rsidRPr="00EF6A9F">
        <w:rPr>
          <w:rFonts w:ascii="Arial" w:eastAsiaTheme="minorEastAsia" w:hAnsi="Arial" w:cs="Arial"/>
          <w:b/>
          <w:color w:val="595959" w:themeColor="text1" w:themeTint="A6"/>
          <w:sz w:val="24"/>
          <w:szCs w:val="24"/>
        </w:rPr>
        <w:lastRenderedPageBreak/>
        <w:t>OBSAH</w:t>
      </w:r>
    </w:p>
    <w:p w:rsidR="00EF6A9F" w:rsidRPr="00EF6A9F" w:rsidRDefault="00EF6A9F">
      <w:pPr>
        <w:rPr>
          <w:rFonts w:ascii="Arial" w:eastAsiaTheme="minorEastAsia" w:hAnsi="Arial" w:cs="Arial"/>
          <w:b/>
          <w:color w:val="595959" w:themeColor="text1" w:themeTint="A6"/>
          <w:sz w:val="24"/>
          <w:szCs w:val="24"/>
        </w:rPr>
      </w:pPr>
    </w:p>
    <w:p w:rsidR="00EF6A9F" w:rsidRPr="00EF6A9F" w:rsidRDefault="00EF6A9F" w:rsidP="00EF6A9F">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r>
        <w:rPr>
          <w:rStyle w:val="Hypertextovodkaz"/>
          <w:rFonts w:ascii="Arial" w:eastAsiaTheme="minorEastAsia" w:hAnsi="Arial" w:cs="Arial"/>
          <w:b/>
          <w:noProof/>
          <w:color w:val="595959" w:themeColor="text1" w:themeTint="A6"/>
          <w:sz w:val="24"/>
          <w:szCs w:val="24"/>
        </w:rPr>
        <w:fldChar w:fldCharType="begin"/>
      </w:r>
      <w:r w:rsidRPr="00EF6A9F">
        <w:rPr>
          <w:rStyle w:val="Hypertextovodkaz"/>
          <w:rFonts w:ascii="Arial" w:eastAsiaTheme="minorEastAsia" w:hAnsi="Arial" w:cs="Arial"/>
          <w:b/>
          <w:noProof/>
          <w:color w:val="595959" w:themeColor="text1" w:themeTint="A6"/>
          <w:sz w:val="24"/>
          <w:szCs w:val="24"/>
        </w:rPr>
        <w:instrText xml:space="preserve"> TOC \o "1-2" \h \z \u </w:instrText>
      </w:r>
      <w:r>
        <w:rPr>
          <w:rStyle w:val="Hypertextovodkaz"/>
          <w:rFonts w:ascii="Arial" w:eastAsiaTheme="minorEastAsia" w:hAnsi="Arial" w:cs="Arial"/>
          <w:b/>
          <w:noProof/>
          <w:color w:val="595959" w:themeColor="text1" w:themeTint="A6"/>
          <w:sz w:val="24"/>
          <w:szCs w:val="24"/>
        </w:rPr>
        <w:fldChar w:fldCharType="separate"/>
      </w:r>
      <w:hyperlink w:anchor="_Toc416179810" w:history="1">
        <w:r w:rsidRPr="00EF6A9F">
          <w:rPr>
            <w:rStyle w:val="Hypertextovodkaz"/>
            <w:rFonts w:ascii="Arial" w:eastAsiaTheme="minorEastAsia" w:hAnsi="Arial" w:cs="Arial"/>
            <w:b/>
            <w:noProof/>
            <w:color w:val="595959" w:themeColor="text1" w:themeTint="A6"/>
            <w:sz w:val="24"/>
            <w:szCs w:val="24"/>
          </w:rPr>
          <w:t>Úvod</w:t>
        </w:r>
        <w:r w:rsidRPr="00EF6A9F">
          <w:rPr>
            <w:rStyle w:val="Hypertextovodkaz"/>
            <w:rFonts w:ascii="Arial" w:eastAsiaTheme="minorEastAsia" w:hAnsi="Arial" w:cs="Arial"/>
            <w:b/>
            <w:noProof/>
            <w:webHidden/>
            <w:color w:val="595959" w:themeColor="text1" w:themeTint="A6"/>
            <w:sz w:val="24"/>
            <w:szCs w:val="24"/>
          </w:rPr>
          <w:tab/>
        </w:r>
        <w:r w:rsidRPr="00EF6A9F">
          <w:rPr>
            <w:rStyle w:val="Hypertextovodkaz"/>
            <w:rFonts w:ascii="Arial" w:eastAsiaTheme="minorEastAsia" w:hAnsi="Arial" w:cs="Arial"/>
            <w:b/>
            <w:noProof/>
            <w:webHidden/>
            <w:color w:val="595959" w:themeColor="text1" w:themeTint="A6"/>
            <w:sz w:val="24"/>
            <w:szCs w:val="24"/>
          </w:rPr>
          <w:fldChar w:fldCharType="begin"/>
        </w:r>
        <w:r w:rsidRPr="00EF6A9F">
          <w:rPr>
            <w:rStyle w:val="Hypertextovodkaz"/>
            <w:rFonts w:ascii="Arial" w:eastAsiaTheme="minorEastAsia" w:hAnsi="Arial" w:cs="Arial"/>
            <w:b/>
            <w:noProof/>
            <w:webHidden/>
            <w:color w:val="595959" w:themeColor="text1" w:themeTint="A6"/>
            <w:sz w:val="24"/>
            <w:szCs w:val="24"/>
          </w:rPr>
          <w:instrText xml:space="preserve"> PAGEREF _Toc416179810 \h </w:instrText>
        </w:r>
        <w:r w:rsidRPr="00EF6A9F">
          <w:rPr>
            <w:rStyle w:val="Hypertextovodkaz"/>
            <w:rFonts w:ascii="Arial" w:eastAsiaTheme="minorEastAsia" w:hAnsi="Arial" w:cs="Arial"/>
            <w:b/>
            <w:noProof/>
            <w:webHidden/>
            <w:color w:val="595959" w:themeColor="text1" w:themeTint="A6"/>
            <w:sz w:val="24"/>
            <w:szCs w:val="24"/>
          </w:rPr>
        </w:r>
        <w:r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3</w:t>
        </w:r>
        <w:r w:rsidRPr="00EF6A9F">
          <w:rPr>
            <w:rStyle w:val="Hypertextovodkaz"/>
            <w:rFonts w:ascii="Arial" w:eastAsiaTheme="minorEastAsia" w:hAnsi="Arial" w:cs="Arial"/>
            <w:b/>
            <w:noProof/>
            <w:webHidden/>
            <w:color w:val="595959" w:themeColor="text1" w:themeTint="A6"/>
            <w:sz w:val="24"/>
            <w:szCs w:val="24"/>
          </w:rPr>
          <w:fldChar w:fldCharType="end"/>
        </w:r>
      </w:hyperlink>
    </w:p>
    <w:p w:rsidR="00EF6A9F" w:rsidRPr="00EF6A9F" w:rsidRDefault="00096BC6">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hyperlink w:anchor="_Toc416179811" w:history="1">
        <w:r w:rsidR="00EF6A9F" w:rsidRPr="00EF6A9F">
          <w:rPr>
            <w:rStyle w:val="Hypertextovodkaz"/>
            <w:rFonts w:ascii="Arial" w:eastAsiaTheme="minorEastAsia" w:hAnsi="Arial" w:cs="Arial"/>
            <w:b/>
            <w:noProof/>
            <w:color w:val="595959" w:themeColor="text1" w:themeTint="A6"/>
            <w:sz w:val="24"/>
            <w:szCs w:val="24"/>
          </w:rPr>
          <w:t>1</w:t>
        </w:r>
        <w:r w:rsidR="00EF6A9F" w:rsidRPr="00EF6A9F">
          <w:rPr>
            <w:rStyle w:val="Hypertextovodkaz"/>
            <w:rFonts w:ascii="Arial" w:eastAsiaTheme="minorEastAsia" w:hAnsi="Arial" w:cs="Arial"/>
            <w:b/>
            <w:noProof/>
            <w:color w:val="595959" w:themeColor="text1" w:themeTint="A6"/>
            <w:sz w:val="24"/>
            <w:szCs w:val="24"/>
          </w:rPr>
          <w:tab/>
          <w:t>Horizontální prioritní oblast A - TRANSFER TECHNOLOGIÍ</w:t>
        </w:r>
        <w:r w:rsidR="00EF6A9F" w:rsidRPr="00EF6A9F">
          <w:rPr>
            <w:rStyle w:val="Hypertextovodkaz"/>
            <w:rFonts w:ascii="Arial" w:eastAsiaTheme="minorEastAsia" w:hAnsi="Arial" w:cs="Arial"/>
            <w:b/>
            <w:noProof/>
            <w:webHidden/>
            <w:color w:val="595959" w:themeColor="text1" w:themeTint="A6"/>
            <w:sz w:val="24"/>
            <w:szCs w:val="24"/>
          </w:rPr>
          <w:tab/>
        </w:r>
        <w:r w:rsidR="00EF6A9F" w:rsidRPr="00EF6A9F">
          <w:rPr>
            <w:rStyle w:val="Hypertextovodkaz"/>
            <w:rFonts w:ascii="Arial" w:eastAsiaTheme="minorEastAsia" w:hAnsi="Arial" w:cs="Arial"/>
            <w:b/>
            <w:noProof/>
            <w:webHidden/>
            <w:color w:val="595959" w:themeColor="text1" w:themeTint="A6"/>
            <w:sz w:val="24"/>
            <w:szCs w:val="24"/>
          </w:rPr>
          <w:fldChar w:fldCharType="begin"/>
        </w:r>
        <w:r w:rsidR="00EF6A9F" w:rsidRPr="00EF6A9F">
          <w:rPr>
            <w:rStyle w:val="Hypertextovodkaz"/>
            <w:rFonts w:ascii="Arial" w:eastAsiaTheme="minorEastAsia" w:hAnsi="Arial" w:cs="Arial"/>
            <w:b/>
            <w:noProof/>
            <w:webHidden/>
            <w:color w:val="595959" w:themeColor="text1" w:themeTint="A6"/>
            <w:sz w:val="24"/>
            <w:szCs w:val="24"/>
          </w:rPr>
          <w:instrText xml:space="preserve"> PAGEREF _Toc416179811 \h </w:instrText>
        </w:r>
        <w:r w:rsidR="00EF6A9F" w:rsidRPr="00EF6A9F">
          <w:rPr>
            <w:rStyle w:val="Hypertextovodkaz"/>
            <w:rFonts w:ascii="Arial" w:eastAsiaTheme="minorEastAsia" w:hAnsi="Arial" w:cs="Arial"/>
            <w:b/>
            <w:noProof/>
            <w:webHidden/>
            <w:color w:val="595959" w:themeColor="text1" w:themeTint="A6"/>
            <w:sz w:val="24"/>
            <w:szCs w:val="24"/>
          </w:rPr>
        </w:r>
        <w:r w:rsidR="00EF6A9F"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4</w:t>
        </w:r>
        <w:r w:rsidR="00EF6A9F" w:rsidRPr="00EF6A9F">
          <w:rPr>
            <w:rStyle w:val="Hypertextovodkaz"/>
            <w:rFonts w:ascii="Arial" w:eastAsiaTheme="minorEastAsia" w:hAnsi="Arial" w:cs="Arial"/>
            <w:b/>
            <w:noProof/>
            <w:webHidden/>
            <w:color w:val="595959" w:themeColor="text1" w:themeTint="A6"/>
            <w:sz w:val="24"/>
            <w:szCs w:val="24"/>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2" w:history="1">
        <w:r w:rsidR="00EF6A9F" w:rsidRPr="00EF6A9F">
          <w:rPr>
            <w:rStyle w:val="Hypertextovodkaz"/>
            <w:rFonts w:ascii="Arial" w:eastAsiaTheme="minorEastAsia" w:hAnsi="Arial" w:cs="Arial"/>
            <w:noProof/>
            <w:color w:val="595959" w:themeColor="text1" w:themeTint="A6"/>
            <w:szCs w:val="22"/>
          </w:rPr>
          <w:t>1.1</w:t>
        </w:r>
        <w:r w:rsidR="00EF6A9F" w:rsidRPr="00EF6A9F">
          <w:rPr>
            <w:rStyle w:val="Hypertextovodkaz"/>
            <w:rFonts w:ascii="Arial" w:eastAsiaTheme="minorEastAsia" w:hAnsi="Arial" w:cs="Arial"/>
            <w:noProof/>
            <w:color w:val="595959" w:themeColor="text1" w:themeTint="A6"/>
            <w:szCs w:val="22"/>
          </w:rPr>
          <w:tab/>
          <w:t>SC A1 - Zvýšení intenzity transferu a ko</w:t>
        </w:r>
        <w:r w:rsidR="00EF6A9F">
          <w:rPr>
            <w:rStyle w:val="Hypertextovodkaz"/>
            <w:rFonts w:ascii="Arial" w:eastAsiaTheme="minorEastAsia" w:hAnsi="Arial" w:cs="Arial"/>
            <w:noProof/>
            <w:color w:val="595959" w:themeColor="text1" w:themeTint="A6"/>
            <w:szCs w:val="22"/>
          </w:rPr>
          <w:t xml:space="preserve">mercializace výsledků výzkumné </w:t>
        </w:r>
        <w:r w:rsidR="00EF6A9F">
          <w:rPr>
            <w:rStyle w:val="Hypertextovodkaz"/>
            <w:rFonts w:ascii="Arial" w:eastAsiaTheme="minorEastAsia" w:hAnsi="Arial" w:cs="Arial"/>
            <w:noProof/>
            <w:color w:val="595959" w:themeColor="text1" w:themeTint="A6"/>
            <w:szCs w:val="22"/>
          </w:rPr>
          <w:br/>
        </w:r>
        <w:r w:rsidR="00EF6A9F" w:rsidRPr="00EF6A9F">
          <w:rPr>
            <w:rStyle w:val="Hypertextovodkaz"/>
            <w:rFonts w:ascii="Arial" w:eastAsiaTheme="minorEastAsia" w:hAnsi="Arial" w:cs="Arial"/>
            <w:noProof/>
            <w:color w:val="595959" w:themeColor="text1" w:themeTint="A6"/>
            <w:szCs w:val="22"/>
          </w:rPr>
          <w:t>a vývojové činnosti</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_Toc416179812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4</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3" w:history="1">
        <w:r w:rsidR="00EF6A9F" w:rsidRPr="00EF6A9F">
          <w:rPr>
            <w:rStyle w:val="Hypertextovodkaz"/>
            <w:rFonts w:ascii="Arial" w:eastAsiaTheme="minorEastAsia" w:hAnsi="Arial" w:cs="Arial"/>
            <w:noProof/>
            <w:color w:val="595959" w:themeColor="text1" w:themeTint="A6"/>
            <w:szCs w:val="22"/>
          </w:rPr>
          <w:t>1.2</w:t>
        </w:r>
        <w:r w:rsidR="00EF6A9F" w:rsidRPr="00EF6A9F">
          <w:rPr>
            <w:rStyle w:val="Hypertextovodkaz"/>
            <w:rFonts w:ascii="Arial" w:eastAsiaTheme="minorEastAsia" w:hAnsi="Arial" w:cs="Arial"/>
            <w:noProof/>
            <w:color w:val="595959" w:themeColor="text1" w:themeTint="A6"/>
            <w:szCs w:val="22"/>
          </w:rPr>
          <w:tab/>
          <w:t>SC A2 – Zvýšení objemu smluvního a kolaborativního výzkumu ve výzkumných organizacích</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_Toc416179813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6</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4" w:history="1">
        <w:r w:rsidR="00EF6A9F" w:rsidRPr="00EF6A9F">
          <w:rPr>
            <w:rStyle w:val="Hypertextovodkaz"/>
            <w:rFonts w:ascii="Arial" w:eastAsiaTheme="minorEastAsia" w:hAnsi="Arial" w:cs="Arial"/>
            <w:noProof/>
            <w:color w:val="595959" w:themeColor="text1" w:themeTint="A6"/>
            <w:szCs w:val="22"/>
          </w:rPr>
          <w:t>1.3</w:t>
        </w:r>
        <w:r w:rsidR="00EF6A9F" w:rsidRPr="00EF6A9F">
          <w:rPr>
            <w:rStyle w:val="Hypertextovodkaz"/>
            <w:rFonts w:ascii="Arial" w:eastAsiaTheme="minorEastAsia" w:hAnsi="Arial" w:cs="Arial"/>
            <w:noProof/>
            <w:color w:val="595959" w:themeColor="text1" w:themeTint="A6"/>
            <w:szCs w:val="22"/>
          </w:rPr>
          <w:tab/>
          <w:t>SC A3 – Zvýšení počtu vzniklých spin-offs a inovativních start-ups</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_Toc416179814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7</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5" w:history="1">
        <w:r w:rsidR="00EF6A9F" w:rsidRPr="00EF6A9F">
          <w:rPr>
            <w:rStyle w:val="Hypertextovodkaz"/>
            <w:rFonts w:ascii="Arial" w:eastAsiaTheme="minorEastAsia" w:hAnsi="Arial" w:cs="Arial"/>
            <w:noProof/>
            <w:color w:val="595959" w:themeColor="text1" w:themeTint="A6"/>
            <w:szCs w:val="22"/>
          </w:rPr>
          <w:t>1.4</w:t>
        </w:r>
        <w:r w:rsidR="00EF6A9F" w:rsidRPr="00EF6A9F">
          <w:rPr>
            <w:rStyle w:val="Hypertextovodkaz"/>
            <w:rFonts w:ascii="Arial" w:eastAsiaTheme="minorEastAsia" w:hAnsi="Arial" w:cs="Arial"/>
            <w:noProof/>
            <w:color w:val="595959" w:themeColor="text1" w:themeTint="A6"/>
            <w:szCs w:val="22"/>
          </w:rPr>
          <w:tab/>
          <w:t>SC A4 - Zvýšení počtu výzkumných aktivit interdisciplinárního rozměru</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_Toc416179815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11</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6" w:history="1">
        <w:r w:rsidR="00EF6A9F" w:rsidRPr="00EF6A9F">
          <w:rPr>
            <w:rStyle w:val="Hypertextovodkaz"/>
            <w:rFonts w:ascii="Arial" w:eastAsiaTheme="minorEastAsia" w:hAnsi="Arial" w:cs="Arial"/>
            <w:noProof/>
            <w:color w:val="595959" w:themeColor="text1" w:themeTint="A6"/>
            <w:szCs w:val="22"/>
          </w:rPr>
          <w:t>1.5</w:t>
        </w:r>
        <w:r w:rsidR="00EF6A9F" w:rsidRPr="00EF6A9F">
          <w:rPr>
            <w:rStyle w:val="Hypertextovodkaz"/>
            <w:rFonts w:ascii="Arial" w:eastAsiaTheme="minorEastAsia" w:hAnsi="Arial" w:cs="Arial"/>
            <w:noProof/>
            <w:color w:val="595959" w:themeColor="text1" w:themeTint="A6"/>
            <w:szCs w:val="22"/>
          </w:rPr>
          <w:tab/>
          <w:t>SC A5 – Podpora přílivu investic v oblasti výzkumu, vývoje a inovací</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_Toc416179816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11</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hyperlink w:anchor="_Toc416179817" w:history="1">
        <w:r w:rsidR="00EF6A9F" w:rsidRPr="00EF6A9F">
          <w:rPr>
            <w:rStyle w:val="Hypertextovodkaz"/>
            <w:rFonts w:ascii="Arial" w:eastAsiaTheme="minorEastAsia" w:hAnsi="Arial" w:cs="Arial"/>
            <w:b/>
            <w:noProof/>
            <w:color w:val="595959" w:themeColor="text1" w:themeTint="A6"/>
            <w:sz w:val="24"/>
            <w:szCs w:val="24"/>
          </w:rPr>
          <w:t>2</w:t>
        </w:r>
        <w:r w:rsidR="00EF6A9F" w:rsidRPr="00EF6A9F">
          <w:rPr>
            <w:rStyle w:val="Hypertextovodkaz"/>
            <w:rFonts w:ascii="Arial" w:eastAsiaTheme="minorEastAsia" w:hAnsi="Arial" w:cs="Arial"/>
            <w:b/>
            <w:noProof/>
            <w:color w:val="595959" w:themeColor="text1" w:themeTint="A6"/>
            <w:sz w:val="24"/>
            <w:szCs w:val="24"/>
          </w:rPr>
          <w:tab/>
          <w:t>Horizontální prioritní oblast B – LIDSKÉ ZDROJE</w:t>
        </w:r>
        <w:r w:rsidR="00EF6A9F" w:rsidRPr="00EF6A9F">
          <w:rPr>
            <w:rStyle w:val="Hypertextovodkaz"/>
            <w:rFonts w:ascii="Arial" w:eastAsiaTheme="minorEastAsia" w:hAnsi="Arial" w:cs="Arial"/>
            <w:b/>
            <w:noProof/>
            <w:webHidden/>
            <w:color w:val="595959" w:themeColor="text1" w:themeTint="A6"/>
            <w:sz w:val="24"/>
            <w:szCs w:val="24"/>
          </w:rPr>
          <w:tab/>
        </w:r>
        <w:r w:rsidR="00EF6A9F" w:rsidRPr="00EF6A9F">
          <w:rPr>
            <w:rStyle w:val="Hypertextovodkaz"/>
            <w:rFonts w:ascii="Arial" w:eastAsiaTheme="minorEastAsia" w:hAnsi="Arial" w:cs="Arial"/>
            <w:b/>
            <w:noProof/>
            <w:webHidden/>
            <w:color w:val="595959" w:themeColor="text1" w:themeTint="A6"/>
            <w:sz w:val="24"/>
            <w:szCs w:val="24"/>
          </w:rPr>
          <w:fldChar w:fldCharType="begin"/>
        </w:r>
        <w:r w:rsidR="00EF6A9F" w:rsidRPr="00EF6A9F">
          <w:rPr>
            <w:rStyle w:val="Hypertextovodkaz"/>
            <w:rFonts w:ascii="Arial" w:eastAsiaTheme="minorEastAsia" w:hAnsi="Arial" w:cs="Arial"/>
            <w:b/>
            <w:noProof/>
            <w:webHidden/>
            <w:color w:val="595959" w:themeColor="text1" w:themeTint="A6"/>
            <w:sz w:val="24"/>
            <w:szCs w:val="24"/>
          </w:rPr>
          <w:instrText xml:space="preserve"> PAGEREF _Toc416179817 \h </w:instrText>
        </w:r>
        <w:r w:rsidR="00EF6A9F" w:rsidRPr="00EF6A9F">
          <w:rPr>
            <w:rStyle w:val="Hypertextovodkaz"/>
            <w:rFonts w:ascii="Arial" w:eastAsiaTheme="minorEastAsia" w:hAnsi="Arial" w:cs="Arial"/>
            <w:b/>
            <w:noProof/>
            <w:webHidden/>
            <w:color w:val="595959" w:themeColor="text1" w:themeTint="A6"/>
            <w:sz w:val="24"/>
            <w:szCs w:val="24"/>
          </w:rPr>
        </w:r>
        <w:r w:rsidR="00EF6A9F"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12</w:t>
        </w:r>
        <w:r w:rsidR="00EF6A9F" w:rsidRPr="00EF6A9F">
          <w:rPr>
            <w:rStyle w:val="Hypertextovodkaz"/>
            <w:rFonts w:ascii="Arial" w:eastAsiaTheme="minorEastAsia" w:hAnsi="Arial" w:cs="Arial"/>
            <w:b/>
            <w:noProof/>
            <w:webHidden/>
            <w:color w:val="595959" w:themeColor="text1" w:themeTint="A6"/>
            <w:sz w:val="24"/>
            <w:szCs w:val="24"/>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8" w:history="1">
        <w:r w:rsidR="00EF6A9F" w:rsidRPr="00EF6A9F">
          <w:rPr>
            <w:rStyle w:val="Hypertextovodkaz"/>
            <w:rFonts w:ascii="Arial" w:eastAsiaTheme="minorEastAsia" w:hAnsi="Arial" w:cs="Arial"/>
            <w:noProof/>
            <w:color w:val="595959" w:themeColor="text1" w:themeTint="A6"/>
            <w:szCs w:val="22"/>
          </w:rPr>
          <w:t>2.1</w:t>
        </w:r>
        <w:r w:rsidR="00EF6A9F" w:rsidRPr="00EF6A9F">
          <w:rPr>
            <w:rStyle w:val="Hypertextovodkaz"/>
            <w:rFonts w:ascii="Arial" w:eastAsiaTheme="minorEastAsia" w:hAnsi="Arial" w:cs="Arial"/>
            <w:noProof/>
            <w:color w:val="595959" w:themeColor="text1" w:themeTint="A6"/>
            <w:szCs w:val="22"/>
          </w:rPr>
          <w:tab/>
          <w:t>SC B1 – Zvýšení odborných kompetencí lidských zdrojů o znalostní ekonomice</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_Toc416179818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12</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19" w:history="1">
        <w:r w:rsidR="00EF6A9F" w:rsidRPr="00EF6A9F">
          <w:rPr>
            <w:rStyle w:val="Hypertextovodkaz"/>
            <w:rFonts w:ascii="Arial" w:eastAsiaTheme="minorEastAsia" w:hAnsi="Arial" w:cs="Arial"/>
            <w:noProof/>
            <w:color w:val="595959" w:themeColor="text1" w:themeTint="A6"/>
            <w:szCs w:val="22"/>
          </w:rPr>
          <w:t>2.2</w:t>
        </w:r>
        <w:r w:rsidR="00EF6A9F" w:rsidRPr="00EF6A9F">
          <w:rPr>
            <w:rStyle w:val="Hypertextovodkaz"/>
            <w:rFonts w:ascii="Arial" w:eastAsiaTheme="minorEastAsia" w:hAnsi="Arial" w:cs="Arial"/>
            <w:noProof/>
            <w:color w:val="595959" w:themeColor="text1" w:themeTint="A6"/>
            <w:szCs w:val="22"/>
          </w:rPr>
          <w:tab/>
          <w:t>SC B2 – Zvýšení odborné kvalifikace a dalších dovedností lidských zdrojů ve výzkumu a vývoji</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_Toc416179819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12</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0" w:history="1">
        <w:r w:rsidR="00EF6A9F" w:rsidRPr="00EF6A9F">
          <w:rPr>
            <w:rStyle w:val="Hypertextovodkaz"/>
            <w:rFonts w:ascii="Arial" w:eastAsiaTheme="minorEastAsia" w:hAnsi="Arial" w:cs="Arial"/>
            <w:noProof/>
            <w:color w:val="595959" w:themeColor="text1" w:themeTint="A6"/>
            <w:szCs w:val="22"/>
          </w:rPr>
          <w:t>2.3</w:t>
        </w:r>
        <w:r w:rsidR="00EF6A9F" w:rsidRPr="00EF6A9F">
          <w:rPr>
            <w:rStyle w:val="Hypertextovodkaz"/>
            <w:rFonts w:ascii="Arial" w:eastAsiaTheme="minorEastAsia" w:hAnsi="Arial" w:cs="Arial"/>
            <w:noProof/>
            <w:color w:val="595959" w:themeColor="text1" w:themeTint="A6"/>
            <w:szCs w:val="22"/>
          </w:rPr>
          <w:tab/>
          <w:t>SC B3 – Zvýšení mobility lidských zdrojů ze zahraničních znalostních institucí a firem do MSK</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_Toc416179820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14</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1" w:history="1">
        <w:r w:rsidR="00EF6A9F" w:rsidRPr="00EF6A9F">
          <w:rPr>
            <w:rStyle w:val="Hypertextovodkaz"/>
            <w:rFonts w:ascii="Arial" w:eastAsiaTheme="minorEastAsia" w:hAnsi="Arial" w:cs="Arial"/>
            <w:noProof/>
            <w:color w:val="595959" w:themeColor="text1" w:themeTint="A6"/>
            <w:szCs w:val="22"/>
          </w:rPr>
          <w:t>2.4</w:t>
        </w:r>
        <w:r w:rsidR="00EF6A9F" w:rsidRPr="00EF6A9F">
          <w:rPr>
            <w:rStyle w:val="Hypertextovodkaz"/>
            <w:rFonts w:ascii="Arial" w:eastAsiaTheme="minorEastAsia" w:hAnsi="Arial" w:cs="Arial"/>
            <w:noProof/>
            <w:color w:val="595959" w:themeColor="text1" w:themeTint="A6"/>
            <w:szCs w:val="22"/>
          </w:rPr>
          <w:tab/>
          <w:t>SC B4 – Zvýšení počtu absolventů technických oborů a identifikace technických talentů</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_Toc416179821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14</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hyperlink w:anchor="_Toc416179822" w:history="1">
        <w:r w:rsidR="00EF6A9F" w:rsidRPr="00EF6A9F">
          <w:rPr>
            <w:rStyle w:val="Hypertextovodkaz"/>
            <w:rFonts w:ascii="Arial" w:eastAsiaTheme="minorEastAsia" w:hAnsi="Arial" w:cs="Arial"/>
            <w:b/>
            <w:noProof/>
            <w:color w:val="595959" w:themeColor="text1" w:themeTint="A6"/>
            <w:sz w:val="24"/>
            <w:szCs w:val="24"/>
          </w:rPr>
          <w:t>3</w:t>
        </w:r>
        <w:r w:rsidR="00EF6A9F" w:rsidRPr="00EF6A9F">
          <w:rPr>
            <w:rStyle w:val="Hypertextovodkaz"/>
            <w:rFonts w:ascii="Arial" w:eastAsiaTheme="minorEastAsia" w:hAnsi="Arial" w:cs="Arial"/>
            <w:b/>
            <w:noProof/>
            <w:color w:val="595959" w:themeColor="text1" w:themeTint="A6"/>
            <w:sz w:val="24"/>
            <w:szCs w:val="24"/>
          </w:rPr>
          <w:tab/>
          <w:t>Horizontální prioritní oblast C – INTERNACIONALIZACE</w:t>
        </w:r>
        <w:r w:rsidR="00EF6A9F" w:rsidRPr="00EF6A9F">
          <w:rPr>
            <w:rStyle w:val="Hypertextovodkaz"/>
            <w:rFonts w:ascii="Arial" w:eastAsiaTheme="minorEastAsia" w:hAnsi="Arial" w:cs="Arial"/>
            <w:b/>
            <w:noProof/>
            <w:webHidden/>
            <w:color w:val="595959" w:themeColor="text1" w:themeTint="A6"/>
            <w:sz w:val="24"/>
            <w:szCs w:val="24"/>
          </w:rPr>
          <w:tab/>
        </w:r>
        <w:r w:rsidR="00EF6A9F" w:rsidRPr="00EF6A9F">
          <w:rPr>
            <w:rStyle w:val="Hypertextovodkaz"/>
            <w:rFonts w:ascii="Arial" w:eastAsiaTheme="minorEastAsia" w:hAnsi="Arial" w:cs="Arial"/>
            <w:b/>
            <w:noProof/>
            <w:webHidden/>
            <w:color w:val="595959" w:themeColor="text1" w:themeTint="A6"/>
            <w:sz w:val="24"/>
            <w:szCs w:val="24"/>
          </w:rPr>
          <w:fldChar w:fldCharType="begin"/>
        </w:r>
        <w:r w:rsidR="00EF6A9F" w:rsidRPr="00EF6A9F">
          <w:rPr>
            <w:rStyle w:val="Hypertextovodkaz"/>
            <w:rFonts w:ascii="Arial" w:eastAsiaTheme="minorEastAsia" w:hAnsi="Arial" w:cs="Arial"/>
            <w:b/>
            <w:noProof/>
            <w:webHidden/>
            <w:color w:val="595959" w:themeColor="text1" w:themeTint="A6"/>
            <w:sz w:val="24"/>
            <w:szCs w:val="24"/>
          </w:rPr>
          <w:instrText xml:space="preserve"> PAGEREF _Toc416179822 \h </w:instrText>
        </w:r>
        <w:r w:rsidR="00EF6A9F" w:rsidRPr="00EF6A9F">
          <w:rPr>
            <w:rStyle w:val="Hypertextovodkaz"/>
            <w:rFonts w:ascii="Arial" w:eastAsiaTheme="minorEastAsia" w:hAnsi="Arial" w:cs="Arial"/>
            <w:b/>
            <w:noProof/>
            <w:webHidden/>
            <w:color w:val="595959" w:themeColor="text1" w:themeTint="A6"/>
            <w:sz w:val="24"/>
            <w:szCs w:val="24"/>
          </w:rPr>
        </w:r>
        <w:r w:rsidR="00EF6A9F"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16</w:t>
        </w:r>
        <w:r w:rsidR="00EF6A9F" w:rsidRPr="00EF6A9F">
          <w:rPr>
            <w:rStyle w:val="Hypertextovodkaz"/>
            <w:rFonts w:ascii="Arial" w:eastAsiaTheme="minorEastAsia" w:hAnsi="Arial" w:cs="Arial"/>
            <w:b/>
            <w:noProof/>
            <w:webHidden/>
            <w:color w:val="595959" w:themeColor="text1" w:themeTint="A6"/>
            <w:sz w:val="24"/>
            <w:szCs w:val="24"/>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3" w:history="1">
        <w:r w:rsidR="00EF6A9F" w:rsidRPr="00EF6A9F">
          <w:rPr>
            <w:rStyle w:val="Hypertextovodkaz"/>
            <w:rFonts w:ascii="Arial" w:eastAsiaTheme="minorEastAsia" w:hAnsi="Arial" w:cs="Arial"/>
            <w:noProof/>
            <w:color w:val="595959" w:themeColor="text1" w:themeTint="A6"/>
            <w:szCs w:val="22"/>
          </w:rPr>
          <w:t>3.1</w:t>
        </w:r>
        <w:r w:rsidR="00EF6A9F" w:rsidRPr="00EF6A9F">
          <w:rPr>
            <w:rStyle w:val="Hypertextovodkaz"/>
            <w:rFonts w:ascii="Arial" w:eastAsiaTheme="minorEastAsia" w:hAnsi="Arial" w:cs="Arial"/>
            <w:noProof/>
            <w:color w:val="595959" w:themeColor="text1" w:themeTint="A6"/>
            <w:szCs w:val="22"/>
          </w:rPr>
          <w:tab/>
          <w:t>SC C1 – Zvýšení intenzity navazování m</w:t>
        </w:r>
        <w:r w:rsidR="00027DB3">
          <w:rPr>
            <w:rStyle w:val="Hypertextovodkaz"/>
            <w:rFonts w:ascii="Arial" w:eastAsiaTheme="minorEastAsia" w:hAnsi="Arial" w:cs="Arial"/>
            <w:noProof/>
            <w:color w:val="595959" w:themeColor="text1" w:themeTint="A6"/>
            <w:szCs w:val="22"/>
          </w:rPr>
          <w:t xml:space="preserve">ezinárodních kontaktů a účasti </w:t>
        </w:r>
        <w:r w:rsidR="00027DB3">
          <w:rPr>
            <w:rStyle w:val="Hypertextovodkaz"/>
            <w:rFonts w:ascii="Arial" w:eastAsiaTheme="minorEastAsia" w:hAnsi="Arial" w:cs="Arial"/>
            <w:noProof/>
            <w:color w:val="595959" w:themeColor="text1" w:themeTint="A6"/>
            <w:szCs w:val="22"/>
          </w:rPr>
          <w:br/>
        </w:r>
        <w:r w:rsidR="00EF6A9F" w:rsidRPr="00EF6A9F">
          <w:rPr>
            <w:rStyle w:val="Hypertextovodkaz"/>
            <w:rFonts w:ascii="Arial" w:eastAsiaTheme="minorEastAsia" w:hAnsi="Arial" w:cs="Arial"/>
            <w:noProof/>
            <w:color w:val="595959" w:themeColor="text1" w:themeTint="A6"/>
            <w:szCs w:val="22"/>
          </w:rPr>
          <w:t>v mezinárodních iniciativách a projektech VaV</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_Toc416179823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16</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4" w:history="1">
        <w:r w:rsidR="00EF6A9F" w:rsidRPr="00EF6A9F">
          <w:rPr>
            <w:rStyle w:val="Hypertextovodkaz"/>
            <w:rFonts w:ascii="Arial" w:eastAsiaTheme="minorEastAsia" w:hAnsi="Arial" w:cs="Arial"/>
            <w:noProof/>
            <w:color w:val="595959" w:themeColor="text1" w:themeTint="A6"/>
            <w:szCs w:val="22"/>
          </w:rPr>
          <w:t>3.2</w:t>
        </w:r>
        <w:r w:rsidR="00EF6A9F" w:rsidRPr="00EF6A9F">
          <w:rPr>
            <w:rStyle w:val="Hypertextovodkaz"/>
            <w:rFonts w:ascii="Arial" w:eastAsiaTheme="minorEastAsia" w:hAnsi="Arial" w:cs="Arial"/>
            <w:noProof/>
            <w:color w:val="595959" w:themeColor="text1" w:themeTint="A6"/>
            <w:szCs w:val="22"/>
          </w:rPr>
          <w:tab/>
          <w:t>SC C2 – Zvyšování informovanosti malých a středních firem o trendech vývoje technologií a zahraničních trhů</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_Toc416179824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18</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5" w:history="1">
        <w:r w:rsidR="00EF6A9F" w:rsidRPr="00EF6A9F">
          <w:rPr>
            <w:rStyle w:val="Hypertextovodkaz"/>
            <w:rFonts w:ascii="Arial" w:eastAsiaTheme="minorEastAsia" w:hAnsi="Arial" w:cs="Arial"/>
            <w:noProof/>
            <w:color w:val="595959" w:themeColor="text1" w:themeTint="A6"/>
            <w:szCs w:val="22"/>
          </w:rPr>
          <w:t>3.3</w:t>
        </w:r>
        <w:r w:rsidR="00EF6A9F" w:rsidRPr="00EF6A9F">
          <w:rPr>
            <w:rStyle w:val="Hypertextovodkaz"/>
            <w:rFonts w:ascii="Arial" w:eastAsiaTheme="minorEastAsia" w:hAnsi="Arial" w:cs="Arial"/>
            <w:noProof/>
            <w:color w:val="595959" w:themeColor="text1" w:themeTint="A6"/>
            <w:szCs w:val="22"/>
          </w:rPr>
          <w:tab/>
          <w:t>SC C3 – Zvýšení exportních aktivit malých a středních inovačních firem</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_Toc416179825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18</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hyperlink w:anchor="_Toc416179826" w:history="1">
        <w:r w:rsidR="00EF6A9F" w:rsidRPr="00EF6A9F">
          <w:rPr>
            <w:rStyle w:val="Hypertextovodkaz"/>
            <w:rFonts w:ascii="Arial" w:eastAsiaTheme="minorEastAsia" w:hAnsi="Arial" w:cs="Arial"/>
            <w:b/>
            <w:noProof/>
            <w:color w:val="595959" w:themeColor="text1" w:themeTint="A6"/>
            <w:sz w:val="24"/>
            <w:szCs w:val="24"/>
          </w:rPr>
          <w:t>4</w:t>
        </w:r>
        <w:r w:rsidR="00EF6A9F" w:rsidRPr="00EF6A9F">
          <w:rPr>
            <w:rStyle w:val="Hypertextovodkaz"/>
            <w:rFonts w:ascii="Arial" w:eastAsiaTheme="minorEastAsia" w:hAnsi="Arial" w:cs="Arial"/>
            <w:b/>
            <w:noProof/>
            <w:color w:val="595959" w:themeColor="text1" w:themeTint="A6"/>
            <w:sz w:val="24"/>
            <w:szCs w:val="24"/>
          </w:rPr>
          <w:tab/>
          <w:t>Horizontální prioritní oblast D – KOORDINACE A IMPLEMENTACE RIS</w:t>
        </w:r>
        <w:r w:rsidR="00EF6A9F" w:rsidRPr="00C04602">
          <w:rPr>
            <w:rStyle w:val="Hypertextovodkaz"/>
            <w:rFonts w:ascii="Arial" w:eastAsiaTheme="minorEastAsia" w:hAnsi="Arial" w:cs="Arial"/>
            <w:noProof/>
            <w:webHidden/>
            <w:color w:val="595959" w:themeColor="text1" w:themeTint="A6"/>
            <w:sz w:val="24"/>
            <w:szCs w:val="24"/>
          </w:rPr>
          <w:tab/>
        </w:r>
        <w:r w:rsidR="00EF6A9F" w:rsidRPr="00EF6A9F">
          <w:rPr>
            <w:rStyle w:val="Hypertextovodkaz"/>
            <w:rFonts w:ascii="Arial" w:eastAsiaTheme="minorEastAsia" w:hAnsi="Arial" w:cs="Arial"/>
            <w:b/>
            <w:noProof/>
            <w:webHidden/>
            <w:color w:val="595959" w:themeColor="text1" w:themeTint="A6"/>
            <w:sz w:val="24"/>
            <w:szCs w:val="24"/>
          </w:rPr>
          <w:fldChar w:fldCharType="begin"/>
        </w:r>
        <w:r w:rsidR="00EF6A9F" w:rsidRPr="00EF6A9F">
          <w:rPr>
            <w:rStyle w:val="Hypertextovodkaz"/>
            <w:rFonts w:ascii="Arial" w:eastAsiaTheme="minorEastAsia" w:hAnsi="Arial" w:cs="Arial"/>
            <w:b/>
            <w:noProof/>
            <w:webHidden/>
            <w:color w:val="595959" w:themeColor="text1" w:themeTint="A6"/>
            <w:sz w:val="24"/>
            <w:szCs w:val="24"/>
          </w:rPr>
          <w:instrText xml:space="preserve"> PAGEREF _Toc416179826 \h </w:instrText>
        </w:r>
        <w:r w:rsidR="00EF6A9F" w:rsidRPr="00EF6A9F">
          <w:rPr>
            <w:rStyle w:val="Hypertextovodkaz"/>
            <w:rFonts w:ascii="Arial" w:eastAsiaTheme="minorEastAsia" w:hAnsi="Arial" w:cs="Arial"/>
            <w:b/>
            <w:noProof/>
            <w:webHidden/>
            <w:color w:val="595959" w:themeColor="text1" w:themeTint="A6"/>
            <w:sz w:val="24"/>
            <w:szCs w:val="24"/>
          </w:rPr>
        </w:r>
        <w:r w:rsidR="00EF6A9F"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20</w:t>
        </w:r>
        <w:r w:rsidR="00EF6A9F" w:rsidRPr="00EF6A9F">
          <w:rPr>
            <w:rStyle w:val="Hypertextovodkaz"/>
            <w:rFonts w:ascii="Arial" w:eastAsiaTheme="minorEastAsia" w:hAnsi="Arial" w:cs="Arial"/>
            <w:b/>
            <w:noProof/>
            <w:webHidden/>
            <w:color w:val="595959" w:themeColor="text1" w:themeTint="A6"/>
            <w:sz w:val="24"/>
            <w:szCs w:val="24"/>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7" w:history="1">
        <w:r w:rsidR="00EF6A9F" w:rsidRPr="00EF6A9F">
          <w:rPr>
            <w:rStyle w:val="Hypertextovodkaz"/>
            <w:rFonts w:ascii="Arial" w:eastAsiaTheme="minorEastAsia" w:hAnsi="Arial" w:cs="Arial"/>
            <w:noProof/>
            <w:color w:val="595959" w:themeColor="text1" w:themeTint="A6"/>
            <w:szCs w:val="22"/>
          </w:rPr>
          <w:t>4.1</w:t>
        </w:r>
        <w:r w:rsidR="00EF6A9F" w:rsidRPr="00EF6A9F">
          <w:rPr>
            <w:rStyle w:val="Hypertextovodkaz"/>
            <w:rFonts w:ascii="Arial" w:eastAsiaTheme="minorEastAsia" w:hAnsi="Arial" w:cs="Arial"/>
            <w:noProof/>
            <w:color w:val="595959" w:themeColor="text1" w:themeTint="A6"/>
            <w:szCs w:val="22"/>
          </w:rPr>
          <w:tab/>
          <w:t>SC D1 – Zajištění strategického řízení realizace RIS</w:t>
        </w:r>
        <w:r w:rsidR="00EF6A9F" w:rsidRPr="00EF6A9F">
          <w:rPr>
            <w:rStyle w:val="Hypertextovodkaz"/>
            <w:rFonts w:ascii="Arial" w:eastAsiaTheme="minorEastAsia" w:hAnsi="Arial" w:cs="Arial"/>
            <w:noProof/>
            <w:color w:val="595959" w:themeColor="text1" w:themeTint="A6"/>
            <w:szCs w:val="22"/>
            <w:vertAlign w:val="superscript"/>
          </w:rPr>
          <w:t>3</w:t>
        </w:r>
        <w:r w:rsidR="00EF6A9F" w:rsidRPr="00EF6A9F">
          <w:rPr>
            <w:rStyle w:val="Hypertextovodkaz"/>
            <w:rFonts w:ascii="Arial" w:eastAsiaTheme="minorEastAsia" w:hAnsi="Arial" w:cs="Arial"/>
            <w:noProof/>
            <w:color w:val="595959" w:themeColor="text1" w:themeTint="A6"/>
            <w:szCs w:val="22"/>
          </w:rPr>
          <w:t xml:space="preserve"> MSK</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_Toc416179827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20</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8" w:history="1">
        <w:r w:rsidR="00EF6A9F" w:rsidRPr="00EF6A9F">
          <w:rPr>
            <w:rStyle w:val="Hypertextovodkaz"/>
            <w:rFonts w:ascii="Arial" w:eastAsiaTheme="minorEastAsia" w:hAnsi="Arial" w:cs="Arial"/>
            <w:noProof/>
            <w:color w:val="595959" w:themeColor="text1" w:themeTint="A6"/>
            <w:szCs w:val="22"/>
          </w:rPr>
          <w:t>4.2</w:t>
        </w:r>
        <w:r w:rsidR="00EF6A9F" w:rsidRPr="00EF6A9F">
          <w:rPr>
            <w:rStyle w:val="Hypertextovodkaz"/>
            <w:rFonts w:ascii="Arial" w:eastAsiaTheme="minorEastAsia" w:hAnsi="Arial" w:cs="Arial"/>
            <w:noProof/>
            <w:color w:val="595959" w:themeColor="text1" w:themeTint="A6"/>
            <w:szCs w:val="22"/>
          </w:rPr>
          <w:tab/>
          <w:t>SC D2 – Zajištění realizace RIS</w:t>
        </w:r>
        <w:r w:rsidR="00EF6A9F" w:rsidRPr="00EF6A9F">
          <w:rPr>
            <w:rStyle w:val="Hypertextovodkaz"/>
            <w:rFonts w:ascii="Arial" w:eastAsiaTheme="minorEastAsia" w:hAnsi="Arial" w:cs="Arial"/>
            <w:noProof/>
            <w:color w:val="595959" w:themeColor="text1" w:themeTint="A6"/>
            <w:szCs w:val="22"/>
            <w:vertAlign w:val="superscript"/>
          </w:rPr>
          <w:t>3</w:t>
        </w:r>
        <w:r w:rsidR="00EF6A9F" w:rsidRPr="00EF6A9F">
          <w:rPr>
            <w:rStyle w:val="Hypertextovodkaz"/>
            <w:rFonts w:ascii="Arial" w:eastAsiaTheme="minorEastAsia" w:hAnsi="Arial" w:cs="Arial"/>
            <w:noProof/>
            <w:color w:val="595959" w:themeColor="text1" w:themeTint="A6"/>
            <w:szCs w:val="22"/>
          </w:rPr>
          <w:t xml:space="preserve"> MSK</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_Toc416179828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20</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rsidP="00EF6A9F">
      <w:pPr>
        <w:pStyle w:val="Obsah2"/>
        <w:tabs>
          <w:tab w:val="left" w:pos="880"/>
          <w:tab w:val="right" w:leader="dot" w:pos="9060"/>
        </w:tabs>
        <w:ind w:left="851" w:hanging="631"/>
        <w:rPr>
          <w:rStyle w:val="Hypertextovodkaz"/>
          <w:rFonts w:ascii="Arial" w:eastAsiaTheme="minorEastAsia" w:hAnsi="Arial" w:cs="Arial"/>
          <w:noProof/>
          <w:color w:val="595959" w:themeColor="text1" w:themeTint="A6"/>
          <w:szCs w:val="22"/>
        </w:rPr>
      </w:pPr>
      <w:hyperlink w:anchor="_Toc416179829" w:history="1">
        <w:r w:rsidR="00EF6A9F" w:rsidRPr="00EF6A9F">
          <w:rPr>
            <w:rStyle w:val="Hypertextovodkaz"/>
            <w:rFonts w:ascii="Arial" w:eastAsiaTheme="minorEastAsia" w:hAnsi="Arial" w:cs="Arial"/>
            <w:noProof/>
            <w:color w:val="595959" w:themeColor="text1" w:themeTint="A6"/>
            <w:szCs w:val="22"/>
          </w:rPr>
          <w:t>4.3</w:t>
        </w:r>
        <w:r w:rsidR="00EF6A9F" w:rsidRPr="00EF6A9F">
          <w:rPr>
            <w:rStyle w:val="Hypertextovodkaz"/>
            <w:rFonts w:ascii="Arial" w:eastAsiaTheme="minorEastAsia" w:hAnsi="Arial" w:cs="Arial"/>
            <w:noProof/>
            <w:color w:val="595959" w:themeColor="text1" w:themeTint="A6"/>
            <w:szCs w:val="22"/>
          </w:rPr>
          <w:tab/>
          <w:t xml:space="preserve">SC D3 – Zvýšení propagace a medializace výsledků výzkumu a vývoje </w:t>
        </w:r>
        <w:r w:rsidR="00EF6A9F">
          <w:rPr>
            <w:rStyle w:val="Hypertextovodkaz"/>
            <w:rFonts w:ascii="Arial" w:eastAsiaTheme="minorEastAsia" w:hAnsi="Arial" w:cs="Arial"/>
            <w:noProof/>
            <w:color w:val="595959" w:themeColor="text1" w:themeTint="A6"/>
            <w:szCs w:val="22"/>
          </w:rPr>
          <w:br/>
        </w:r>
        <w:r w:rsidR="00EF6A9F" w:rsidRPr="00EF6A9F">
          <w:rPr>
            <w:rStyle w:val="Hypertextovodkaz"/>
            <w:rFonts w:ascii="Arial" w:eastAsiaTheme="minorEastAsia" w:hAnsi="Arial" w:cs="Arial"/>
            <w:noProof/>
            <w:color w:val="595959" w:themeColor="text1" w:themeTint="A6"/>
            <w:szCs w:val="22"/>
          </w:rPr>
          <w:t>a  RIS</w:t>
        </w:r>
        <w:r w:rsidR="00EF6A9F" w:rsidRPr="00EF6A9F">
          <w:rPr>
            <w:rStyle w:val="Hypertextovodkaz"/>
            <w:rFonts w:ascii="Arial" w:eastAsiaTheme="minorEastAsia" w:hAnsi="Arial" w:cs="Arial"/>
            <w:noProof/>
            <w:color w:val="595959" w:themeColor="text1" w:themeTint="A6"/>
            <w:szCs w:val="22"/>
            <w:vertAlign w:val="superscript"/>
          </w:rPr>
          <w:t>3</w:t>
        </w:r>
        <w:r w:rsidR="00EF6A9F" w:rsidRPr="00EF6A9F">
          <w:rPr>
            <w:rStyle w:val="Hypertextovodkaz"/>
            <w:rFonts w:ascii="Arial" w:eastAsiaTheme="minorEastAsia" w:hAnsi="Arial" w:cs="Arial"/>
            <w:noProof/>
            <w:color w:val="595959" w:themeColor="text1" w:themeTint="A6"/>
            <w:szCs w:val="22"/>
          </w:rPr>
          <w:t xml:space="preserve"> MSK</w:t>
        </w:r>
        <w:r w:rsidR="00EF6A9F" w:rsidRPr="00EF6A9F">
          <w:rPr>
            <w:rStyle w:val="Hypertextovodkaz"/>
            <w:rFonts w:ascii="Arial" w:eastAsiaTheme="minorEastAsia" w:hAnsi="Arial" w:cs="Arial"/>
            <w:noProof/>
            <w:webHidden/>
            <w:color w:val="595959" w:themeColor="text1" w:themeTint="A6"/>
            <w:szCs w:val="22"/>
          </w:rPr>
          <w:tab/>
        </w:r>
        <w:r w:rsidR="00EF6A9F" w:rsidRPr="00EF6A9F">
          <w:rPr>
            <w:rStyle w:val="Hypertextovodkaz"/>
            <w:rFonts w:ascii="Arial" w:eastAsiaTheme="minorEastAsia" w:hAnsi="Arial" w:cs="Arial"/>
            <w:noProof/>
            <w:webHidden/>
            <w:color w:val="595959" w:themeColor="text1" w:themeTint="A6"/>
            <w:szCs w:val="22"/>
          </w:rPr>
          <w:fldChar w:fldCharType="begin"/>
        </w:r>
        <w:r w:rsidR="00EF6A9F" w:rsidRPr="00EF6A9F">
          <w:rPr>
            <w:rStyle w:val="Hypertextovodkaz"/>
            <w:rFonts w:ascii="Arial" w:eastAsiaTheme="minorEastAsia" w:hAnsi="Arial" w:cs="Arial"/>
            <w:noProof/>
            <w:webHidden/>
            <w:color w:val="595959" w:themeColor="text1" w:themeTint="A6"/>
            <w:szCs w:val="22"/>
          </w:rPr>
          <w:instrText xml:space="preserve"> PAGEREF _Toc416179829 \h </w:instrText>
        </w:r>
        <w:r w:rsidR="00EF6A9F" w:rsidRPr="00EF6A9F">
          <w:rPr>
            <w:rStyle w:val="Hypertextovodkaz"/>
            <w:rFonts w:ascii="Arial" w:eastAsiaTheme="minorEastAsia" w:hAnsi="Arial" w:cs="Arial"/>
            <w:noProof/>
            <w:webHidden/>
            <w:color w:val="595959" w:themeColor="text1" w:themeTint="A6"/>
            <w:szCs w:val="22"/>
          </w:rPr>
        </w:r>
        <w:r w:rsidR="00EF6A9F" w:rsidRPr="00EF6A9F">
          <w:rPr>
            <w:rStyle w:val="Hypertextovodkaz"/>
            <w:rFonts w:ascii="Arial" w:eastAsiaTheme="minorEastAsia" w:hAnsi="Arial" w:cs="Arial"/>
            <w:noProof/>
            <w:webHidden/>
            <w:color w:val="595959" w:themeColor="text1" w:themeTint="A6"/>
            <w:szCs w:val="22"/>
          </w:rPr>
          <w:fldChar w:fldCharType="separate"/>
        </w:r>
        <w:r w:rsidR="00C02E63">
          <w:rPr>
            <w:rStyle w:val="Hypertextovodkaz"/>
            <w:rFonts w:ascii="Arial" w:eastAsiaTheme="minorEastAsia" w:hAnsi="Arial" w:cs="Arial"/>
            <w:noProof/>
            <w:webHidden/>
            <w:color w:val="595959" w:themeColor="text1" w:themeTint="A6"/>
            <w:szCs w:val="22"/>
          </w:rPr>
          <w:t>21</w:t>
        </w:r>
        <w:r w:rsidR="00EF6A9F" w:rsidRPr="00EF6A9F">
          <w:rPr>
            <w:rStyle w:val="Hypertextovodkaz"/>
            <w:rFonts w:ascii="Arial" w:eastAsiaTheme="minorEastAsia" w:hAnsi="Arial" w:cs="Arial"/>
            <w:noProof/>
            <w:webHidden/>
            <w:color w:val="595959" w:themeColor="text1" w:themeTint="A6"/>
            <w:szCs w:val="22"/>
          </w:rPr>
          <w:fldChar w:fldCharType="end"/>
        </w:r>
      </w:hyperlink>
    </w:p>
    <w:p w:rsidR="00EF6A9F" w:rsidRPr="00EF6A9F" w:rsidRDefault="00096BC6">
      <w:pPr>
        <w:pStyle w:val="Obsah1"/>
        <w:tabs>
          <w:tab w:val="left" w:pos="440"/>
          <w:tab w:val="right" w:leader="dot" w:pos="9060"/>
        </w:tabs>
        <w:rPr>
          <w:rStyle w:val="Hypertextovodkaz"/>
          <w:rFonts w:ascii="Arial" w:eastAsiaTheme="minorEastAsia" w:hAnsi="Arial" w:cs="Arial"/>
          <w:b/>
          <w:noProof/>
          <w:color w:val="595959" w:themeColor="text1" w:themeTint="A6"/>
          <w:sz w:val="24"/>
          <w:szCs w:val="24"/>
        </w:rPr>
      </w:pPr>
      <w:hyperlink w:anchor="_Toc416179830" w:history="1">
        <w:r w:rsidR="00EF6A9F" w:rsidRPr="00EF6A9F">
          <w:rPr>
            <w:rStyle w:val="Hypertextovodkaz"/>
            <w:rFonts w:ascii="Arial" w:eastAsiaTheme="minorEastAsia" w:hAnsi="Arial" w:cs="Arial"/>
            <w:b/>
            <w:noProof/>
            <w:color w:val="595959" w:themeColor="text1" w:themeTint="A6"/>
            <w:sz w:val="24"/>
            <w:szCs w:val="24"/>
          </w:rPr>
          <w:t>5</w:t>
        </w:r>
        <w:r w:rsidR="00EF6A9F" w:rsidRPr="00EF6A9F">
          <w:rPr>
            <w:rStyle w:val="Hypertextovodkaz"/>
            <w:rFonts w:ascii="Arial" w:eastAsiaTheme="minorEastAsia" w:hAnsi="Arial" w:cs="Arial"/>
            <w:b/>
            <w:noProof/>
            <w:color w:val="595959" w:themeColor="text1" w:themeTint="A6"/>
            <w:sz w:val="24"/>
            <w:szCs w:val="24"/>
          </w:rPr>
          <w:tab/>
          <w:t>Závěry</w:t>
        </w:r>
        <w:r w:rsidR="00EF6A9F" w:rsidRPr="00EF6A9F">
          <w:rPr>
            <w:rStyle w:val="Hypertextovodkaz"/>
            <w:rFonts w:ascii="Arial" w:eastAsiaTheme="minorEastAsia" w:hAnsi="Arial" w:cs="Arial"/>
            <w:b/>
            <w:noProof/>
            <w:webHidden/>
            <w:color w:val="595959" w:themeColor="text1" w:themeTint="A6"/>
            <w:sz w:val="24"/>
            <w:szCs w:val="24"/>
          </w:rPr>
          <w:tab/>
        </w:r>
        <w:r w:rsidR="00EF6A9F" w:rsidRPr="00EF6A9F">
          <w:rPr>
            <w:rStyle w:val="Hypertextovodkaz"/>
            <w:rFonts w:ascii="Arial" w:eastAsiaTheme="minorEastAsia" w:hAnsi="Arial" w:cs="Arial"/>
            <w:b/>
            <w:noProof/>
            <w:webHidden/>
            <w:color w:val="595959" w:themeColor="text1" w:themeTint="A6"/>
            <w:sz w:val="24"/>
            <w:szCs w:val="24"/>
          </w:rPr>
          <w:fldChar w:fldCharType="begin"/>
        </w:r>
        <w:r w:rsidR="00EF6A9F" w:rsidRPr="00EF6A9F">
          <w:rPr>
            <w:rStyle w:val="Hypertextovodkaz"/>
            <w:rFonts w:ascii="Arial" w:eastAsiaTheme="minorEastAsia" w:hAnsi="Arial" w:cs="Arial"/>
            <w:b/>
            <w:noProof/>
            <w:webHidden/>
            <w:color w:val="595959" w:themeColor="text1" w:themeTint="A6"/>
            <w:sz w:val="24"/>
            <w:szCs w:val="24"/>
          </w:rPr>
          <w:instrText xml:space="preserve"> PAGEREF _Toc416179830 \h </w:instrText>
        </w:r>
        <w:r w:rsidR="00EF6A9F" w:rsidRPr="00EF6A9F">
          <w:rPr>
            <w:rStyle w:val="Hypertextovodkaz"/>
            <w:rFonts w:ascii="Arial" w:eastAsiaTheme="minorEastAsia" w:hAnsi="Arial" w:cs="Arial"/>
            <w:b/>
            <w:noProof/>
            <w:webHidden/>
            <w:color w:val="595959" w:themeColor="text1" w:themeTint="A6"/>
            <w:sz w:val="24"/>
            <w:szCs w:val="24"/>
          </w:rPr>
        </w:r>
        <w:r w:rsidR="00EF6A9F" w:rsidRPr="00EF6A9F">
          <w:rPr>
            <w:rStyle w:val="Hypertextovodkaz"/>
            <w:rFonts w:ascii="Arial" w:eastAsiaTheme="minorEastAsia" w:hAnsi="Arial" w:cs="Arial"/>
            <w:b/>
            <w:noProof/>
            <w:webHidden/>
            <w:color w:val="595959" w:themeColor="text1" w:themeTint="A6"/>
            <w:sz w:val="24"/>
            <w:szCs w:val="24"/>
          </w:rPr>
          <w:fldChar w:fldCharType="separate"/>
        </w:r>
        <w:r w:rsidR="00C02E63">
          <w:rPr>
            <w:rStyle w:val="Hypertextovodkaz"/>
            <w:rFonts w:ascii="Arial" w:eastAsiaTheme="minorEastAsia" w:hAnsi="Arial" w:cs="Arial"/>
            <w:b/>
            <w:noProof/>
            <w:webHidden/>
            <w:color w:val="595959" w:themeColor="text1" w:themeTint="A6"/>
            <w:sz w:val="24"/>
            <w:szCs w:val="24"/>
          </w:rPr>
          <w:t>24</w:t>
        </w:r>
        <w:r w:rsidR="00EF6A9F" w:rsidRPr="00EF6A9F">
          <w:rPr>
            <w:rStyle w:val="Hypertextovodkaz"/>
            <w:rFonts w:ascii="Arial" w:eastAsiaTheme="minorEastAsia" w:hAnsi="Arial" w:cs="Arial"/>
            <w:b/>
            <w:noProof/>
            <w:webHidden/>
            <w:color w:val="595959" w:themeColor="text1" w:themeTint="A6"/>
            <w:sz w:val="24"/>
            <w:szCs w:val="24"/>
          </w:rPr>
          <w:fldChar w:fldCharType="end"/>
        </w:r>
      </w:hyperlink>
    </w:p>
    <w:p w:rsidR="000A2CA8" w:rsidRPr="00C04602" w:rsidRDefault="00EF6A9F" w:rsidP="00C04602">
      <w:pPr>
        <w:rPr>
          <w:rFonts w:ascii="Arial" w:eastAsiaTheme="minorEastAsia" w:hAnsi="Arial" w:cs="Arial"/>
          <w:b/>
          <w:color w:val="595959" w:themeColor="text1" w:themeTint="A6"/>
          <w:sz w:val="24"/>
          <w:szCs w:val="24"/>
        </w:rPr>
      </w:pPr>
      <w:r>
        <w:rPr>
          <w:color w:val="595959" w:themeColor="text1" w:themeTint="A6"/>
        </w:rPr>
        <w:fldChar w:fldCharType="end"/>
      </w:r>
      <w:hyperlink w:anchor="h.1ci93xb"/>
    </w:p>
    <w:p w:rsidR="000A2CA8" w:rsidRPr="00C04602" w:rsidRDefault="00E73B91">
      <w:pPr>
        <w:rPr>
          <w:rFonts w:ascii="Arial" w:eastAsiaTheme="minorEastAsia" w:hAnsi="Arial" w:cs="Arial"/>
          <w:b/>
          <w:color w:val="595959" w:themeColor="text1" w:themeTint="A6"/>
          <w:sz w:val="24"/>
          <w:szCs w:val="24"/>
        </w:rPr>
      </w:pPr>
      <w:r w:rsidRPr="00642480">
        <w:rPr>
          <w:color w:val="595959" w:themeColor="text1" w:themeTint="A6"/>
        </w:rPr>
        <w:br w:type="page"/>
      </w:r>
    </w:p>
    <w:p w:rsidR="000A2CA8" w:rsidRPr="00642480" w:rsidRDefault="00E73B91" w:rsidP="00642480">
      <w:pPr>
        <w:pStyle w:val="Nadpis1"/>
      </w:pPr>
      <w:bookmarkStart w:id="1" w:name="h.30j0zll" w:colFirst="0" w:colLast="0"/>
      <w:bookmarkStart w:id="2" w:name="_Toc416179810"/>
      <w:bookmarkEnd w:id="1"/>
      <w:r w:rsidRPr="00642480">
        <w:rPr>
          <w:rFonts w:eastAsia="Arial"/>
        </w:rPr>
        <w:lastRenderedPageBreak/>
        <w:t>Úvod</w:t>
      </w:r>
      <w:bookmarkEnd w:id="2"/>
    </w:p>
    <w:p w:rsidR="000A2CA8" w:rsidRPr="00642480" w:rsidRDefault="00E73B91">
      <w:pPr>
        <w:jc w:val="both"/>
        <w:rPr>
          <w:rFonts w:ascii="Arial" w:hAnsi="Arial" w:cs="Arial"/>
          <w:color w:val="595959" w:themeColor="text1" w:themeTint="A6"/>
          <w:sz w:val="20"/>
        </w:rPr>
      </w:pPr>
      <w:r w:rsidRPr="00642480">
        <w:rPr>
          <w:rFonts w:ascii="Arial" w:eastAsia="Arial" w:hAnsi="Arial" w:cs="Arial"/>
          <w:color w:val="595959" w:themeColor="text1" w:themeTint="A6"/>
          <w:sz w:val="20"/>
        </w:rPr>
        <w:t>Stejně jako v předcházejících letech, i v roce 2014 byla  pod hlavičkou zpracované Regionální inovační strategie Moravskoslezského kraje realizována řada projektů v oblasti podpory inovací, zlepšení inovační atmosféry v regionu a podpory inovativního podnikání. Vzhledem k přechodu Regionální inovační strategie na tzv. Strategii inteligentní výzkumné specializace Moravskoslezského kraje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je vyhodnocení za rok 2014 zpracováno dle struktury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Vzhledem k tomu, že v roce 2014 stále probíhaly práce na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(zejména z důvodu dalších skutečností a instrukcí vycházejících z národní úrovně), nebyl pro rok 2014 zpracován samostatný akční plán. Při definování a hodnocení aktivit za rok 2014 se vycházelo z původní zpracované Přílohy č. 1 Regionální inovační strategie – Seznam rozvojových projektů na léta 2012 - 2020, která obsahuje komplexní přehled rozvojových projektů v jednotlivých prioritních oblastech a specifických cílech, které jsou a/nebo mohou být implementovány v jednotlivých letech realizace strategie, a také z aktuální situace v oblasti přípravy a realizace konkrétních aktivit jednotlivých partnerů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Pro další léta, počínaje rokem 2015, budou zpracovávány dvouleté akční plány, kdy první z nich bude pro období 2015-2016.</w:t>
      </w:r>
    </w:p>
    <w:p w:rsidR="000A2CA8" w:rsidRPr="00642480" w:rsidRDefault="00E73B91">
      <w:pPr>
        <w:rPr>
          <w:color w:val="595959" w:themeColor="text1" w:themeTint="A6"/>
        </w:rPr>
      </w:pPr>
      <w:r w:rsidRPr="00642480">
        <w:rPr>
          <w:color w:val="595959" w:themeColor="text1" w:themeTint="A6"/>
        </w:rPr>
        <w:br w:type="page"/>
      </w:r>
    </w:p>
    <w:p w:rsidR="000A2CA8" w:rsidRPr="00265C3D" w:rsidRDefault="00E73B91" w:rsidP="00265C3D">
      <w:pPr>
        <w:pStyle w:val="Nadpis1"/>
        <w:numPr>
          <w:ilvl w:val="0"/>
          <w:numId w:val="12"/>
        </w:numPr>
        <w:ind w:hanging="432"/>
      </w:pPr>
      <w:bookmarkStart w:id="3" w:name="h.1fob9te" w:colFirst="0" w:colLast="0"/>
      <w:bookmarkStart w:id="4" w:name="_Toc416179811"/>
      <w:bookmarkEnd w:id="3"/>
      <w:r w:rsidRPr="00265C3D">
        <w:lastRenderedPageBreak/>
        <w:t>Horizontální prioritní oblast A - TRANSFER TECHNOLOGIÍ</w:t>
      </w:r>
      <w:bookmarkEnd w:id="4"/>
    </w:p>
    <w:p w:rsidR="000A2CA8" w:rsidRPr="00265C3D" w:rsidRDefault="00E73B91" w:rsidP="00265C3D">
      <w:pPr>
        <w:pStyle w:val="Nadpis2"/>
        <w:ind w:hanging="576"/>
      </w:pPr>
      <w:bookmarkStart w:id="5" w:name="h.3znysh7" w:colFirst="0" w:colLast="0"/>
      <w:bookmarkStart w:id="6" w:name="_Toc416179812"/>
      <w:bookmarkEnd w:id="5"/>
      <w:r w:rsidRPr="00265C3D">
        <w:t xml:space="preserve">SC A1 - Zvýšení intenzity transferu a komercializace výsledků výzkumné </w:t>
      </w:r>
      <w:r w:rsidRPr="00265C3D">
        <w:br/>
        <w:t>a vývojové činnosti</w:t>
      </w:r>
      <w:bookmarkEnd w:id="6"/>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Podpora firem v Moravskoslezském kraji na vytvoření pracovních míst pro VaVaI </w:t>
      </w:r>
    </w:p>
    <w:p w:rsidR="000A2CA8" w:rsidRPr="00642480" w:rsidRDefault="00E73B91">
      <w:pPr>
        <w:jc w:val="both"/>
        <w:rPr>
          <w:rFonts w:ascii="Arial" w:eastAsia="Arial" w:hAnsi="Arial" w:cs="Arial"/>
          <w:color w:val="595959" w:themeColor="text1" w:themeTint="A6"/>
          <w:sz w:val="20"/>
        </w:rPr>
      </w:pPr>
      <w:r w:rsidRPr="00642480">
        <w:rPr>
          <w:rFonts w:ascii="Arial" w:eastAsia="Arial" w:hAnsi="Arial" w:cs="Arial"/>
          <w:color w:val="595959" w:themeColor="text1" w:themeTint="A6"/>
          <w:sz w:val="20"/>
        </w:rPr>
        <w:t xml:space="preserve">Projekt spočívá ve stimulaci interních VaV aktivit v malých a středních firmách s inovačním potenciálem v Moravskoslezském kraji formou vytvoření pracovních míst pro výzkumné pracovníky. Vytvoření těchto pracovních míst bude znamenat zlepšení podmínek komunikace univerzit a výzkumných ústavů s firmami za účelem transferu jejich výsledků výzkumu a vývoje do aplikační sféry. </w:t>
      </w:r>
    </w:p>
    <w:p w:rsidR="000A2CA8" w:rsidRPr="00642480" w:rsidRDefault="00E73B91">
      <w:pPr>
        <w:jc w:val="both"/>
        <w:rPr>
          <w:rFonts w:ascii="Arial" w:eastAsia="Arial" w:hAnsi="Arial" w:cs="Arial"/>
          <w:color w:val="595959" w:themeColor="text1" w:themeTint="A6"/>
          <w:sz w:val="20"/>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roce 2014 bylo do tohoto krajského dotačního titulu předloženo celkem 5 žádostí, z toho schváleny byly 4 v celkovém objemu 1 042 900 Kč, celková alokace pro tento titul byla ve výši 2,6 mil. Kč. Příjemci byly celkem 3 firmy působící v oboru trakčních vedení (Trakce, a.s.), průmyslových kamer a strojového vidění (ATE System, s. r. o.) a technologií pro oblast úspor elektrické energie (Cautum, s. r. o.). Firma ATE System předložila dvě žádosti pro dvě nová pracovní místa (byla dvě kola výzev; v každém z nich podala jednu žádost). Z toho lze usuzovat, že povědomí o daném dotačním titulu mezi malými a střední firmami v MSK (již realizujícími VaV, případně plánujícími jeho zahájení) se zvyšuje a firmy </w:t>
      </w:r>
      <w:r w:rsidR="00642480" w:rsidRPr="00642480">
        <w:rPr>
          <w:rFonts w:ascii="Arial" w:eastAsia="Arial" w:hAnsi="Arial" w:cs="Arial"/>
          <w:color w:val="595959" w:themeColor="text1" w:themeTint="A6"/>
          <w:sz w:val="20"/>
        </w:rPr>
        <w:t xml:space="preserve">se </w:t>
      </w:r>
      <w:r w:rsidRPr="00642480">
        <w:rPr>
          <w:rFonts w:ascii="Arial" w:eastAsia="Arial" w:hAnsi="Arial" w:cs="Arial"/>
          <w:color w:val="595959" w:themeColor="text1" w:themeTint="A6"/>
          <w:sz w:val="20"/>
        </w:rPr>
        <w:t xml:space="preserve">začínají postupně učit tento program využívat. ARR navíc v rámci pravidelných návštěv inovačních firem v MSK tento dotační titul silně propaguje, v roce 2015 je tak možné očekávat větší zájem o tento titul než v předmětném roce 2014. </w:t>
      </w:r>
    </w:p>
    <w:p w:rsidR="000A2CA8" w:rsidRPr="00642480" w:rsidRDefault="00E73B91" w:rsidP="00265C3D">
      <w:pPr>
        <w:numPr>
          <w:ilvl w:val="0"/>
          <w:numId w:val="10"/>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Moravskoslezský kraj (příprava programu Agentura pro regionální rozvoj)</w:t>
      </w:r>
    </w:p>
    <w:p w:rsidR="000A2CA8" w:rsidRPr="00642480" w:rsidRDefault="00E73B91" w:rsidP="00265C3D">
      <w:pPr>
        <w:numPr>
          <w:ilvl w:val="0"/>
          <w:numId w:val="8"/>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Stav</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Podpora přípravy projektové dokumentace</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Dotační program Moravskoslezského kraje poskytující prostředky klastrovým  a výzkumným organizacím na přípravu dokumentace VaV projektů za účelem jejich předložení do národních a evropských dotačních programů (OP, Horizont 2020, ERA Net, Eureka, TAČR - Epsilon, Kontakt, Gesher).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Z tohoto programu bylo v roce 2014 podpořeno celkem 5 žádostí v hodnotě 749 000 Kč, celková alokace činila 1 mil. Kč. Podpořenými žadateli byli VŠB – Technická univerzita Ostrava (projekt v oblasti popularizace vědy a techniky), KLACR – Moravskoslezský klastr cestovního ruchu (pilotní projekt cestovního ruchu zaměřený na zdravý životní styl), Moravskoslezský energetický klastr (projekt HORBIF - </w:t>
      </w:r>
      <w:r w:rsidRPr="00620236">
        <w:rPr>
          <w:rFonts w:ascii="Arial" w:eastAsia="Arial" w:hAnsi="Arial" w:cs="Arial"/>
          <w:color w:val="595959" w:themeColor="text1" w:themeTint="A6"/>
          <w:sz w:val="20"/>
          <w:lang w:val="en-US"/>
        </w:rPr>
        <w:t>Human oriented resource-efficient building concept for intergenerational family houses</w:t>
      </w:r>
      <w:r w:rsidRPr="00642480">
        <w:rPr>
          <w:rFonts w:ascii="Arial" w:eastAsia="Arial" w:hAnsi="Arial" w:cs="Arial"/>
          <w:color w:val="595959" w:themeColor="text1" w:themeTint="A6"/>
          <w:sz w:val="20"/>
        </w:rPr>
        <w:t>; Na člověka orientovaná, energeticky úsporná stavební koncepce pro vícegenerační rodinné domy), Moravskoslezský dřevařský klastr (Rozvoj výzkumných aktivit Moravskoslezského dřevařského klastru - spřažené konstrukce) a Bezpečnostně-technologický klastr (projekt na ochranu ovzduší v Moravskoslezském kraji).</w:t>
      </w:r>
    </w:p>
    <w:p w:rsidR="000A2CA8" w:rsidRPr="00642480" w:rsidRDefault="00E73B91" w:rsidP="00265C3D">
      <w:pPr>
        <w:numPr>
          <w:ilvl w:val="0"/>
          <w:numId w:val="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Moravskoslezský kraj</w:t>
      </w:r>
    </w:p>
    <w:p w:rsidR="000A2CA8" w:rsidRPr="00642480" w:rsidRDefault="00E73B91">
      <w:pPr>
        <w:numPr>
          <w:ilvl w:val="0"/>
          <w:numId w:val="8"/>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lastRenderedPageBreak/>
        <w:t>Podpora výzkumných a vývojových aktivit formou poskytování účelových dotací v oborech technických, přírodních, lékařských a společenských věd</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Tento krajský dotační titul se zaměřuje na podporu výzkumných aktivit výzkumných organizací v Moravskoslezském kraji ve výše zmíněných vědních oborech. Účelem tohoto titulu je financovat menší výzkumné projekty s rozpočtem přibližně 1 mil. Kč, u nichž je potenciál dalších navazujících výzkumných projektů o větším objemu v oblasti aplikovaného výzkumu a experimentálního vývoje. </w:t>
      </w:r>
    </w:p>
    <w:p w:rsidR="000A2CA8" w:rsidRPr="00642480" w:rsidRDefault="00E73B91">
      <w:pPr>
        <w:jc w:val="both"/>
        <w:rPr>
          <w:color w:val="595959" w:themeColor="text1" w:themeTint="A6"/>
        </w:rPr>
      </w:pPr>
      <w:bookmarkStart w:id="7" w:name="h.2et92p0" w:colFirst="0" w:colLast="0"/>
      <w:bookmarkEnd w:id="7"/>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roce 2014 byly podpořeny všechny předložené žádosti (celkem 9) v objemu 3 855 500 Kč, celková alokace činila 3 875 000 Kč. Z tematického hlediska se jednalo o poměrně široké portfoli</w:t>
      </w:r>
      <w:r w:rsidR="00A619CF">
        <w:rPr>
          <w:rFonts w:ascii="Arial" w:eastAsia="Arial" w:hAnsi="Arial" w:cs="Arial"/>
          <w:color w:val="595959" w:themeColor="text1" w:themeTint="A6"/>
          <w:sz w:val="20"/>
        </w:rPr>
        <w:t>o</w:t>
      </w:r>
      <w:r w:rsidRPr="00642480">
        <w:rPr>
          <w:rFonts w:ascii="Arial" w:eastAsia="Arial" w:hAnsi="Arial" w:cs="Arial"/>
          <w:color w:val="595959" w:themeColor="text1" w:themeTint="A6"/>
          <w:sz w:val="20"/>
        </w:rPr>
        <w:t xml:space="preserve"> podpořených projektů z oblasti lékařství (např. Časná a spolehlivá detekce poruch sluchu u dětí - předpoklad kochleární implantace – Fakultní nemocnice Ostrava), urbanistického rozvoje (na</w:t>
      </w:r>
      <w:r w:rsidR="00EF6A9F">
        <w:rPr>
          <w:rFonts w:ascii="Arial" w:eastAsia="Arial" w:hAnsi="Arial" w:cs="Arial"/>
          <w:color w:val="595959" w:themeColor="text1" w:themeTint="A6"/>
          <w:sz w:val="20"/>
        </w:rPr>
        <w:t>p</w:t>
      </w:r>
      <w:r w:rsidRPr="00642480">
        <w:rPr>
          <w:rFonts w:ascii="Arial" w:eastAsia="Arial" w:hAnsi="Arial" w:cs="Arial"/>
          <w:color w:val="595959" w:themeColor="text1" w:themeTint="A6"/>
          <w:sz w:val="20"/>
        </w:rPr>
        <w:t>ř. Využití potenciálu pro regionální rozvoj sídel v Moravskoslezském kraji – Vysoká škola sociálně-správní), makroekonomického modelování (např. Model regionálního ekosystému, jeho simulace a ověření v podmínkách Moravskoslezského kraje – Vysoká škola podnikání) či technických aplikací (např. Skalpel na bázi pulzujícího vodního paprsku s frekvencí 55 kHz pro medicínské aplikace – Ústav geoniky AV ČR).</w:t>
      </w:r>
    </w:p>
    <w:p w:rsidR="000A2CA8" w:rsidRPr="00642480" w:rsidRDefault="00E73B91" w:rsidP="00265C3D">
      <w:pPr>
        <w:numPr>
          <w:ilvl w:val="0"/>
          <w:numId w:val="8"/>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projek</w:t>
      </w:r>
      <w:r w:rsidRPr="00265C3D">
        <w:rPr>
          <w:rFonts w:ascii="Arial" w:eastAsiaTheme="minorEastAsia" w:hAnsi="Arial" w:cs="Arial"/>
          <w:b/>
          <w:bCs/>
          <w:color w:val="595959" w:themeColor="text1" w:themeTint="A6"/>
          <w:sz w:val="20"/>
        </w:rPr>
        <w:t>t</w:t>
      </w:r>
      <w:r w:rsidRPr="00642480">
        <w:rPr>
          <w:rFonts w:ascii="Arial" w:eastAsia="Arial" w:hAnsi="Arial" w:cs="Arial"/>
          <w:b/>
          <w:color w:val="595959" w:themeColor="text1" w:themeTint="A6"/>
          <w:sz w:val="20"/>
        </w:rPr>
        <w:t>u:</w:t>
      </w:r>
      <w:r w:rsidRPr="00642480">
        <w:rPr>
          <w:rFonts w:ascii="Arial" w:eastAsia="Arial" w:hAnsi="Arial" w:cs="Arial"/>
          <w:color w:val="595959" w:themeColor="text1" w:themeTint="A6"/>
          <w:sz w:val="20"/>
        </w:rPr>
        <w:t xml:space="preserve"> Moravskoslezský kraj</w:t>
      </w:r>
    </w:p>
    <w:p w:rsidR="000A2CA8" w:rsidRPr="00642480" w:rsidRDefault="00E73B91">
      <w:pPr>
        <w:numPr>
          <w:ilvl w:val="0"/>
          <w:numId w:val="8"/>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Rozvoj a stabilizace systému transferu technologií VŠB-TU Ostrava</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Projekt je zaměřen na oblast komercializace výsledků vědeckovýzkumné činnosti a ochranu duševního vlastnictví, cílem je rozvinutí a stabilizace stávajícího systému transferu technologií (dále jen TT) na VŠB-TU Ostrava. Budou vyhotoveny analýzy současného systému transferu technologií a vnějšího i vnitřního prostředí univerzity. Dále bude zpracován návrh reorganizace stávajícího Centra transferu technologií (CTT), Strategie rozvoje CTT (mělo by být transformováno na RCTT – i pro potřeby Ostravské univerzity v Ostravě). Je plánováno personální posílení a profesionalizace nabízených služeb CTT a vznik Rady pro komercializaci jakožto koordinačního a schvalovacího orgánu a příprava fondu pro komercializaci.</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návaznosti na v minulém období vytvořenou strategii TT "Systém podpory komercializace know-how na VŠB-TUO" probíhá pilotní provoz systému TT na VŠB-TU Ostrava. Je zajištěna běžná činnost systému TT, tj.: probíhá evidence VaV výstupů a jejich zatřiďování do databází; metodická podpora původců při ohlášení vynálezu; poradenství v oblasti nakládání s výsledky VaV a jejich využití; poradenství v oblasti právní ochrany; příprava analýz průmyslově právního stavu; jednání s patentovými úřady v ČR; management výsledků VaV v procesu ochrany a již chráněných výsledků v udržovací fázi. Dále jsou pořádány odborné akce, probíhá školení a vzdělávání prostřednictvím seminářů. Síť skautů aktivně mapuje a vyhledává výstupy VaV s komerčním potenciálem, spolupracuje při přípravě výsledků k ochraně duševního vlastnictví ODV a následné komercializaci a zároveň distribuuje potřebné informace cílovým skupinám. Obchodní manažeři připravují plány komercializace a chystají veřejné nabídky technologií. Dále obchodní manažeři vyhledávají potenciální partnery pro komercializaci a úzce spolupracují s týmy z aktivit financovaných z projektu TAČR GAMA a z projektů PRE SEED OP VaVpI 6.3. a 7.3, tak aby byla zajištěna potřebná synergie mezi projekty. Rada pro komercializaci VŠB-TU Ostrava se 2x ročně schází k aktuálním tématům, a k projednávání nových strategických dokumentů a metodou per-rollam rozhoduje o realizaci průběžně předkládaných projektů komercializace. Probíhá síťování a twinning se zahraničními výzkumnými organizacemi (zejména Izrael a USA). Společně s dalšími partnery byl založen spolek Transfera.cz, který si klade za cíl vytvořit jednotnou funkční platformu hájící zájmy </w:t>
      </w:r>
      <w:r w:rsidRPr="00642480">
        <w:rPr>
          <w:rFonts w:ascii="Arial" w:eastAsia="Arial" w:hAnsi="Arial" w:cs="Arial"/>
          <w:color w:val="595959" w:themeColor="text1" w:themeTint="A6"/>
          <w:sz w:val="20"/>
        </w:rPr>
        <w:lastRenderedPageBreak/>
        <w:t>transferové komunity v České republice. V neposlední řadě probíhá aktivní vyhledávání vhodných finančních nástrojů a příležitostí pro budoucí financování aktivit, spjatých s komercializací a TT.</w:t>
      </w:r>
    </w:p>
    <w:p w:rsidR="000A2CA8" w:rsidRPr="00642480" w:rsidRDefault="00E73B91" w:rsidP="00265C3D">
      <w:pPr>
        <w:numPr>
          <w:ilvl w:val="0"/>
          <w:numId w:val="9"/>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CPI VŠB-TU Ostrava</w:t>
      </w:r>
    </w:p>
    <w:p w:rsidR="000A2CA8" w:rsidRPr="00642480" w:rsidRDefault="00E73B91">
      <w:pPr>
        <w:numPr>
          <w:ilvl w:val="0"/>
          <w:numId w:val="7"/>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PRŮBĚŽNĚ PLNĚN</w:t>
      </w:r>
    </w:p>
    <w:p w:rsidR="000A2CA8" w:rsidRPr="00265C3D" w:rsidRDefault="00E73B91" w:rsidP="00265C3D">
      <w:pPr>
        <w:pStyle w:val="Nadpis2"/>
        <w:ind w:hanging="576"/>
        <w:rPr>
          <w:rFonts w:eastAsia="Arial"/>
        </w:rPr>
      </w:pPr>
      <w:bookmarkStart w:id="8" w:name="h.tyjcwt" w:colFirst="0" w:colLast="0"/>
      <w:bookmarkStart w:id="9" w:name="_Toc416179813"/>
      <w:bookmarkEnd w:id="8"/>
      <w:r w:rsidRPr="00642480">
        <w:rPr>
          <w:rFonts w:eastAsia="Arial"/>
        </w:rPr>
        <w:t>SC A2 – Zvýšení objemu smluvního a kolaborativního výzkumu ve výzkumných organizacích</w:t>
      </w:r>
      <w:bookmarkEnd w:id="9"/>
    </w:p>
    <w:p w:rsidR="000A2CA8" w:rsidRPr="00405AA6" w:rsidRDefault="00E73B91">
      <w:pPr>
        <w:spacing w:before="480"/>
        <w:rPr>
          <w:rFonts w:ascii="Arial" w:eastAsia="Arial" w:hAnsi="Arial" w:cs="Arial"/>
          <w:b/>
          <w:color w:val="595959" w:themeColor="text1" w:themeTint="A6"/>
          <w:u w:val="single"/>
        </w:rPr>
      </w:pPr>
      <w:r w:rsidRPr="00642480">
        <w:rPr>
          <w:rFonts w:ascii="Arial" w:eastAsia="Arial" w:hAnsi="Arial" w:cs="Arial"/>
          <w:b/>
          <w:color w:val="595959" w:themeColor="text1" w:themeTint="A6"/>
          <w:u w:val="single"/>
        </w:rPr>
        <w:t xml:space="preserve">Podpora vědy a výzkumu v Moravskoslezském kraji, Dotační titul 1 </w:t>
      </w:r>
      <w:r w:rsidRPr="00642480">
        <w:rPr>
          <w:rFonts w:ascii="Arial" w:eastAsia="Arial" w:hAnsi="Arial" w:cs="Arial"/>
          <w:b/>
          <w:color w:val="595959" w:themeColor="text1" w:themeTint="A6"/>
          <w:u w:val="single"/>
        </w:rPr>
        <w:br/>
        <w:t>(inovační vouchery)</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Dotační program Moravskoslezského kraje poskytující finanční podporu firmám se sídlem nebo provozovnou v Moravskoslezském kraji k navázání spolupráce ve VaV s univerzitami a výzkumnými ústavy.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roce 2014 bylo přijato celkem 61 žádostí, z toho podpořeno bylo 43 žádostí v celkovém objemu 11 358 400 Kč. Alokace na tento dotační titul byla ve výši 10,4 mil. Kč (pro uspokojení převisu požadovaných dotací nad rámec zmíněné alokace byla převedena část prostředků z dotačního titulu pro podporu vytváření pracovních míst ve </w:t>
      </w:r>
      <w:r w:rsidR="00A619CF">
        <w:rPr>
          <w:rFonts w:ascii="Arial" w:eastAsia="Arial" w:hAnsi="Arial" w:cs="Arial"/>
          <w:color w:val="595959" w:themeColor="text1" w:themeTint="A6"/>
          <w:sz w:val="20"/>
        </w:rPr>
        <w:t>výzkumu a vývoji ve firmách). Te</w:t>
      </w:r>
      <w:r w:rsidRPr="00642480">
        <w:rPr>
          <w:rFonts w:ascii="Arial" w:eastAsia="Arial" w:hAnsi="Arial" w:cs="Arial"/>
          <w:color w:val="595959" w:themeColor="text1" w:themeTint="A6"/>
          <w:sz w:val="20"/>
        </w:rPr>
        <w:t>matické spektrum podpořených projektů bylo poměrně různorodé – zahrnovalo jak ryze technické výzkumné projekty (Procesy návrhu a optimalizace u vybraných typů elektrických motorů a generátorů – firma InnoGen, s. r. o., Vývoj směsí pokročilých žárobetonů – Teplotechna</w:t>
      </w:r>
      <w:bookmarkStart w:id="10" w:name="_GoBack"/>
      <w:bookmarkEnd w:id="10"/>
      <w:r w:rsidRPr="00642480">
        <w:rPr>
          <w:rFonts w:ascii="Arial" w:eastAsia="Arial" w:hAnsi="Arial" w:cs="Arial"/>
          <w:color w:val="595959" w:themeColor="text1" w:themeTint="A6"/>
          <w:sz w:val="20"/>
        </w:rPr>
        <w:t xml:space="preserve"> Ostrava, a. s., Vývoj SW pro expertní systém pro získávání dat z internetu – firma D3Soft, s. r. o., Prověření palivářských charakteristik a emisních limitů tuhých biopaliv pro provoz na různých typech topeniště s cílem uvedení technologie především na zahraniční trh – firma Solbien, a. s.), tak projekty v oblasti dopravy a logistiky (např. Analýza a návrh systému optimalizace přeprav – firma GX SOLUTIONS BOHEMIA, s.r.o.), farmacie (Spolupráce při vývoji, analýze a optimalizaci parametrů (podle PhEur) vícesložkových a multifunkčních excipientů ve farmaceutické výrobě pevných lékových forem – firma ImcoPharma, a. s.) či zemědělství (Ověření stimulace růstu a výnosu plodin formou moření a listové aplikace stimulátorů růstu – firma BEIDEA, s. r. o.). Co se týče kontrahovaných výzkumných organizací, v drtivé většině případů se jednalo o VŠB – TU Ostrava, výzkumné organizace z jiných krajů ČR byly zapojeny minimálně (např. VUT Brno, Veterinární a farmaceutická univerzita Brno, Univerzita Palackého v Olomouci). </w:t>
      </w:r>
    </w:p>
    <w:p w:rsidR="000A2CA8" w:rsidRPr="00642480" w:rsidRDefault="00E73B91" w:rsidP="00265C3D">
      <w:pPr>
        <w:numPr>
          <w:ilvl w:val="0"/>
          <w:numId w:val="6"/>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Moravskoslezský kraj</w:t>
      </w:r>
    </w:p>
    <w:p w:rsidR="000A2CA8" w:rsidRPr="00642480" w:rsidRDefault="00E73B91">
      <w:pPr>
        <w:numPr>
          <w:ilvl w:val="0"/>
          <w:numId w:val="6"/>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405AA6" w:rsidRDefault="00E73B91">
      <w:pPr>
        <w:spacing w:before="480"/>
        <w:rPr>
          <w:rFonts w:ascii="Arial" w:eastAsia="Arial" w:hAnsi="Arial" w:cs="Arial"/>
          <w:b/>
          <w:color w:val="595959" w:themeColor="text1" w:themeTint="A6"/>
          <w:u w:val="single"/>
        </w:rPr>
      </w:pPr>
      <w:r w:rsidRPr="00642480">
        <w:rPr>
          <w:rFonts w:ascii="Arial" w:eastAsia="Arial" w:hAnsi="Arial" w:cs="Arial"/>
          <w:b/>
          <w:color w:val="595959" w:themeColor="text1" w:themeTint="A6"/>
          <w:u w:val="single"/>
        </w:rPr>
        <w:t>Aktivní marketing jednotlivých výzkumných center podpořených z OP VaVpI a</w:t>
      </w:r>
      <w:r w:rsidR="00405AA6">
        <w:rPr>
          <w:rFonts w:ascii="Arial" w:eastAsia="Arial" w:hAnsi="Arial" w:cs="Arial"/>
          <w:b/>
          <w:color w:val="595959" w:themeColor="text1" w:themeTint="A6"/>
          <w:u w:val="single"/>
        </w:rPr>
        <w:t> sdílení informací a zkušeností</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Účelem projektu je koordinovat propagační aktivity projektů výzkumných center podpořených z OP VaVpI a zároveň podporovat výměnu informací mezi realizačními týmy jednotlivých projektů o konkrétních aktivitách uskutečňovaných v rámci těchto projektů (pořízení, obnova vybavení a zařízení pro VaV, apod.) včetně výměny zkušeností při administraci podpořených projektů vůči správci dotace (reporting, uznatelnost nákladů, žádosti o platbu, atd.).</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Všech šest výzkumných center spolufinancovaných z OP VaVpI (Centrum excelence IT4Innovations, RMTVC, ICT, ENET, INEF, IET) průběžně propagovalo během roku 2014 </w:t>
      </w:r>
      <w:r w:rsidRPr="00642480">
        <w:rPr>
          <w:rFonts w:ascii="Arial" w:eastAsia="Arial" w:hAnsi="Arial" w:cs="Arial"/>
          <w:color w:val="595959" w:themeColor="text1" w:themeTint="A6"/>
          <w:sz w:val="20"/>
        </w:rPr>
        <w:lastRenderedPageBreak/>
        <w:t xml:space="preserve">své aktivity jak vůči partnerům z privátního, tak i z veřejného sektoru. Jednalo se zejména o pořádání propagačních seminářů pro firmy, jiné univerzity a výzkumné ústavy informující o disponibilních kapacitách těchto center (technické vybavení, výzkumní pracovníci), aktualizaci webových stránek a propagačních materiálů, účast na vědeckých konferencích a veletrzích, inzerce a reportáže v médiích, apod. Jako příklad můžeme uvést v případě Centra excelence IT4Innovations účast na International Supercomputing Conference 2014 v Lipsku a na Supercomputing Conference 2014 v New Orleans, zprávu na CNN o novém superpočítači v Ostravě a další zprávy v českých médiích (ČT, Polar, aj). </w:t>
      </w:r>
    </w:p>
    <w:p w:rsidR="000A2CA8" w:rsidRPr="00642480" w:rsidRDefault="00E73B91" w:rsidP="00265C3D">
      <w:pPr>
        <w:numPr>
          <w:ilvl w:val="0"/>
          <w:numId w:val="9"/>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VŠB-TU Ostrava</w:t>
      </w:r>
    </w:p>
    <w:p w:rsidR="000A2CA8" w:rsidRPr="00642480" w:rsidRDefault="00E73B91">
      <w:pPr>
        <w:numPr>
          <w:ilvl w:val="0"/>
          <w:numId w:val="5"/>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11" w:name="h.3dy6vkm" w:colFirst="0" w:colLast="0"/>
      <w:bookmarkStart w:id="12" w:name="_Toc416179814"/>
      <w:bookmarkEnd w:id="11"/>
      <w:r w:rsidRPr="00642480">
        <w:rPr>
          <w:rFonts w:eastAsia="Arial"/>
        </w:rPr>
        <w:t>SC A3 – Zvýšení počtu vzniklých spin-offs a inovativních start-ups</w:t>
      </w:r>
      <w:bookmarkEnd w:id="12"/>
      <w:r w:rsidRPr="00642480">
        <w:rPr>
          <w:rFonts w:eastAsia="Arial"/>
        </w:rPr>
        <w:t xml:space="preserve"> </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Profesionální poradenské služby pro zakládání spin-offs a inovativních start-up firem</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Projekt se zaměřuje na pomoc začínajícím inovativním firmám s procesem jejich založení, s posouzením technických aspektů inovací a možností jejich právní ochrany, na pomoc se zpracováním finančního a marketingového plánu, na poskytování kancelářských, laboratorních a testovacích prostor a souvisejících služeb za zvýhodněné ceny, aj.</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Tento komplexní projekt pokračoval i v roce 2014 prostřednictvím souboru dalších dílčích projektů, které navazují na původní aktivity/projekty Podnikatelského inkubátoru VŠB-TU Ostrava. Během roku 2014 byly poskytovány standardní služby pro identifikaci nových podnikatelských nápadů a inkubaci nově vzniklých firem. Vyvrcholil první ročník soutěže Green Light, jejímž cílem je motivovat a podpořit zejména VŠ studenty k realizaci vlastních podnikatelských záměrů a která umožňuje vybraným účastníkům, po tříměsíčním rozvojovém programu (tzv. Green Light akcelerátor), prezentovat své podnikatelské nápady před odbornou porotou. Pozitivně hodnocené podnikatelské nápady pak mají možnost získat další balíček služeb v rámci CPI VŠB-TU Ostrava nebo finanční odměnu pro další rozvoj svého podnikání. V prvním ročníku bylo do soutěže vybráno celkem 18 projektů, z nichž 9 postoupilo do akcelerátoru. Celkovým vítězem se pak stal projekt „Driwhel“ (skateboard poháněný elektromotorem). Druhý ročník této soutěže byl pak zahájen na podzim 2014, kdy se přihlásilo přes 70 nápadů, z těch bylo vybráno 11 projektů, které se zúčastnily tříměsíčního akcelerátoru, který vyvrcholil v roce 2015. </w:t>
      </w:r>
    </w:p>
    <w:p w:rsidR="000A2CA8" w:rsidRPr="00642480" w:rsidRDefault="00E73B91" w:rsidP="00265C3D">
      <w:pPr>
        <w:numPr>
          <w:ilvl w:val="0"/>
          <w:numId w:val="11"/>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CPI VŠB-TU Ostrava</w:t>
      </w:r>
    </w:p>
    <w:p w:rsidR="000A2CA8" w:rsidRPr="00642480" w:rsidRDefault="00E73B91">
      <w:pPr>
        <w:numPr>
          <w:ilvl w:val="0"/>
          <w:numId w:val="4"/>
        </w:numPr>
        <w:ind w:hanging="360"/>
        <w:jc w:val="both"/>
        <w:rPr>
          <w:color w:val="595959" w:themeColor="text1" w:themeTint="A6"/>
          <w:sz w:val="20"/>
        </w:rPr>
      </w:pPr>
      <w:r w:rsidRPr="00642480">
        <w:rPr>
          <w:rFonts w:ascii="Arial" w:eastAsia="Arial" w:hAnsi="Arial" w:cs="Arial"/>
          <w:b/>
          <w:color w:val="595959" w:themeColor="text1" w:themeTint="A6"/>
          <w:sz w:val="20"/>
        </w:rPr>
        <w:t xml:space="preserve">Stav projektu: </w:t>
      </w:r>
      <w:r w:rsidRPr="00642480">
        <w:rPr>
          <w:rFonts w:ascii="Arial" w:eastAsia="Arial" w:hAnsi="Arial" w:cs="Arial"/>
          <w:color w:val="595959" w:themeColor="text1" w:themeTint="A6"/>
          <w:sz w:val="20"/>
        </w:rPr>
        <w:t>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Podpora inkubace nových inovativních podniků a rozvoje již existujících start-ups</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Tento projekt se podobně jako v případě předchozího projektu zaměřuje na poskytování služeb v oblasti identifikace a hodnocení inovativních podnikatelských nápadů a návazně inkubace nových inovativních podniků (start-ups, spin-offs), navíc poté také na rozvoj již existujících start-ups / mladých firem, které sice úspěšně překonaly prvotní překážky a jejich služby/technologie se uchytily na trhu, nicméně potřebují další koučink nebo podporu.</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Mezi tyto aktivity lze tedy také zařadit setkání investorů rizikového kapitálu (seed fondy, venture kapitál, business angels) a inovativních podniků v MSK – nově začínajících (v předstartovní a startovní fázi) i již existujících (financování růstu/expanze). Tato setkání slouží k navázání obchodní </w:t>
      </w:r>
      <w:r w:rsidRPr="00642480">
        <w:rPr>
          <w:rFonts w:ascii="Arial" w:eastAsia="Arial" w:hAnsi="Arial" w:cs="Arial"/>
          <w:color w:val="595959" w:themeColor="text1" w:themeTint="A6"/>
          <w:sz w:val="20"/>
        </w:rPr>
        <w:lastRenderedPageBreak/>
        <w:t>spolupráce investorů a firem, tzn. ke zvýšení využívání rizikového kapitálu pro rozvojové záměry inovativních firem a akceleraci jejich růstu.</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 xml:space="preserve">VYHODNOCENÍ: </w:t>
      </w:r>
      <w:r w:rsidRPr="00642480">
        <w:rPr>
          <w:rFonts w:ascii="Arial" w:eastAsia="Arial" w:hAnsi="Arial" w:cs="Arial"/>
          <w:color w:val="595959" w:themeColor="text1" w:themeTint="A6"/>
          <w:sz w:val="20"/>
        </w:rPr>
        <w:t xml:space="preserve">V roce 2014 pět inkubátorů (Vědecko-technologický park Ostrava, Business Innovation Center Ostrava, Centrum podpory inovací VŠB-TU Ostrava, Podnikatelský inkubátor VŠP a Podnikatelský inkubátor Steel IT) průběžně pokračovalo v aktivitách směřujících k zakládání, podpoře nových inovativních podniků - start-ups, jejich „hostingu“ a následnému coachingu po překonání prvotní fáze podnikání. Nově v roce 2014 začala poskytovat služby v oblasti inkubace a podpory start-ups společnost Impact Hub, která otevřela svou pobočku Impact Hub Ostrava a Viva Ostrava v rámci svého nového programu Inklubátor.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Ve Vědecko-technologickém parku Ostrava prošly programem „Idea inkubátor“, který podporuje nové nápady a pomáhá následně ověřovat jejich potenciál, celkem 4 projekty, z nichž jeden dále vyústil v založení obchodní společnosti. V navazujícím programu, tzv. Technologickém inkubátoru, pak bylo v průběhu roku 2014 zasídleno celkem 8 firem (např. firmy Advey </w:t>
      </w:r>
      <w:r w:rsidR="00CB7720" w:rsidRPr="00642480">
        <w:rPr>
          <w:rFonts w:ascii="Arial" w:eastAsia="Arial" w:hAnsi="Arial" w:cs="Arial"/>
          <w:color w:val="595959" w:themeColor="text1" w:themeTint="A6"/>
          <w:sz w:val="20"/>
        </w:rPr>
        <w:t>services</w:t>
      </w:r>
      <w:r w:rsidRPr="00642480">
        <w:rPr>
          <w:rFonts w:ascii="Arial" w:eastAsia="Arial" w:hAnsi="Arial" w:cs="Arial"/>
          <w:color w:val="595959" w:themeColor="text1" w:themeTint="A6"/>
          <w:sz w:val="20"/>
        </w:rPr>
        <w:t>, NITTA Systems).</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prostorách Business Innovation Center Ostrava bylo v roce 2014 v Podnikatelském inkubátoru zasídleno celkem 9 start-ups, z toho 3 zahájily nově svou činnost v roce 2014 (např. Modern Entrepreneur s.r.o., Fermbio3 s.r.o.). Kapacita prostor inkubátoru byla vytížena v roce 2014 na 100%.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Centrum podpory inovací VŠB-TU Ostrava v rámci Podnikatelského inkubátoru poskytlo v programu „Inkubace“ své služby celkem 4 subjektům (např. firma 3IT úspěšný eshop s.r.o.), v programu „Pronájem“ pak 9 subjektům (např. GeoCitySolutions s.r.o., Profiq s.r.o.). Celkem z těchto 13 subjektů se jedná o 9 start-ups. Co se týče kapacity prostor v inkubátoru, jejich vytíženost se v roce 2014 pohybovala kolem 90%.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Podnikatelský inkubátor STEEL IT v Třinci v roce 2014 poskytl služby celkem 14 firmám, z toho osm firem dále pokračovalo v inkubačním programu. Celkem bylo v i</w:t>
      </w:r>
      <w:r w:rsidR="00AF1DB4">
        <w:rPr>
          <w:rFonts w:ascii="Arial" w:eastAsia="Arial" w:hAnsi="Arial" w:cs="Arial"/>
          <w:color w:val="595959" w:themeColor="text1" w:themeTint="A6"/>
          <w:sz w:val="20"/>
        </w:rPr>
        <w:t>nkubátoru zasídleno 13 start-ups</w:t>
      </w:r>
      <w:r w:rsidRPr="00642480">
        <w:rPr>
          <w:rFonts w:ascii="Arial" w:eastAsia="Arial" w:hAnsi="Arial" w:cs="Arial"/>
          <w:color w:val="595959" w:themeColor="text1" w:themeTint="A6"/>
          <w:sz w:val="20"/>
        </w:rPr>
        <w:t xml:space="preserve">. Vytíženost prostor inkubátoru se pak v roce 2014 pohybovala kolem 95%.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V nově otevřeném ostravském Impact Hubu bylo k 31.</w:t>
      </w:r>
      <w:r w:rsidR="00A619CF">
        <w:rPr>
          <w:rFonts w:ascii="Arial" w:eastAsia="Arial" w:hAnsi="Arial" w:cs="Arial"/>
          <w:color w:val="595959" w:themeColor="text1" w:themeTint="A6"/>
          <w:sz w:val="20"/>
        </w:rPr>
        <w:t xml:space="preserve"> </w:t>
      </w:r>
      <w:r w:rsidRPr="00642480">
        <w:rPr>
          <w:rFonts w:ascii="Arial" w:eastAsia="Arial" w:hAnsi="Arial" w:cs="Arial"/>
          <w:color w:val="595959" w:themeColor="text1" w:themeTint="A6"/>
          <w:sz w:val="20"/>
        </w:rPr>
        <w:t>12.</w:t>
      </w:r>
      <w:r w:rsidR="00A619CF">
        <w:rPr>
          <w:rFonts w:ascii="Arial" w:eastAsia="Arial" w:hAnsi="Arial" w:cs="Arial"/>
          <w:color w:val="595959" w:themeColor="text1" w:themeTint="A6"/>
          <w:sz w:val="20"/>
        </w:rPr>
        <w:t xml:space="preserve"> </w:t>
      </w:r>
      <w:r w:rsidRPr="00642480">
        <w:rPr>
          <w:rFonts w:ascii="Arial" w:eastAsia="Arial" w:hAnsi="Arial" w:cs="Arial"/>
          <w:color w:val="595959" w:themeColor="text1" w:themeTint="A6"/>
          <w:sz w:val="20"/>
        </w:rPr>
        <w:t>2014 zasídleno 11 start-ups. Prvním ročníkem programu “Viva Inklubátor” realizovaném ve Vivě Ostrava (zaměřeném na nalezení, ověření a realizaci podnikatelského nápadu) se zúčastnilo celkem 8 subje</w:t>
      </w:r>
      <w:r w:rsidR="00A619CF">
        <w:rPr>
          <w:rFonts w:ascii="Arial" w:eastAsia="Arial" w:hAnsi="Arial" w:cs="Arial"/>
          <w:color w:val="595959" w:themeColor="text1" w:themeTint="A6"/>
          <w:sz w:val="20"/>
        </w:rPr>
        <w:t>k</w:t>
      </w:r>
      <w:r w:rsidRPr="00642480">
        <w:rPr>
          <w:rFonts w:ascii="Arial" w:eastAsia="Arial" w:hAnsi="Arial" w:cs="Arial"/>
          <w:color w:val="595959" w:themeColor="text1" w:themeTint="A6"/>
          <w:sz w:val="20"/>
        </w:rPr>
        <w:t xml:space="preserve">tů se svými projekty.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Během roku 2014 byly taktéž realizovány nové projekty/aktivity na podporu podnikavosti, inovativních nápadů a proinovačního prostředí v kraji. Proběhl první ročník akce Startup Harvest, jejímž cílem je zprostředkovat setkání začínajících firem či živnostníků s potenciálními investory a pomoci tak začínajícím podnikatelům získat potřebný kapitál k rozvoji podnikání. Na akci se přihlásilo celkem 18 start-ups, ze kterých se 12 vybraných poté mělo možnost prezentovat před investory. Jednalo se celkem o 6 investorů, z toho dva byli zahraniční (</w:t>
      </w:r>
      <w:r w:rsidR="00405AA6">
        <w:rPr>
          <w:rFonts w:ascii="Arial" w:eastAsia="Arial" w:hAnsi="Arial" w:cs="Arial"/>
          <w:color w:val="595959" w:themeColor="text1" w:themeTint="A6"/>
          <w:sz w:val="20"/>
        </w:rPr>
        <w:t xml:space="preserve">zástupci společností </w:t>
      </w:r>
      <w:r w:rsidRPr="00642480">
        <w:rPr>
          <w:rFonts w:ascii="Arial" w:eastAsia="Arial" w:hAnsi="Arial" w:cs="Arial"/>
          <w:color w:val="595959" w:themeColor="text1" w:themeTint="A6"/>
          <w:sz w:val="20"/>
        </w:rPr>
        <w:t xml:space="preserve">MassGlobal Partners LLC a US Market Access Center). Největší pozornost investorů a vítězství nakonec získalo inteligentního zařízení „MouthMouse®“ (ústní myš pro lidi s tělesným postižením) firmy Petra </w:t>
      </w:r>
      <w:r w:rsidR="00AF1DB4">
        <w:rPr>
          <w:rFonts w:ascii="Arial" w:eastAsia="Arial" w:hAnsi="Arial" w:cs="Arial"/>
          <w:color w:val="595959" w:themeColor="text1" w:themeTint="A6"/>
          <w:sz w:val="20"/>
        </w:rPr>
        <w:t>Uličného. Mezi zajímavé startups</w:t>
      </w:r>
      <w:r w:rsidRPr="00642480">
        <w:rPr>
          <w:rFonts w:ascii="Arial" w:eastAsia="Arial" w:hAnsi="Arial" w:cs="Arial"/>
          <w:color w:val="595959" w:themeColor="text1" w:themeTint="A6"/>
          <w:sz w:val="20"/>
        </w:rPr>
        <w:t xml:space="preserve"> se svými projekty se také zařadili </w:t>
      </w:r>
      <w:r w:rsidRPr="00642480">
        <w:rPr>
          <w:color w:val="595959" w:themeColor="text1" w:themeTint="A6"/>
          <w:sz w:val="20"/>
        </w:rPr>
        <w:t> </w:t>
      </w:r>
      <w:r w:rsidRPr="00642480">
        <w:rPr>
          <w:rFonts w:ascii="Arial" w:eastAsia="Arial" w:hAnsi="Arial" w:cs="Arial"/>
          <w:color w:val="595959" w:themeColor="text1" w:themeTint="A6"/>
          <w:sz w:val="20"/>
        </w:rPr>
        <w:t>unikátní aplikace „Visionare“, elektroboard „Driwhel“ nebo komínový nástavec „SmartHead“.</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Rovněž poprvé se uskutečnila v „kovorku“ podnikatelského </w:t>
      </w:r>
      <w:r w:rsidR="00AF1DB4" w:rsidRPr="00642480">
        <w:rPr>
          <w:rFonts w:ascii="Arial" w:eastAsia="Arial" w:hAnsi="Arial" w:cs="Arial"/>
          <w:color w:val="595959" w:themeColor="text1" w:themeTint="A6"/>
          <w:sz w:val="20"/>
        </w:rPr>
        <w:t>inkubátoru</w:t>
      </w:r>
      <w:r w:rsidRPr="00642480">
        <w:rPr>
          <w:rFonts w:ascii="Arial" w:eastAsia="Arial" w:hAnsi="Arial" w:cs="Arial"/>
          <w:color w:val="595959" w:themeColor="text1" w:themeTint="A6"/>
          <w:sz w:val="20"/>
        </w:rPr>
        <w:t xml:space="preserve"> CPI VŠB-TU Ostrava akce s názvem „Programátorský Hackhaton“ (soutěž týmů pracujících na IT projektech na dané téma/zadání), jejímž cílem je vymyslet a vytvořit produkt, který by měl praktické využití, byl by komercializovatelný a je možné jej případně dále rozpracovat do podoby startupu. Prémiového Hackhatonu se zúčastnilo 13 účastníků, ve 4 týmech, na téma „Ostrava – město inteligentní dopravy“, kdy účastníci měli za úkol navrhnout mobilní, webovou aplikaci nebo službu, která by řešila nějaký dílčí aspekt dopravní problematiky ve městě. Hlavní cenu si odnesl tým „O KOLA“, vývojářskou cenu získali pak autoři projektu „Bugless Streetz“.</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lastRenderedPageBreak/>
        <w:t>Dále byly nositeli projektů uskutečněny různé workshopy/semináře/osvětové akce na podporu podnikavosti, talentů apod. Proběhl například již třetí ročník bezplatného workshopu programování</w:t>
      </w:r>
      <w:r w:rsidRPr="00642480">
        <w:rPr>
          <w:color w:val="595959" w:themeColor="text1" w:themeTint="A6"/>
        </w:rPr>
        <w:t xml:space="preserve"> </w:t>
      </w:r>
      <w:r w:rsidRPr="00642480">
        <w:rPr>
          <w:rFonts w:ascii="Arial" w:eastAsia="Arial" w:hAnsi="Arial" w:cs="Arial"/>
          <w:color w:val="595959" w:themeColor="text1" w:themeTint="A6"/>
          <w:sz w:val="20"/>
        </w:rPr>
        <w:t>určeného dívkám s názvem Rails Girls, jehož cílem je si s odbornými lektory i lektorkami osvojit základy programování v programovacím jazyku Ruby on Rails. Workshopu se celkem zúčastnilo 32 žen a dívek, kterým se věnovalo celkem 15 koučů. V prostorách VŠB-TUO se již potřetí uskutečnila otevřená komunitní konference BarCamp Ostrava, zaměřena především na nové trendy v</w:t>
      </w:r>
      <w:r w:rsidR="00642480" w:rsidRPr="00642480">
        <w:rPr>
          <w:rFonts w:ascii="Arial" w:eastAsia="Arial" w:hAnsi="Arial" w:cs="Arial"/>
          <w:color w:val="595959" w:themeColor="text1" w:themeTint="A6"/>
          <w:sz w:val="20"/>
        </w:rPr>
        <w:t> </w:t>
      </w:r>
      <w:r w:rsidRPr="00642480">
        <w:rPr>
          <w:rFonts w:ascii="Arial" w:eastAsia="Arial" w:hAnsi="Arial" w:cs="Arial"/>
          <w:color w:val="595959" w:themeColor="text1" w:themeTint="A6"/>
          <w:sz w:val="20"/>
        </w:rPr>
        <w:t>internetových aplikacích a technologiích, webdesign, internetovou reklamu, digitální média a</w:t>
      </w:r>
      <w:r w:rsidR="00642480" w:rsidRPr="00642480">
        <w:rPr>
          <w:rFonts w:ascii="Arial" w:eastAsia="Arial" w:hAnsi="Arial" w:cs="Arial"/>
          <w:color w:val="595959" w:themeColor="text1" w:themeTint="A6"/>
          <w:sz w:val="20"/>
        </w:rPr>
        <w:t> </w:t>
      </w:r>
      <w:r w:rsidRPr="00642480">
        <w:rPr>
          <w:rFonts w:ascii="Arial" w:eastAsia="Arial" w:hAnsi="Arial" w:cs="Arial"/>
          <w:color w:val="595959" w:themeColor="text1" w:themeTint="A6"/>
          <w:sz w:val="20"/>
        </w:rPr>
        <w:t xml:space="preserve">podnikání. Akce, kterou pořádají společnosti Moravio a ShopSys, se zúčastnilo více než 700 účastníků. V rámci programu International Visitor Leadership Program, financovaného americkou vládou, se pak v listopadu 2014 osm zástupců z našeho kraje (z </w:t>
      </w:r>
      <w:r w:rsidR="00AA5055">
        <w:rPr>
          <w:rFonts w:ascii="Arial" w:eastAsia="Arial" w:hAnsi="Arial" w:cs="Arial"/>
          <w:color w:val="595959" w:themeColor="text1" w:themeTint="A6"/>
          <w:sz w:val="20"/>
        </w:rPr>
        <w:t xml:space="preserve">CPI </w:t>
      </w:r>
      <w:r w:rsidRPr="00642480">
        <w:rPr>
          <w:rFonts w:ascii="Arial" w:eastAsia="Arial" w:hAnsi="Arial" w:cs="Arial"/>
          <w:color w:val="595959" w:themeColor="text1" w:themeTint="A6"/>
          <w:sz w:val="20"/>
        </w:rPr>
        <w:t xml:space="preserve">VŠB-TU Ostrava, </w:t>
      </w:r>
      <w:r w:rsidR="00AA5055">
        <w:rPr>
          <w:rFonts w:ascii="Arial" w:eastAsia="Arial" w:hAnsi="Arial" w:cs="Arial"/>
          <w:color w:val="595959" w:themeColor="text1" w:themeTint="A6"/>
          <w:sz w:val="20"/>
        </w:rPr>
        <w:t xml:space="preserve">VTP Ostrava, </w:t>
      </w:r>
      <w:r w:rsidRPr="00642480">
        <w:rPr>
          <w:rFonts w:ascii="Arial" w:eastAsia="Arial" w:hAnsi="Arial" w:cs="Arial"/>
          <w:color w:val="595959" w:themeColor="text1" w:themeTint="A6"/>
          <w:sz w:val="20"/>
        </w:rPr>
        <w:t>Moravskoslezského kraje, ARR, Statutárního města Ostravy) zúčastnilo inovační cesty do USA pořádané CPI VŠB-TU Ostrava, jejímž cílem bylo rozšířit know-how v oblasti podpory start-ups, podnikání a inovací. Účastníci tour navštívili postupně výzkumná centra, inkubátory/akcelerátory, patentový úřad aj. ve městech Washington D.C., Cleveland, Columbus a San Francisco.</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podnikatelském inkubátoru STEEL IT v Třinci po celý rok běžely tzv. Třinecké inspirativní snídaně. Jedná se o platformu pro setkávání inspirativních osobností a podnikatelů našeho regionu, kteří diskutují na vybraná témata z oblasti podnikání, inovací, startups apod. V roce 2014 se uskutečnilo celkem 7 těchto snídaní.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Vědecko-technologický park Ostrava společně s VŠB-TU Ostrava</w:t>
      </w:r>
      <w:r w:rsidRPr="00642480">
        <w:rPr>
          <w:b/>
          <w:color w:val="595959" w:themeColor="text1" w:themeTint="A6"/>
          <w:sz w:val="20"/>
        </w:rPr>
        <w:t xml:space="preserve"> </w:t>
      </w:r>
      <w:r w:rsidRPr="00642480">
        <w:rPr>
          <w:rFonts w:ascii="Arial" w:eastAsia="Arial" w:hAnsi="Arial" w:cs="Arial"/>
          <w:color w:val="595959" w:themeColor="text1" w:themeTint="A6"/>
          <w:sz w:val="20"/>
        </w:rPr>
        <w:t>začali připravovat projekt „Tech Arena“, jehož cílem je posílení uplatnění technologicky orientovaných začínajících firem. V prostorách Vědecko-technologického parku Ostrava dojde k vytvoření sdíleného a technologicky vybaveného zázemí (dílenského prostředí) pro rozvoj inovativních produktů malých a středních podniků (tzv. „IdeaLab“). IdeaLab bude vytvářet podmínky pro malé a střední podniky pracující na nových produktech či inovacích stávajících produktů, s možností využití vybavení, laboratoří a portfolia přidružených služeb, kterými nedisponují a také s možností realizovat tyto činnosti ve spolupráci s jinými týmy (vč. zájemců z řad univerzit) v prostředí k tomu přizpůsobenému.</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rámci užší spolupráce a zkvalitňování podpory inovativního podnikání bylo v roce 2014 uskutečněno také pět setkání tzv. Inovační platformy Start-ups. Úkolem této platformy je koordinace jednotlivých kroků a návrh nástrojů k podpoře začínajících podnikatelů, zefektivnění spolupráce v této oblasti (např. formou výměny koučů při realizaci různých programů/soutěží/eventů na podporu podnikání), zlepšení marketingové komunikace a propagace. Jednou z aktivit v roce 2014 byla také účast členů platformy na projektu Udržitelné podnikání (jeho plánovaný konec je v roce 2015), jehož cílem je vytvořit prostor pro lepší spolupráci českých a polských organizací poskytujících podporu začínajícím firmám a podnikatelům, propagovat podnikavost s akcentem na příležitosti v přeshraničním regionu a vytvořit prostor pro vzájemnou spolupráci a rozvoj firem přeshraničního regionu. Nositelem projektu je Evropské seskupení pro územní spolupráci TRITIA, partnerem je Agentura pro regionální rozvoj. </w:t>
      </w:r>
    </w:p>
    <w:p w:rsidR="000A2CA8" w:rsidRPr="00642480" w:rsidRDefault="00E73B91" w:rsidP="00265C3D">
      <w:pPr>
        <w:numPr>
          <w:ilvl w:val="0"/>
          <w:numId w:val="9"/>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Nositel projektu:</w:t>
      </w:r>
      <w:r w:rsidRPr="00642480">
        <w:rPr>
          <w:rFonts w:ascii="Arial" w:eastAsia="Arial" w:hAnsi="Arial" w:cs="Arial"/>
          <w:color w:val="595959" w:themeColor="text1" w:themeTint="A6"/>
          <w:sz w:val="20"/>
        </w:rPr>
        <w:t xml:space="preserve"> Podnikatelské inkubátory/parky/huby v Moravskoslezském kraji, Agentura pro regionální rozvoj a další partneři</w:t>
      </w:r>
    </w:p>
    <w:p w:rsidR="000A2CA8" w:rsidRPr="00642480" w:rsidRDefault="00E73B91">
      <w:pPr>
        <w:numPr>
          <w:ilvl w:val="0"/>
          <w:numId w:val="4"/>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AA5055" w:rsidRDefault="00AA5055">
      <w:pPr>
        <w:rPr>
          <w:rFonts w:ascii="Arial" w:eastAsia="Arial" w:hAnsi="Arial" w:cs="Arial"/>
          <w:b/>
          <w:color w:val="595959" w:themeColor="text1" w:themeTint="A6"/>
          <w:u w:val="single"/>
        </w:rPr>
      </w:pPr>
      <w:r>
        <w:rPr>
          <w:rFonts w:ascii="Arial" w:eastAsia="Arial" w:hAnsi="Arial" w:cs="Arial"/>
          <w:b/>
          <w:color w:val="595959" w:themeColor="text1" w:themeTint="A6"/>
          <w:u w:val="single"/>
        </w:rPr>
        <w:br w:type="page"/>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lastRenderedPageBreak/>
        <w:t>Fond mikropůjček</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Jedná se o finanční nástroj na bázi revolvingového fondu pro poskytování mikropůjček/mikroúvěrů pro malé a střední podnikatele v Moravskoslezském kraji, a to ne starší 3 let ode dne zahájení jejich podnikání. Při posuzování podaných žádostí bude uplatňována metoda Proof of Concept (posouzení přidané hodnoty inovativního výrobku, uplatnitelnosti produktu na trhu – porovnání s podobnými/substitučními produkty, reálnost finančního plánu, apod.), na základě vyhodnocení potenciální úspěšnosti záměru bude následně jednáno o výši a podmínkách návratné finanční podpory (dle stávající a budoucí předpokládané bonity žadatele).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roce 2014 byl zájem o tento nástroj poměrně nízký. Celkem byly podány čtyři žádosti, z nichž dvě žádosti byly posouzeny jako nevyhovující z pohledu bonity. Další dvě žádosti uspěly, ale jeden žadatel svou žádost stáhl. Podpořena byla pouze jedna žádost za 500 000 Kč (alokace činila 2 000 000 Kč). Nízký zájem o tento finanční nástroj je způsobem převážně velkým počtem již existujících dotačních nástrojů. Dalším faktorem je pak skutečnost, že si žadatel musí zajistit na směnku avala, který mu bude ručit svým majetkem v případě, že nebude žadatel schopen splácet úvěr.</w:t>
      </w:r>
    </w:p>
    <w:p w:rsidR="000A2CA8" w:rsidRPr="00642480" w:rsidRDefault="00E73B91" w:rsidP="00265C3D">
      <w:pPr>
        <w:numPr>
          <w:ilvl w:val="0"/>
          <w:numId w:val="9"/>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Moravskoslezský kraj</w:t>
      </w:r>
    </w:p>
    <w:p w:rsidR="000A2CA8" w:rsidRPr="00642480" w:rsidRDefault="00E73B91">
      <w:pPr>
        <w:numPr>
          <w:ilvl w:val="0"/>
          <w:numId w:val="4"/>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ČÁSTEČNĚ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Inovativní hub pro studenty v Moravskoslezském kraji</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Předmětem projektu je zajištění prostor a technického zařízení pro studenty k realizaci jejich nápadů, z nichž mohou vzniknout nové inovativní produkty a služby. Konkrétně se jedná o zakládání tzv. hubů, které se mohou stát součástí mezinárodní sítí hubů (např. finská síť hubů v oboru IT Demola).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 xml:space="preserve">VYHODNOCENÍ: </w:t>
      </w:r>
      <w:r w:rsidRPr="00642480">
        <w:rPr>
          <w:rFonts w:ascii="Arial" w:eastAsia="Arial" w:hAnsi="Arial" w:cs="Arial"/>
          <w:color w:val="595959" w:themeColor="text1" w:themeTint="A6"/>
          <w:sz w:val="20"/>
        </w:rPr>
        <w:t xml:space="preserve">Záměr vytvoření společného prostoru k podpoře inovativních aktivit, sdílených prostorů pro studenty, začínající podnikatele i veřejnost byl v roce 2014 dále rozvíjen. V kraji vzniklo několik coworkingových prostor/center, jejichž hlavním znakem (oproti „klasickým“ PI/VTP) je sdílení prostor/kontaktů/navazování vztahů mezi členy navzájem, které v kombinaci s osobním koučinkem/mentoringem vybraným start-ups a propojováním jejich podnikatelských konceptů/záměrů přispívá k následné akceleraci nových nápadů do komerčního uplatnění. Jako příklad uveďme coworkingové centrum v rámci Centra podpory inovací VŠB-TU Ostrava (tzv. kovork - zaměřený především na IT business), kreativní prostor Impact Hub Ostrava, ve kterém se zaměřují také na „sociální“ podnikání či komunitní projekty, nebo VIVA Ostrava.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Spolek Hlásím se k továrně, ve spolupráci s Dolní oblastí Vítkovice, pokračuje v přípravách projektu řemeslného a kreativního inkubátoru s dílnou v prostorách NKP Důl Hlubina (</w:t>
      </w:r>
      <w:r w:rsidR="00AF1DB4" w:rsidRPr="00642480">
        <w:rPr>
          <w:rFonts w:ascii="Arial" w:eastAsia="Arial" w:hAnsi="Arial" w:cs="Arial"/>
          <w:color w:val="595959" w:themeColor="text1" w:themeTint="A6"/>
          <w:sz w:val="20"/>
        </w:rPr>
        <w:t>tzv.</w:t>
      </w:r>
      <w:r w:rsidRPr="00642480">
        <w:rPr>
          <w:rFonts w:ascii="Arial" w:eastAsia="Arial" w:hAnsi="Arial" w:cs="Arial"/>
          <w:color w:val="595959" w:themeColor="text1" w:themeTint="A6"/>
          <w:sz w:val="20"/>
        </w:rPr>
        <w:t xml:space="preserve"> „Provoz Hlubina“), který nabídne zázemí pro subjekty v oblasti tradičních řemesel, kreativních odvětví (jako je design apod.). Projekt se nachází ve startovací fázi těsně před spuštěním ostrého provozu pro veřejnost. Prozatím byla spuštěna činnost dílny v provizorních prostorách objektu Nových Koupelen (květen 2014), kde již proběhlo celkem 14 vzdělávacích a kulturních akcí a již 3. ročník tvůrčího kempu Deepcamp, na kterém šest desítek tvůrců vyprodukovalo desítky výrobků sloužících k vybavení a estetizaci prostor dolu Hlubina a ke komfortu návštěvníků i uživatelů. DIY („Do it yourself“) dílna také vyprodukovala 10 zakázek pro vybavení jiných kulturních a vzdělávacích prostor v Ostravě.</w:t>
      </w:r>
    </w:p>
    <w:p w:rsidR="000A2CA8" w:rsidRPr="00642480" w:rsidRDefault="00E73B91" w:rsidP="00265C3D">
      <w:pPr>
        <w:numPr>
          <w:ilvl w:val="0"/>
          <w:numId w:val="9"/>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VŠB-TU Ostrava, soukromí investoři, Impact Hub Ostrava, Hlásím se k továrně, neziskové organizace, města, obce</w:t>
      </w:r>
    </w:p>
    <w:p w:rsidR="000A2CA8" w:rsidRPr="00642480" w:rsidRDefault="00E73B91">
      <w:pPr>
        <w:numPr>
          <w:ilvl w:val="0"/>
          <w:numId w:val="3"/>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PRŮBĚŽNĚ SPLNĚN</w:t>
      </w:r>
    </w:p>
    <w:p w:rsidR="000A2CA8" w:rsidRPr="00265C3D" w:rsidRDefault="00E73B91" w:rsidP="00265C3D">
      <w:pPr>
        <w:pStyle w:val="Nadpis2"/>
        <w:ind w:hanging="576"/>
        <w:rPr>
          <w:rFonts w:eastAsia="Arial"/>
        </w:rPr>
      </w:pPr>
      <w:bookmarkStart w:id="13" w:name="h.1t3h5sf" w:colFirst="0" w:colLast="0"/>
      <w:bookmarkStart w:id="14" w:name="_Toc416179815"/>
      <w:bookmarkEnd w:id="13"/>
      <w:r w:rsidRPr="00642480">
        <w:rPr>
          <w:rFonts w:eastAsia="Arial"/>
        </w:rPr>
        <w:lastRenderedPageBreak/>
        <w:t>SC A4 - Zvýšení počtu výzkumných aktivit interdisciplinárního rozměru</w:t>
      </w:r>
      <w:bookmarkEnd w:id="14"/>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Podpora spolupráce klastrů ve VaV (s využitím interdisciplinárního přístupu)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Organizace pravidelných setkání zástupců klastrových organizací v rámci iniciativy KlastrNet (2x ročně) za účelem výměny informací o možnostech vzájemné spolupráce na přípravě a realizaci výzkumných a vývojových projektů na bázi interdisciplinárního přístupu (meziodvětvové spolupráce klastrů v Moravskoslezském kraji včetně spolupráce se zahraničními klastry), o možnostech financování těchto projektů, o aktuálním stavu a dalším vývoji národní a evropské klastrové politiky, atd.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roce 2014 se uskutečnila dvě setkání členů iniciativy KlastrNet. Iniciativa KlastrNet se stala inovační platformou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se specializací na mezioborový výzkum. Na prvním setkání konaném dne 12. 5. 2014 bylo se členy diskutováno toto nové poslání KlastrNetu. Návrh na začlenění do inovačních platforem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a i nové poslání se zaměřením na mezioborový výzkum byly členy odsouhlaseny. Kromě tohoto bodu byly na daném setkání poskytnuty také informace o aktuálním vývoji prací na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jako takové, o nově vznikajícím Moravskoslezském biotechnologickém klastru, o soutěži Inovační firma Moravskoslezského kraje 2014, aj. Druhé setkání se uskutečnilo dne 16. 12. 2014. Jako první mezioborové výzkumné téma byla zvolena „Akumulace energie a možnosti využívání odpadního tepla“. Toto téma bylo předneseno vybranými experty, poté proběhla diskuse, jejímž výsledkem byla dvě témata typových projektů, které členové platformy chtějí dále společně řešit: stratifikační zásobníky a akumulace u malých a středně velkých objektů (struktura elektrické sítě). K těmto typovým projektům proběhne další koordinační schůzka v březnu 2015. Kromě tohoto ústředního tématu byli členové platformy na tomto zasedání informování o aktuálním stavu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a připravovaném dotačním programu pro klastry OP PIK – Spolupráce. </w:t>
      </w:r>
    </w:p>
    <w:p w:rsidR="000A2CA8" w:rsidRPr="00642480" w:rsidRDefault="00E73B91" w:rsidP="00265C3D">
      <w:pPr>
        <w:numPr>
          <w:ilvl w:val="0"/>
          <w:numId w:val="9"/>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Agentura pro regionální rozvoj</w:t>
      </w:r>
    </w:p>
    <w:p w:rsidR="000A2CA8" w:rsidRPr="00642480" w:rsidRDefault="00E73B91">
      <w:pPr>
        <w:numPr>
          <w:ilvl w:val="0"/>
          <w:numId w:val="9"/>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15" w:name="h.4d34og8" w:colFirst="0" w:colLast="0"/>
      <w:bookmarkStart w:id="16" w:name="_Toc416179816"/>
      <w:bookmarkEnd w:id="15"/>
      <w:r w:rsidRPr="00642480">
        <w:rPr>
          <w:rFonts w:eastAsia="Arial"/>
        </w:rPr>
        <w:t>SC A5 – Podpora přílivu investic v oblasti výzkumu, vývoje a inovací</w:t>
      </w:r>
      <w:bookmarkEnd w:id="16"/>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Podpůrné aktivity ke zvýšení přílivu zahraničního kapitálu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Smyslem tohoto projektu je zintenzivnit aktivity a propagaci regionu vedoucí k zájmu o investice v Moravskoslezském kraji obecně, tzn. přílivu zahraničních investic – včetně investic do výzkumu, vývoje a inovací. Může se jednat o rozšíření kapacit již podnikajících investorů v našem kraji (v posledních 3 letech dochází u některých investorů k přesunu jejich vývojových oddělení z mateřské země do Moravskoslezského kraje), nebo o nové investice (v prvotní fázi především do výroby/technického zázemí, v další fázi pak do vývojových aktivit/oddělení).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roce 2014 pokračovaly aktivity v rámci podpory získávání investic do kraje. Byl spuštěn portál pro investory </w:t>
      </w:r>
      <w:hyperlink r:id="rId9" w:history="1">
        <w:r w:rsidR="00642480" w:rsidRPr="00A619CF">
          <w:rPr>
            <w:rStyle w:val="Hypertextovodkaz"/>
            <w:rFonts w:ascii="Arial" w:eastAsiaTheme="minorEastAsia" w:hAnsi="Arial" w:cs="Arial"/>
            <w:bCs/>
            <w:sz w:val="20"/>
          </w:rPr>
          <w:t>www.invest-msr.com</w:t>
        </w:r>
      </w:hyperlink>
      <w:r w:rsidRPr="00642480">
        <w:rPr>
          <w:rFonts w:ascii="Arial" w:eastAsia="Arial" w:hAnsi="Arial" w:cs="Arial"/>
          <w:color w:val="595959" w:themeColor="text1" w:themeTint="A6"/>
          <w:sz w:val="20"/>
        </w:rPr>
        <w:t xml:space="preserve"> (v ENG a CZ mutaci) obsahující informace o rozvojových plochách, průmyslových zónách a lokalitách brownfields v kraji a o možnostech podpory při investování v kraji. Aktivity budou dále zintenzivňovány a rozšiřovány s cílem dosáhnout využití stávajících kapacit průmyslových zón v kraji a přispět k hospodářskému rozvoji v regionu.</w:t>
      </w:r>
    </w:p>
    <w:p w:rsidR="000A2CA8" w:rsidRPr="00642480" w:rsidRDefault="00E73B91" w:rsidP="00265C3D">
      <w:pPr>
        <w:numPr>
          <w:ilvl w:val="0"/>
          <w:numId w:val="9"/>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Moravskoslezský kraj, Agentura pro regionální rozvoj </w:t>
      </w:r>
    </w:p>
    <w:p w:rsidR="000A2CA8" w:rsidRPr="00642480" w:rsidRDefault="00E73B91">
      <w:pPr>
        <w:numPr>
          <w:ilvl w:val="0"/>
          <w:numId w:val="9"/>
        </w:numPr>
        <w:ind w:hanging="360"/>
        <w:jc w:val="both"/>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ČÁSTEČNĚ SPLNĚN</w:t>
      </w:r>
    </w:p>
    <w:p w:rsidR="000A2CA8" w:rsidRPr="00265C3D" w:rsidRDefault="00E73B91" w:rsidP="00265C3D">
      <w:pPr>
        <w:pStyle w:val="Nadpis1"/>
        <w:numPr>
          <w:ilvl w:val="0"/>
          <w:numId w:val="12"/>
        </w:numPr>
        <w:ind w:hanging="432"/>
      </w:pPr>
      <w:bookmarkStart w:id="17" w:name="h.2s8eyo1" w:colFirst="0" w:colLast="0"/>
      <w:bookmarkStart w:id="18" w:name="_Toc416179817"/>
      <w:bookmarkEnd w:id="17"/>
      <w:r w:rsidRPr="00265C3D">
        <w:lastRenderedPageBreak/>
        <w:t>Horizontální prioritní oblast B – LIDSKÉ ZDROJE</w:t>
      </w:r>
      <w:bookmarkEnd w:id="18"/>
    </w:p>
    <w:p w:rsidR="000A2CA8" w:rsidRPr="00265C3D" w:rsidRDefault="00E73B91" w:rsidP="00265C3D">
      <w:pPr>
        <w:pStyle w:val="Nadpis2"/>
        <w:ind w:hanging="576"/>
        <w:rPr>
          <w:rFonts w:eastAsia="Arial"/>
        </w:rPr>
      </w:pPr>
      <w:bookmarkStart w:id="19" w:name="h.17dp8vu" w:colFirst="0" w:colLast="0"/>
      <w:bookmarkStart w:id="20" w:name="_Toc416179818"/>
      <w:bookmarkEnd w:id="19"/>
      <w:r w:rsidRPr="00642480">
        <w:rPr>
          <w:rFonts w:eastAsia="Arial"/>
        </w:rPr>
        <w:t>SC B1 – Zvýšení odborných kompetencí lidských zdrojů o znalostní ekonomice</w:t>
      </w:r>
      <w:bookmarkEnd w:id="20"/>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Odborné workshopy na aktuální témata VaVaI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Cílem této aktivity je zvýšit povědomí a rozšířit znalosti v řadách široké i odborné veřejnosti o problematice výzkumu, vývoje a inovací. Za tímto účelem budou pravidelně pořádány vzdělávací konference a workshopy na témata inovačních systémů, transferu technologií, ochrany duševního vlastnictví, inovačního managementu (open innovation, blue ocean, six sigma, TRIZ, six hats), technology foresight, aj.).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Vzdělávací workshopy a semináře probíhaly mimo jiné v rámci projektů Kompetence pro inovace 2 (KPI 2) a Kompetence pro inovace 3 (KPI 3). V rámci projektu KPI 2 proběhlo v roce 2014 9 seminářů a workshopů (dvou až třídenních), celkový počet účastníků byl 76. V rámci projektu KPI 3 pak proběhlo v roce 2014 osm seminářů a workshopů, celkový počet účastníků byl 91. Semináře se věnovaly tématům z  různých oblastí, mezi ně patřily např.: procesní inovace, financování inovací, inteligentní energetické sítě, alternativní pohony, marketingové inovace nebo také sociální inovace a kreativní odvětví, rizikový kapitál / kapitálové fondy apod., business angels, seed a pre-seed fondy, inovační nástroje pro podporu inovačních procesů, pozice veřejné správy v inovačním systému apod.</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Další workshopy byly realizovány např. automobilovým klastem (trendy v automotive), CPI VŠB-TU Ostrava (inovační koktejl; ARR jako spolupořádající partner), společností DC Vision v oblasti „inovační myšlení“, Krajskou hospodářskou komorou (k programu Horizont 2020), společností BIC Ostrava (akce v rámci sítě EEN, např. technologické burzy) a dalšími partnery v kraji. </w:t>
      </w:r>
    </w:p>
    <w:p w:rsidR="000A2CA8" w:rsidRPr="00642480" w:rsidRDefault="00E73B91" w:rsidP="00265C3D">
      <w:pPr>
        <w:numPr>
          <w:ilvl w:val="0"/>
          <w:numId w:val="2"/>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Agentura pro regionální rozvoj, Krajská hospodářská komora Moravskoslezského kraje, BIC Ostrava, CPI VŠB-TU Ostrava, a jiné instituce</w:t>
      </w:r>
    </w:p>
    <w:p w:rsidR="000A2CA8" w:rsidRPr="00642480" w:rsidRDefault="00E73B91">
      <w:pPr>
        <w:numPr>
          <w:ilvl w:val="0"/>
          <w:numId w:val="2"/>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21" w:name="h.3rdcrjn" w:colFirst="0" w:colLast="0"/>
      <w:bookmarkStart w:id="22" w:name="_Toc416179819"/>
      <w:bookmarkEnd w:id="21"/>
      <w:r w:rsidRPr="00642480">
        <w:rPr>
          <w:rFonts w:eastAsia="Arial"/>
        </w:rPr>
        <w:t>SC B2 – Zvýšení odborné kvalifikace a dalších dovedností lidských zdrojů ve výzkumu a vývoji</w:t>
      </w:r>
      <w:bookmarkEnd w:id="22"/>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Podpora vědy a výzkumu v Moravskoslezském kraji, Dotační titul 3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Předmětem podpory v rámci tohoto dotačního programu je finančně motivovat doktorandy a absolventy doktorského studia na univerzitách v Moravskoslezském kraji s excelentními výsledky v oblasti výzkumu a vývoje k dalšímu odbornému rozvoji. Finanční podpora je poskytována formou stipendií pro doktorandy, eventuálně příplatků ke mzdě pro absolventy doktorského studia.</w:t>
      </w:r>
    </w:p>
    <w:p w:rsidR="000A2CA8" w:rsidRPr="00642480" w:rsidRDefault="00E73B91" w:rsidP="008127EE">
      <w:pPr>
        <w:spacing w:after="0"/>
        <w:jc w:val="both"/>
        <w:rPr>
          <w:color w:val="595959" w:themeColor="text1" w:themeTint="A6"/>
        </w:rPr>
      </w:pPr>
      <w:r w:rsidRPr="00642480">
        <w:rPr>
          <w:rFonts w:ascii="Arial" w:eastAsia="Arial" w:hAnsi="Arial" w:cs="Arial"/>
          <w:color w:val="595959" w:themeColor="text1" w:themeTint="A6"/>
          <w:sz w:val="20"/>
        </w:rPr>
        <w:t xml:space="preserve">VYHODNOCENÍ: U tohoto dotačního titulu byly podpořeny všechny tři předložené žádosti v celkovém objemu 2 132 900 Kč. Jednalo se o žádosti všech tří univerzit v Moravskoslezském kraji – VŠB – TU Ostrava, Ostravské univerzity v Ostravě a Slezské univerzity v Opavě (byly to souhrnné žádosti za všechny doktorandy/absolventy doktorského studia za každou univerzitu). V případě VŠB </w:t>
      </w:r>
      <w:r w:rsidR="008127EE" w:rsidRPr="00642480">
        <w:rPr>
          <w:rFonts w:ascii="Arial" w:eastAsia="Arial" w:hAnsi="Arial" w:cs="Arial"/>
          <w:color w:val="595959" w:themeColor="text1" w:themeTint="A6"/>
          <w:sz w:val="20"/>
        </w:rPr>
        <w:t xml:space="preserve">– </w:t>
      </w:r>
      <w:r w:rsidRPr="00642480">
        <w:rPr>
          <w:rFonts w:ascii="Arial" w:eastAsia="Arial" w:hAnsi="Arial" w:cs="Arial"/>
          <w:color w:val="595959" w:themeColor="text1" w:themeTint="A6"/>
          <w:sz w:val="20"/>
        </w:rPr>
        <w:t xml:space="preserve">TU Ostrava se jednalo např. o absolventy zaměřující se na aplikovaný výzkum v oblasti materiálového a energetického využití tuhého komunálního odpadu se zaměřením na anaerobní digesci, využití </w:t>
      </w:r>
      <w:r w:rsidRPr="00642480">
        <w:rPr>
          <w:rFonts w:ascii="Arial" w:eastAsia="Arial" w:hAnsi="Arial" w:cs="Arial"/>
          <w:color w:val="595959" w:themeColor="text1" w:themeTint="A6"/>
          <w:sz w:val="20"/>
        </w:rPr>
        <w:lastRenderedPageBreak/>
        <w:t xml:space="preserve">principů a modelů systémové dynamiky k simulaci efektivity letiště nebo o studenty věnující se např. problematice podvozků se segmentovými koly či vlivu počáteční teploty a tlaku na výbuchové parametry prachovzdušných směsí. V případě Ostravské univerzity se podpoření studenti a absolventi doktorského studia zaměřují např. na problematiku kvality prostředí pro zdravotní péči či elektroanalýzu s modifikovanými elektrodami nebo studiem sorpce na silikátových materiálech. </w:t>
      </w:r>
      <w:r w:rsidR="00027DB3">
        <w:rPr>
          <w:rFonts w:ascii="Arial" w:eastAsia="Arial" w:hAnsi="Arial" w:cs="Arial"/>
          <w:color w:val="595959" w:themeColor="text1" w:themeTint="A6"/>
          <w:sz w:val="20"/>
        </w:rPr>
        <w:t>U </w:t>
      </w:r>
      <w:r w:rsidRPr="00642480">
        <w:rPr>
          <w:rFonts w:ascii="Arial" w:eastAsia="Arial" w:hAnsi="Arial" w:cs="Arial"/>
          <w:color w:val="595959" w:themeColor="text1" w:themeTint="A6"/>
          <w:sz w:val="20"/>
        </w:rPr>
        <w:t>Slezské univerzity v Opavě se podpoření absolventi soustředí např. na výzkum vysokofrekvenčních kvaziperiodických oscilací v rentgenovém záření akrečních disků v poli kompaktních objektů nebo na výzkum v oblasti gramatických systémů; podpoření studenti se zaměřují na matematickou analýzu, teoretickou fyziku a astrofyziku.</w:t>
      </w:r>
    </w:p>
    <w:p w:rsidR="000A2CA8" w:rsidRPr="00642480" w:rsidRDefault="00E73B91" w:rsidP="00EF6A9F">
      <w:pPr>
        <w:jc w:val="both"/>
        <w:rPr>
          <w:color w:val="595959" w:themeColor="text1" w:themeTint="A6"/>
        </w:rPr>
      </w:pPr>
      <w:r w:rsidRPr="00642480">
        <w:rPr>
          <w:rFonts w:ascii="Arial" w:eastAsia="Arial" w:hAnsi="Arial" w:cs="Arial"/>
          <w:color w:val="595959" w:themeColor="text1" w:themeTint="A6"/>
          <w:sz w:val="20"/>
        </w:rPr>
        <w:t xml:space="preserve">Alokace vyčleněná pro tento titul byla ve výši 1 125 000 Kč (došlo k převodu části disponibilních prostředků z dotačních titulů 1 a 2). </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Moravskoslezský kraj</w:t>
      </w:r>
    </w:p>
    <w:p w:rsidR="000A2CA8" w:rsidRPr="00642480" w:rsidRDefault="00E73B91" w:rsidP="00265C3D">
      <w:pPr>
        <w:numPr>
          <w:ilvl w:val="0"/>
          <w:numId w:val="1"/>
        </w:numPr>
        <w:tabs>
          <w:tab w:val="num" w:pos="720"/>
        </w:tabs>
        <w:ind w:hanging="360"/>
        <w:jc w:val="both"/>
        <w:rPr>
          <w:color w:val="595959" w:themeColor="text1" w:themeTint="A6"/>
          <w:sz w:val="20"/>
        </w:rPr>
      </w:pPr>
      <w:r w:rsidRPr="00265C3D">
        <w:rPr>
          <w:rFonts w:ascii="Arial" w:eastAsiaTheme="minorEastAsia" w:hAnsi="Arial" w:cs="Arial"/>
          <w:b/>
          <w:bCs/>
          <w:color w:val="595959" w:themeColor="text1" w:themeTint="A6"/>
          <w:sz w:val="20"/>
        </w:rPr>
        <w:t>Stav</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Rozvoj tvrdých a měkkých kompetencí výzkumných pracovníků ve znalostních institucích</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V roce 2014 se tato aktivita realizovala v podstatně menším rozsahu, zpravidla se jednalo o jednotky vzdělávacích kurzů, které tvořily doplněk projektů primárně zaměřených na rozvoj odborných kompetencí výzkumných pracovníků v konkrétním oboru. Zvláštní pozornost byla věnována kurzům coachingu, jejichž cílem je zlepšit schopnosti řešitelských týmů v oblasti přípravy a realizace komercializace.</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Vzdělávací kurzy byly podpořeny z operačních programů OP VaVpI a OP VK. Realizovalo se 12 kurzů pro 32 výzkumných pracovníků. Jednalo se o 6 kurzů angličtiny, jichž se účastnilo 20 osob (akademičtí pracovníci a Ph.D. studenti Fakulty elekt</w:t>
      </w:r>
      <w:r w:rsidR="00027DB3">
        <w:rPr>
          <w:rFonts w:ascii="Arial" w:eastAsia="Arial" w:hAnsi="Arial" w:cs="Arial"/>
          <w:color w:val="595959" w:themeColor="text1" w:themeTint="A6"/>
          <w:sz w:val="20"/>
        </w:rPr>
        <w:t>rotechniky a informatiky) a o 6 </w:t>
      </w:r>
      <w:r w:rsidRPr="00642480">
        <w:rPr>
          <w:rFonts w:ascii="Arial" w:eastAsia="Arial" w:hAnsi="Arial" w:cs="Arial"/>
          <w:color w:val="595959" w:themeColor="text1" w:themeTint="A6"/>
          <w:sz w:val="20"/>
        </w:rPr>
        <w:t xml:space="preserve">coachingových kurzů, do kterých bylo zapojeno 12 osob (6 pracovníků Útvaru komercializace výsledků VaV Centra podpory inovací VŠB-TUO, 3 pracovníci Fakulty strojní, a po jednom pracovníkovi Centra nanotechnologií, Výzkumného energetického centra a Institutu environmentálních technologií). </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VŠB-TU Ostrava</w:t>
      </w:r>
    </w:p>
    <w:p w:rsidR="000A2CA8" w:rsidRPr="00642480" w:rsidRDefault="00E73B91">
      <w:pPr>
        <w:numPr>
          <w:ilvl w:val="0"/>
          <w:numId w:val="20"/>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Příležitost pro mladé výzkumníky &amp; nové kreativní týmy v prioritách vědeckého bádání</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Cílem obou projektů je podpořit mladé české i zahraniční vědce - postdoktorandy, aby dále pokračovali ve své vědecké kariéře. Univerzita jim k tomu vytváří takové podmínky, aby za dobu 2 – 3 let dosáhli ve svém oboru skutečně výrazného pokroku. Postdok</w:t>
      </w:r>
      <w:r w:rsidR="00620236">
        <w:rPr>
          <w:rFonts w:ascii="Arial" w:eastAsia="Arial" w:hAnsi="Arial" w:cs="Arial"/>
          <w:color w:val="595959" w:themeColor="text1" w:themeTint="A6"/>
          <w:sz w:val="20"/>
        </w:rPr>
        <w:t>atorandi získávají zkušenosti v </w:t>
      </w:r>
      <w:r w:rsidRPr="00642480">
        <w:rPr>
          <w:rFonts w:ascii="Arial" w:eastAsia="Arial" w:hAnsi="Arial" w:cs="Arial"/>
          <w:color w:val="595959" w:themeColor="text1" w:themeTint="A6"/>
          <w:sz w:val="20"/>
        </w:rPr>
        <w:t>zahraničí, ať už formou dlouhodobých stáží nebo tím, že se účastní mezinárodních konferencí. Spolupracují s domácími nebo zahraničními soukromými podniky a tím více propojují univerzitu s aplikační sférou. Píší také odborné publikace, vytvářejí různé prototypy, funkční vzorky, výpočetní programy a podobně. Rovněž jsou v kontaktu se studenty, přednáší, vedou semináře nebo organizují vlastní odborné akce, kde prezentují své vědecké výsledky. Tak přibližují vědu svým ještě mladším kolegům.</w:t>
      </w:r>
      <w:r w:rsidRPr="00642480">
        <w:rPr>
          <w:color w:val="595959" w:themeColor="text1" w:themeTint="A6"/>
          <w:sz w:val="20"/>
        </w:rPr>
        <w:t xml:space="preserve"> </w:t>
      </w:r>
      <w:r w:rsidRPr="00642480">
        <w:rPr>
          <w:rFonts w:ascii="Arial" w:eastAsia="Arial" w:hAnsi="Arial" w:cs="Arial"/>
          <w:color w:val="595959" w:themeColor="text1" w:themeTint="A6"/>
          <w:sz w:val="20"/>
        </w:rPr>
        <w:t>Své aktivity přitom konzultují se zkušenými mentory zpravidla z řad docentů a profesorů.</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 xml:space="preserve">VYHODNOCENÍ: </w:t>
      </w:r>
      <w:r w:rsidRPr="00642480">
        <w:rPr>
          <w:rFonts w:ascii="Arial" w:eastAsia="Arial" w:hAnsi="Arial" w:cs="Arial"/>
          <w:color w:val="595959" w:themeColor="text1" w:themeTint="A6"/>
          <w:sz w:val="20"/>
        </w:rPr>
        <w:t xml:space="preserve">Projekty byly podpořeny z operačního programu OP VK. V roce 2014 bylo podpořeno 90 pracovních míst pro mladé výzkumníky na VŠB – TU Ostrava. Polovina postdoktorandů má titul z jiné univerzity než z VŠB – TU Ostrava (jedná se o postdoktorandy z jiných univerzit ČR, ale </w:t>
      </w:r>
      <w:r w:rsidRPr="00642480">
        <w:rPr>
          <w:rFonts w:ascii="Arial" w:eastAsia="Arial" w:hAnsi="Arial" w:cs="Arial"/>
          <w:color w:val="595959" w:themeColor="text1" w:themeTint="A6"/>
          <w:sz w:val="20"/>
        </w:rPr>
        <w:lastRenderedPageBreak/>
        <w:t>také např. ze Slovenska, Itálie, Španělska, Uruguaye, Ruska, Indie, Vietnamu a jiných zemí). Pracovní místa pro postdoktorandy byla vytvořena v</w:t>
      </w:r>
      <w:r w:rsidR="00AA5055">
        <w:rPr>
          <w:rFonts w:ascii="Arial" w:eastAsia="Arial" w:hAnsi="Arial" w:cs="Arial"/>
          <w:color w:val="595959" w:themeColor="text1" w:themeTint="A6"/>
          <w:sz w:val="20"/>
        </w:rPr>
        <w:t> </w:t>
      </w:r>
      <w:r w:rsidRPr="00642480">
        <w:rPr>
          <w:rFonts w:ascii="Arial" w:eastAsia="Arial" w:hAnsi="Arial" w:cs="Arial"/>
          <w:color w:val="595959" w:themeColor="text1" w:themeTint="A6"/>
          <w:sz w:val="20"/>
        </w:rPr>
        <w:t>oblastech</w:t>
      </w:r>
      <w:r w:rsidR="00AA5055">
        <w:rPr>
          <w:rFonts w:ascii="Arial" w:eastAsia="Arial" w:hAnsi="Arial" w:cs="Arial"/>
          <w:color w:val="595959" w:themeColor="text1" w:themeTint="A6"/>
          <w:sz w:val="20"/>
        </w:rPr>
        <w:t>,</w:t>
      </w:r>
      <w:r w:rsidRPr="00642480">
        <w:rPr>
          <w:rFonts w:ascii="Arial" w:eastAsia="Arial" w:hAnsi="Arial" w:cs="Arial"/>
          <w:color w:val="595959" w:themeColor="text1" w:themeTint="A6"/>
          <w:sz w:val="20"/>
        </w:rPr>
        <w:t xml:space="preserve"> jako jsou např. informační technologie pro řešení krizových situací, chytré systémy v energetice, spalování v kotlích, dekontaminace báňských vod, vzdálená péče v medicíně, mechatronika, hydraulika, robotika, nové materiály a nanotechnologie, bezpečnost technologií, ekonomické modelování, aj.</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VŠB-TU Ostrava </w:t>
      </w:r>
    </w:p>
    <w:p w:rsidR="000A2CA8" w:rsidRPr="00642480" w:rsidRDefault="00E73B91">
      <w:pPr>
        <w:numPr>
          <w:ilvl w:val="0"/>
          <w:numId w:val="20"/>
        </w:numPr>
        <w:ind w:hanging="360"/>
        <w:rPr>
          <w:color w:val="595959" w:themeColor="text1" w:themeTint="A6"/>
          <w:sz w:val="20"/>
        </w:rPr>
      </w:pPr>
      <w:r w:rsidRPr="00642480">
        <w:rPr>
          <w:rFonts w:ascii="Arial" w:eastAsia="Arial" w:hAnsi="Arial" w:cs="Arial"/>
          <w:b/>
          <w:color w:val="595959" w:themeColor="text1" w:themeTint="A6"/>
          <w:sz w:val="20"/>
        </w:rPr>
        <w:t xml:space="preserve">Stav projektu: </w:t>
      </w:r>
      <w:r w:rsidRPr="00642480">
        <w:rPr>
          <w:rFonts w:ascii="Arial" w:eastAsia="Arial" w:hAnsi="Arial" w:cs="Arial"/>
          <w:color w:val="595959" w:themeColor="text1" w:themeTint="A6"/>
          <w:sz w:val="20"/>
        </w:rPr>
        <w:t>SPLNĚN</w:t>
      </w:r>
    </w:p>
    <w:p w:rsidR="000A2CA8" w:rsidRPr="00265C3D" w:rsidRDefault="00E73B91" w:rsidP="00265C3D">
      <w:pPr>
        <w:pStyle w:val="Nadpis2"/>
        <w:ind w:hanging="576"/>
        <w:rPr>
          <w:rFonts w:eastAsia="Arial"/>
        </w:rPr>
      </w:pPr>
      <w:bookmarkStart w:id="23" w:name="h.26in1rg" w:colFirst="0" w:colLast="0"/>
      <w:bookmarkStart w:id="24" w:name="_Toc416179820"/>
      <w:bookmarkEnd w:id="23"/>
      <w:r w:rsidRPr="00642480">
        <w:rPr>
          <w:rFonts w:eastAsia="Arial"/>
        </w:rPr>
        <w:t>SC B3 – Zvýšení mobility lidských zdrojů ze zahraničních znalostních institucí a firem do MSK</w:t>
      </w:r>
      <w:bookmarkEnd w:id="24"/>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Podpora vědy a výzkumu v Moravskoslezském kraji, Dotační titul 1 Podpora vytváření a rozvoje kvalitních týmů výzkumu a vývoje a jejich dalšího rozvoje v přírodovědných, matematickofyzikálních, medicínských a technických oborech realizovaných v Moravskoslezském kraji</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Cílem tohoto krajského programu je poskytnout výzkumným organizacím v Moravskoslezském kraji finanční podporu pro přilákání zahraničních výzkumných pracovníků, kteří se zapojí do výzkumné a přednáškové činnosti v Moravskoslezském kraji. Tímto bude stimulován přenos know-how ve výzkumu a vývoji ze zahraničí a zvyšovány/rozšiřovány tak odborné znalosti našich výzkumných pracovníků a studentů.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rámci tohoto titulu bylo podpořeno všech pět přijatých žádostí v celkovém objemu 18 992 000 Kč, celková alokace pro tento dotační titul činila 20 mil. Kč. Mezi podp</w:t>
      </w:r>
      <w:r w:rsidR="00AA5055">
        <w:rPr>
          <w:rFonts w:ascii="Arial" w:eastAsia="Arial" w:hAnsi="Arial" w:cs="Arial"/>
          <w:color w:val="595959" w:themeColor="text1" w:themeTint="A6"/>
          <w:sz w:val="20"/>
        </w:rPr>
        <w:t xml:space="preserve">ořenými subjekty jsou VŠB – TU </w:t>
      </w:r>
      <w:r w:rsidRPr="00642480">
        <w:rPr>
          <w:rFonts w:ascii="Arial" w:eastAsia="Arial" w:hAnsi="Arial" w:cs="Arial"/>
          <w:color w:val="595959" w:themeColor="text1" w:themeTint="A6"/>
          <w:sz w:val="20"/>
        </w:rPr>
        <w:t>Ostrava, Ostravská univerzita v Ostravě, Slezská univerzita v Opavě, Fakultní nemocnice Ostrava a Ústav geoniky AV ČR. Obsahově lze schválené žádosti rozdělit do dvou kategorií: žádosti komplexní pokrývající zapojení zahraničních výzkumníků ve všech či většině výzkumných aktivit dané</w:t>
      </w:r>
      <w:r w:rsidR="00AA5055">
        <w:rPr>
          <w:rFonts w:ascii="Arial" w:eastAsia="Arial" w:hAnsi="Arial" w:cs="Arial"/>
          <w:color w:val="595959" w:themeColor="text1" w:themeTint="A6"/>
          <w:sz w:val="20"/>
        </w:rPr>
        <w:t xml:space="preserve"> výzkumné organizace (VŠB – TU </w:t>
      </w:r>
      <w:r w:rsidRPr="00642480">
        <w:rPr>
          <w:rFonts w:ascii="Arial" w:eastAsia="Arial" w:hAnsi="Arial" w:cs="Arial"/>
          <w:color w:val="595959" w:themeColor="text1" w:themeTint="A6"/>
          <w:sz w:val="20"/>
        </w:rPr>
        <w:t xml:space="preserve">Ostrava, Ostravská univerzita v Ostravě) a žádosti zaměřující se na zapojení zahraničních výzkumných pracovníků ve specifičtějším spektru výzkumných oblastí (Fakultní nemocnice Ostrava – biotechnologie, Ústav geoniky AV ČR – těžební metoda Room and Pillar, Slezská univerzita v Opavě – výzkumné aktivity Filozoficko-přírodovědecké fakulty). </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w:t>
      </w:r>
      <w:r w:rsidR="00AA5055" w:rsidRPr="00642480">
        <w:rPr>
          <w:rFonts w:ascii="Arial" w:eastAsia="Arial" w:hAnsi="Arial" w:cs="Arial"/>
          <w:color w:val="595959" w:themeColor="text1" w:themeTint="A6"/>
          <w:sz w:val="20"/>
        </w:rPr>
        <w:t>Moravskoslezský kraj</w:t>
      </w:r>
    </w:p>
    <w:p w:rsidR="000A2CA8" w:rsidRPr="00642480" w:rsidRDefault="00E73B91">
      <w:pPr>
        <w:numPr>
          <w:ilvl w:val="0"/>
          <w:numId w:val="14"/>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25" w:name="h.lnxbz9" w:colFirst="0" w:colLast="0"/>
      <w:bookmarkStart w:id="26" w:name="_Toc416179821"/>
      <w:bookmarkEnd w:id="25"/>
      <w:r w:rsidRPr="00642480">
        <w:rPr>
          <w:rFonts w:eastAsia="Arial"/>
        </w:rPr>
        <w:t>SC B4 – Zvýšení počtu absolventů technických oborů a identifikace technických talentů</w:t>
      </w:r>
      <w:bookmarkEnd w:id="26"/>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Projekty na podporu technického vzdělávání a popularizace talentů</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Cílem projektů je zvýšení motivace žáků ke studiu technických a přírodovědeckých oborů, zlepšení podmínek pro technické vzdělávání na školách a v konečném důsledku zvýšení technických kompetencí absolventů – prostřednictvím podpory technického a přírodovědeckého vzdělávání a systematické práce s talentovanými jedinci na základních, středních a vysokých školách. Cílovou skupinou jsou rovněž pedagogové základních a středních škol, kdy hlavním cílem je seznámení se </w:t>
      </w:r>
      <w:r w:rsidRPr="00642480">
        <w:rPr>
          <w:rFonts w:ascii="Arial" w:eastAsia="Arial" w:hAnsi="Arial" w:cs="Arial"/>
          <w:color w:val="595959" w:themeColor="text1" w:themeTint="A6"/>
          <w:sz w:val="20"/>
        </w:rPr>
        <w:lastRenderedPageBreak/>
        <w:t>v praxi s nejnovějšími trendy v technických oborech, pochopení důležitosti technického vzdělání a jeho návaznost na uplatnitelnost na trhu práce v našem kraji.</w:t>
      </w:r>
    </w:p>
    <w:p w:rsidR="000A2CA8" w:rsidRPr="00405AA6" w:rsidRDefault="00E73B91">
      <w:pPr>
        <w:jc w:val="both"/>
        <w:rPr>
          <w:rFonts w:ascii="Arial" w:eastAsia="Arial" w:hAnsi="Arial" w:cs="Arial"/>
          <w:color w:val="595959" w:themeColor="text1" w:themeTint="A6"/>
          <w:sz w:val="20"/>
        </w:rPr>
      </w:pPr>
      <w:r w:rsidRPr="00642480">
        <w:rPr>
          <w:rFonts w:ascii="Arial" w:eastAsia="Arial" w:hAnsi="Arial" w:cs="Arial"/>
          <w:color w:val="595959" w:themeColor="text1" w:themeTint="A6"/>
          <w:sz w:val="20"/>
        </w:rPr>
        <w:t>Realizace projektů v delším časovém horizontu přispěje k lepšímu sladění nabídky a poptávky na trhu práce (sladění požadované kvalifikace ve vybrané technické specializaci s trendy daného oboru), čímž podpoří další rozvoj ekonomiky Moravskoslezského kraje, resp. kvalitu životní úrovně obyvatel kraje. Důležitým vedlejším efektem realizace projektů je popularizace a zvyšování prestiže tech. oborů, informovanost směrem k rodičům dětí o perspektivnosti těchto oborů s cílem setrvání jejich dětí v technické profesi a rozvoj spolupráce jednotlivých škol a podnikové sféry v kraji.</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této kategorii bylo realizováno několik projektů od různých subjektů. V rámci jejich realizace proběhlo mnoho různorodých aktivit/akcí, jako např. projektové dny, odborné exkurze do firem, technické workshopy, soutěže, řemeslné tvůrčí dílny, besedy a přednášky s odborníky z praxe apod.</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Z oblasti popularizace tech. vzdělávání na základních školách se jednalo např. o projekty „Technika nás baví“, „Řemesla nás baví“, „Česko-Slovensko má technický talent“, kdy se celkem v roce 2014 uskutečnilo cca 60 akcí / aktivit s účastí cca 2,5 tis. žáků. Jak pro základní, tak i pro střední školy byl pak určen projekt „Tvoje budoucnost – tvoje volba“, ve kterém se uskutečnilo 130 akcí / aktivit s účastí cca 2,6 tis. žáků a studentů a 122 pedagogů a projekt „Ambasadoři přírodovědných a technických oborů“ se zapojením cca 3,4 tis. žáků středních škol do více než 300 akcí / aktivit projektu. Do projektu „Technické vzdělání – Brána k úspěchu“ se pak v roce 2014 zapojilo cca 2,6 tis. žáků a studentů základních a středních škol v rámci 125 uskutečněných akcí / aktivit. V projektu „Základní a střední škola pro budoucnost“, cíleném na pedagogy základních a středních škol, bylo podpořeno celkem cca 2,6 tis. pedagogů v rámci 154 uskutečněných akcí / aktivit.</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Agentura pro regionální rozvoj, VŠB-TU Ostrava, Krajská hospodářská komora a jiné instituce</w:t>
      </w:r>
    </w:p>
    <w:p w:rsidR="000A2CA8" w:rsidRPr="00642480" w:rsidRDefault="00E73B91">
      <w:pPr>
        <w:numPr>
          <w:ilvl w:val="0"/>
          <w:numId w:val="14"/>
        </w:numPr>
        <w:ind w:hanging="360"/>
        <w:rPr>
          <w:color w:val="595959" w:themeColor="text1" w:themeTint="A6"/>
          <w:sz w:val="20"/>
        </w:rPr>
      </w:pPr>
      <w:bookmarkStart w:id="27" w:name="h.35nkun2" w:colFirst="0" w:colLast="0"/>
      <w:bookmarkEnd w:id="27"/>
      <w:r w:rsidRPr="00642480">
        <w:rPr>
          <w:rFonts w:ascii="Arial" w:eastAsia="Arial" w:hAnsi="Arial" w:cs="Arial"/>
          <w:b/>
          <w:color w:val="595959" w:themeColor="text1" w:themeTint="A6"/>
          <w:sz w:val="20"/>
        </w:rPr>
        <w:t xml:space="preserve">Stav projektu: </w:t>
      </w:r>
      <w:r w:rsidRPr="00642480">
        <w:rPr>
          <w:rFonts w:ascii="Arial" w:eastAsia="Arial" w:hAnsi="Arial" w:cs="Arial"/>
          <w:color w:val="595959" w:themeColor="text1" w:themeTint="A6"/>
          <w:sz w:val="20"/>
        </w:rPr>
        <w:t>SPLNĚN</w:t>
      </w:r>
    </w:p>
    <w:p w:rsidR="000A2CA8" w:rsidRPr="00642480" w:rsidRDefault="00E73B91">
      <w:pPr>
        <w:rPr>
          <w:color w:val="595959" w:themeColor="text1" w:themeTint="A6"/>
        </w:rPr>
      </w:pPr>
      <w:r w:rsidRPr="00642480">
        <w:rPr>
          <w:color w:val="595959" w:themeColor="text1" w:themeTint="A6"/>
        </w:rPr>
        <w:br w:type="page"/>
      </w:r>
    </w:p>
    <w:p w:rsidR="000A2CA8" w:rsidRPr="00265C3D" w:rsidRDefault="00E73B91" w:rsidP="00265C3D">
      <w:pPr>
        <w:pStyle w:val="Nadpis1"/>
        <w:numPr>
          <w:ilvl w:val="0"/>
          <w:numId w:val="12"/>
        </w:numPr>
        <w:ind w:hanging="432"/>
      </w:pPr>
      <w:bookmarkStart w:id="28" w:name="h.1ksv4uv" w:colFirst="0" w:colLast="0"/>
      <w:bookmarkStart w:id="29" w:name="_Toc416179822"/>
      <w:bookmarkEnd w:id="28"/>
      <w:r w:rsidRPr="00265C3D">
        <w:lastRenderedPageBreak/>
        <w:t>Horizontální prioritní oblast C – INTERNACIONALIZACE</w:t>
      </w:r>
      <w:bookmarkEnd w:id="29"/>
    </w:p>
    <w:p w:rsidR="000A2CA8" w:rsidRPr="00265C3D" w:rsidRDefault="00E73B91" w:rsidP="00265C3D">
      <w:pPr>
        <w:pStyle w:val="Nadpis2"/>
        <w:ind w:hanging="576"/>
        <w:rPr>
          <w:rFonts w:eastAsia="Arial"/>
        </w:rPr>
      </w:pPr>
      <w:bookmarkStart w:id="30" w:name="h.44sinio" w:colFirst="0" w:colLast="0"/>
      <w:bookmarkStart w:id="31" w:name="_Toc416179823"/>
      <w:bookmarkEnd w:id="30"/>
      <w:r w:rsidRPr="00642480">
        <w:rPr>
          <w:rFonts w:eastAsia="Arial"/>
        </w:rPr>
        <w:t xml:space="preserve">SC C1 – Zvýšení intenzity navazování mezinárodních kontaktů a účasti </w:t>
      </w:r>
      <w:r w:rsidRPr="00642480">
        <w:rPr>
          <w:rFonts w:eastAsia="Arial"/>
        </w:rPr>
        <w:br/>
        <w:t>v mezinárodních iniciativách a projektech VaV</w:t>
      </w:r>
      <w:bookmarkEnd w:id="31"/>
      <w:r w:rsidRPr="00642480">
        <w:rPr>
          <w:rFonts w:eastAsia="Arial"/>
        </w:rPr>
        <w:t xml:space="preserve"> </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Brokerage Events</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Pravidelné pořádání (1x ročně) specializovaných akcí k prezentaci nejnovějších poznatků výzkumu a vývoje za účasti výzkumných pracovníků a dalších odborníků z firem, univerzit, výzkumných ústavů, klastrových organizací, aj. z Moravskoslezského kraje i zahraničí. Akce jsou věnovány vždy konkrétním vybraným odvětvím (či jejich segmentům), která patří mezi tradiční nosná či nová perspektivní odvětví s inovačním potenciálem v kraji.</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roce 2014 se uskutečnila již pravidelná odborná konference Brokerage Event, tentokrát na téma „Vývoj a aplikace nových trendů při zajišťování bezpečnosti a ochrany obyvatelstva“. Této akce se zúčastnilo přibližně 120 účastníků z řad univerzit, výzkumných ústavů, firem z oblasti bezpečnostních technologií, Hasičského záchranného sboru, Ministerstva vnitra ČR a dalších veřejných institucí. Již tradičně přednášeli na této konferenci také experti ze zahraničí, konkrétně z Německa, Francie a Slovenska. Nejčastěji diskutovanými tématy mezi našimi a zahraničními odborníky byly bezpečnostní technologie pro předcházení škodám v průmyslové výrobě a integrované systémy pro zajištění bezpečnosti obyvatelstva. Tato témata jsou základem pro nové potenciální mezinárodní výzkumné projekty s účastí odborníků z našeho kraje. </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Agentura pro regionální rozvoj, Krajská Hospodářská komora MSK</w:t>
      </w:r>
    </w:p>
    <w:p w:rsidR="000A2CA8" w:rsidRPr="00642480" w:rsidRDefault="00E73B91">
      <w:pPr>
        <w:numPr>
          <w:ilvl w:val="0"/>
          <w:numId w:val="2"/>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ETTBio</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Projekt ETTBio (Efektivní transfer technologií v oboru biotechnologií) je meziregionálním projektem sedmi evropských regionů, v rámci něhož budou identifikovány a přenášeny nejlepší praktiky efektivního transferu biotechnologií mezi jednotlivými regiony. V první fázi projektu bude vytvořen katalog srovnávacích kritérií pro posuzování efektivity transferu biotechnologií. Tato kritéria budou použita pro analýzu aktuální situace v daném regionu a pro každý případ zvlášť budou vytipovány nejvhodnější praktiky a nástroje. Na základě identifikace problémů a příležitostí budou poté navrženy strategie a implementační nástroje, které budou představeny národní i evropské politické reprezentaci a subjektům zainteresovaným v oblasti biotechnologií. Finálním výstupem budou konkrétní strategie a politiky, které pomohou daný region v oblasti transferu biotechnologií dále rozvinout.</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roce 2014 byly v rámci projektu identifikovány vhodné případové studie zahraničních partnerů, reprezentující konkrétní nástroje podpory odvětví biotechnologií, které by se daly využít v modifikované podobě v MSK. Poté byly tyto studie upraveny dle potřeb MSK, návazně na ně pak byl vytvořen finální výstup projektu – regionální implementační plán a politická doporučení pro rozvoj odvětví biotechnologií a biomedicíny v MSK, jichž jsou uvedené případové studie součástí (představují konkrétní aktivity tohoto výstupního dokumentu). Kromě toho byl v minulém roce založen Moravskoslezský biotechnologický klastr, v tuto chvíli neformální seskupení aktérů v oboru biomedicíny a biotechnologií. Klastr je koordinován Agenturou pro regionální rozvoj, má 20 členů, mezi které patří např. Fakultní nemocnice Ostrava, Ostravská univerzita, VŠB – TU Ostrava, Zdravotní ústav v Ostravě, firma PrimeCell Therapeutics, biotechnologický park 4MEDI, firmy Mölnlycke Healthcare a ING Corporation, aj.</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lastRenderedPageBreak/>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 xml:space="preserve">: </w:t>
      </w:r>
      <w:r w:rsidRPr="00642480">
        <w:rPr>
          <w:rFonts w:ascii="Arial" w:eastAsia="Arial" w:hAnsi="Arial" w:cs="Arial"/>
          <w:color w:val="595959" w:themeColor="text1" w:themeTint="A6"/>
          <w:sz w:val="20"/>
        </w:rPr>
        <w:t>Agentura pro regionální rozvoj</w:t>
      </w:r>
    </w:p>
    <w:p w:rsidR="000A2CA8" w:rsidRPr="00642480" w:rsidRDefault="00E73B91">
      <w:pPr>
        <w:numPr>
          <w:ilvl w:val="0"/>
          <w:numId w:val="2"/>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Regionální kontaktní organizace pro 7. RP, Kancelář podpory mezinárodního výzkumu a mobilit v Moravskoslezském kr</w:t>
      </w:r>
      <w:r w:rsidR="008127EE">
        <w:rPr>
          <w:rFonts w:ascii="Arial" w:eastAsia="Arial" w:hAnsi="Arial" w:cs="Arial"/>
          <w:b/>
          <w:color w:val="595959" w:themeColor="text1" w:themeTint="A6"/>
          <w:u w:val="single"/>
        </w:rPr>
        <w:t>aji</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Jedná se o kontaktní centrum, jehož účelem je poskytovat všem relevantním cílovým skupinám (univerzity, firmy, klastry, aj.) informace na jednom místě o evropských programech pro podporu mezinárodní spolupráce ve výzkumu a vývoji a vyhlašovaných výzvách – aktuálně se jedná zejména o program Horizont 2020, ale i jiné (např. Vyšegradský fond, programy sítě EraNet).</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Projekt je naplňován zejména pořádáním workshopů a seminářů věnovaných konkrétním výzvám v programu Horizont 2020 s cílem zvýšit povědomí cílových skupin o těchto výzvách a motivovat je k předkládání projektů. V roce 2014 bylo uskutečněno celkem 11 seminářů a jeden Brokerage Event horizontálního charakteru (propojení cílových skupin ze všech odvětvových sektorů ke generování projektů k předkládání do výzev v programu Horizont 2020; spolupořádajícími partnery byly KHK MSK a ARR).</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Další uskutečněnou akcí byla akce „Brokerage Event Horizon 2020", kterou pořádala Hospodářská komora MSK. Jednalo se o akci zaměřenou na možnosti zapojení firem, univerzit a výzkumných institucí do společných projektů výzkumu, vývoje a inovací dotovaných programů Evropské komise. Součástí akce byla dvoustranná jednání, seminář o programech Horizon 2020 a COSME a workshop o využití národního superpočítačového centra. Semináře se zúčastnilo 161 účastníků z ČR, Slovenska a Polska, dvoustranných jednání pak 169 účastníků reprezentujících firmy, vysoké školy a výzkumné instituce (63 z ČR, 51 z Polska, 27 z Maďarska, 19 ze Slovenska, 2 z Rakouska, 2 ze Slovinska a po jednom účastníkovi z Německa, Itálie, Ukrajiny, Portugalska a Velké Británie). Realizovalo se 388 schůzek, z toho 317 mezinárodních, celkem v 16 případech pak došlo k domluvě konkrétní spolupráce.</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CPI VŠB-TU Ostrava</w:t>
      </w:r>
    </w:p>
    <w:p w:rsidR="000A2CA8" w:rsidRPr="00642480" w:rsidRDefault="00E73B91">
      <w:pPr>
        <w:numPr>
          <w:ilvl w:val="0"/>
          <w:numId w:val="15"/>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Inovační Tour – Fraunhofer Freiburg (SRN)</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ARR pořádá každoročně pro firmy, výzkumné organizace a klastry z</w:t>
      </w:r>
      <w:r w:rsidR="00405AA6">
        <w:rPr>
          <w:rFonts w:ascii="Arial" w:eastAsia="Arial" w:hAnsi="Arial" w:cs="Arial"/>
          <w:color w:val="595959" w:themeColor="text1" w:themeTint="A6"/>
          <w:sz w:val="20"/>
        </w:rPr>
        <w:t xml:space="preserve"> Moravskoslezského kraje </w:t>
      </w:r>
      <w:r w:rsidRPr="00642480">
        <w:rPr>
          <w:rFonts w:ascii="Arial" w:eastAsia="Arial" w:hAnsi="Arial" w:cs="Arial"/>
          <w:color w:val="595959" w:themeColor="text1" w:themeTint="A6"/>
          <w:sz w:val="20"/>
        </w:rPr>
        <w:t>návštěvy excelentních výzkumných center (veřejných i privátních) v zahraničí. Jedná se o cílené akce vždy pro vybraný okruh účastníků z konkrétní oblasti výzkumu a vývoje (ve vazbě na technologické domény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Cílem těchto návštěv je detailní prezentace výzkumných aktivit našich a zahraničních organizací a následné brainstormingové aktivity k identifikování vhodných témat výzkumné spolupráce a konkrétních mezinárodních výzkumných projektů k jejich naplnění.</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xml:space="preserve"> V říjnu 2014 se uskutečnila návštěva světoznámého německého státního výzkumného institutu Fraunhofer, konkrétně byla navštívena pobočka ve Freiburgu, specializující se na materiálový výzkum. Návštěvy se zúčastnili zástupci ARR, Třineckých železáren, Materiálového a metalurgického výzkumu a VŠB TU Ostrava, Regionálního materiálově-technologického výzkumného centra. Byla identifikována následující témata vzájemné spolupráce:</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Boční škálovací testy (VŠB – RMTVC),</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Analýza variability charakteristik materiálů (VŠB – RMTVC),</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Kritéria hodnocení mikrovzorků (VŠB – RMTVC),</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lastRenderedPageBreak/>
        <w:t>Vysokorychlostní testovací zařízení (VŠB – RMTVC),</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Vysoce odolné stabilní oceli (trubky pro elektrárny) (MMV),</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Testování životnosti materiálů pomocí metody malých vzorků (MMV),</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Výroba speciálních ocelí pro testovací procesy ve Fraunhofer (se zvláštním složením) (MMV),</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Válcované trubky – design a testy (MMV),</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Testování řetězových článků (TRZ),</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Sintrování materiálů (vč. vedlejších vznikajících produktů – kaly, popel, prach) a modifikace chemického složení materiálů (TRŽ),</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Zátěžové zkoušky – odolnost materiálu proti korozi (s využitím vodíku) (Fraunhofer),</w:t>
      </w:r>
    </w:p>
    <w:p w:rsidR="000A2CA8" w:rsidRPr="00642480" w:rsidRDefault="00E73B91">
      <w:pPr>
        <w:numPr>
          <w:ilvl w:val="0"/>
          <w:numId w:val="19"/>
        </w:numPr>
        <w:spacing w:after="0"/>
        <w:ind w:hanging="360"/>
        <w:contextualSpacing/>
        <w:jc w:val="both"/>
        <w:rPr>
          <w:color w:val="595959" w:themeColor="text1" w:themeTint="A6"/>
          <w:sz w:val="20"/>
        </w:rPr>
      </w:pPr>
      <w:r w:rsidRPr="00642480">
        <w:rPr>
          <w:rFonts w:ascii="Arial" w:eastAsia="Arial" w:hAnsi="Arial" w:cs="Arial"/>
          <w:color w:val="595959" w:themeColor="text1" w:themeTint="A6"/>
          <w:sz w:val="20"/>
        </w:rPr>
        <w:t>Zpracování hnědého uhlí (Fraunhofer),</w:t>
      </w:r>
    </w:p>
    <w:p w:rsidR="000A2CA8" w:rsidRPr="00642480" w:rsidRDefault="00E73B91" w:rsidP="00265C3D">
      <w:pPr>
        <w:numPr>
          <w:ilvl w:val="0"/>
          <w:numId w:val="19"/>
        </w:numPr>
        <w:ind w:left="714" w:hanging="357"/>
        <w:jc w:val="both"/>
        <w:rPr>
          <w:color w:val="595959" w:themeColor="text1" w:themeTint="A6"/>
          <w:sz w:val="20"/>
        </w:rPr>
      </w:pPr>
      <w:r w:rsidRPr="00642480">
        <w:rPr>
          <w:rFonts w:ascii="Arial" w:eastAsia="Arial" w:hAnsi="Arial" w:cs="Arial"/>
          <w:color w:val="595959" w:themeColor="text1" w:themeTint="A6"/>
          <w:sz w:val="20"/>
        </w:rPr>
        <w:t>Využití biomasy při spalování ve vysokých pecích (Fraunhofer).</w:t>
      </w:r>
    </w:p>
    <w:p w:rsidR="000A2CA8" w:rsidRPr="00642480" w:rsidRDefault="00E73B91" w:rsidP="00265C3D">
      <w:pPr>
        <w:numPr>
          <w:ilvl w:val="0"/>
          <w:numId w:val="18"/>
        </w:numPr>
        <w:tabs>
          <w:tab w:val="num" w:pos="720"/>
        </w:tabs>
        <w:ind w:hanging="360"/>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 xml:space="preserve">: </w:t>
      </w:r>
      <w:r w:rsidRPr="00642480">
        <w:rPr>
          <w:rFonts w:ascii="Arial" w:eastAsia="Arial" w:hAnsi="Arial" w:cs="Arial"/>
          <w:color w:val="595959" w:themeColor="text1" w:themeTint="A6"/>
          <w:sz w:val="20"/>
        </w:rPr>
        <w:t>Agentura pro regionální rozvoj</w:t>
      </w:r>
    </w:p>
    <w:p w:rsidR="000A2CA8" w:rsidRPr="00642480" w:rsidRDefault="00E73B91">
      <w:pPr>
        <w:numPr>
          <w:ilvl w:val="0"/>
          <w:numId w:val="2"/>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32" w:name="h.2jxsxqh" w:colFirst="0" w:colLast="0"/>
      <w:bookmarkStart w:id="33" w:name="_Toc416179824"/>
      <w:bookmarkEnd w:id="32"/>
      <w:r w:rsidRPr="00642480">
        <w:rPr>
          <w:rFonts w:eastAsia="Arial"/>
        </w:rPr>
        <w:t>SC C2 – Zvyšování informovanosti malých a středních firem o trendech vývoje technologií a zahraničních trhů</w:t>
      </w:r>
      <w:bookmarkEnd w:id="33"/>
      <w:r w:rsidRPr="00642480">
        <w:rPr>
          <w:rFonts w:eastAsia="Arial"/>
        </w:rPr>
        <w:t xml:space="preserve"> </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Uplatnění principů technology foresight pro identifikaci možných variant vývoje klíčových oblastí výzkumu a </w:t>
      </w:r>
      <w:r w:rsidR="008127EE">
        <w:rPr>
          <w:rFonts w:ascii="Arial" w:eastAsia="Arial" w:hAnsi="Arial" w:cs="Arial"/>
          <w:b/>
          <w:color w:val="595959" w:themeColor="text1" w:themeTint="A6"/>
          <w:u w:val="single"/>
        </w:rPr>
        <w:t>vývoje v Moravskoslezském kraji</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Cílem tohoto projektu je poskytnout malým a středním podnikům informační a znalostní podporu při předvídání vývoje technologií a poptávky po nich na zahraničních trzích v dlouhodobém horizontu. Budou zpracovány studie vývoje výzkumných specializací (technologických domén)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na bázi technology foresight, které umožní malým a středním firmám získat v předstihu potřebné informace k zacílení svých výzkumných a návazných obchodních aktivit na základě identifikovaných trendů. Tím dojde k postupné eliminaci současné situace, kdy většina malých a středních firem pouze pasivně přejímá signály o nových technologiích, inovativních produktech a službách, které se nacházejí ve fázi těsně před uvedením na trh.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Vzhledem k dlouhodobým nejasnostem v minulém roce ohledně podporovaných oblastí v OP PIK a OP VVV, včetně provázanosti financování aktivit RIS3 s těmito OP, bylo možné začít metodologicky a obsahově připravovat výše zmíněné foresightové aktivity až na podzim. Foresightové aktivity se budou zaměřovat na technologické domény RIS</w:t>
      </w:r>
      <w:r w:rsidRPr="00642480">
        <w:rPr>
          <w:rFonts w:ascii="Arial" w:eastAsia="Arial" w:hAnsi="Arial" w:cs="Arial"/>
          <w:color w:val="595959" w:themeColor="text1" w:themeTint="A6"/>
          <w:sz w:val="20"/>
          <w:vertAlign w:val="superscript"/>
        </w:rPr>
        <w:t xml:space="preserve">3 </w:t>
      </w:r>
      <w:r w:rsidRPr="00642480">
        <w:rPr>
          <w:rFonts w:ascii="Arial" w:eastAsia="Arial" w:hAnsi="Arial" w:cs="Arial"/>
          <w:color w:val="595959" w:themeColor="text1" w:themeTint="A6"/>
          <w:sz w:val="20"/>
        </w:rPr>
        <w:t>MSK a budou probíhat na zasedáních inovačních platforem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Tento „foresightový“ koncept inovačních platforem byl odsouhlasen jejich členy na ustavujících zasedáních a poprvé byl aplikován na zasedání inovační platformy KlastrNet (specifickým </w:t>
      </w:r>
      <w:r w:rsidRPr="00265C3D">
        <w:rPr>
          <w:rFonts w:ascii="Arial" w:eastAsiaTheme="minorEastAsia" w:hAnsi="Arial" w:cs="Arial"/>
          <w:bCs/>
          <w:color w:val="595959" w:themeColor="text1" w:themeTint="A6"/>
          <w:sz w:val="20"/>
        </w:rPr>
        <w:t>meziodvětvovým</w:t>
      </w:r>
      <w:r w:rsidRPr="00642480">
        <w:rPr>
          <w:rFonts w:ascii="Arial" w:eastAsia="Arial" w:hAnsi="Arial" w:cs="Arial"/>
          <w:color w:val="595959" w:themeColor="text1" w:themeTint="A6"/>
          <w:sz w:val="20"/>
        </w:rPr>
        <w:t xml:space="preserve"> </w:t>
      </w:r>
      <w:r w:rsidRPr="00265C3D">
        <w:rPr>
          <w:rFonts w:ascii="Arial" w:eastAsiaTheme="minorEastAsia" w:hAnsi="Arial" w:cs="Arial"/>
          <w:bCs/>
          <w:color w:val="595959" w:themeColor="text1" w:themeTint="A6"/>
          <w:sz w:val="20"/>
        </w:rPr>
        <w:t>výzkumným</w:t>
      </w:r>
      <w:r w:rsidRPr="00642480">
        <w:rPr>
          <w:rFonts w:ascii="Arial" w:eastAsia="Arial" w:hAnsi="Arial" w:cs="Arial"/>
          <w:color w:val="595959" w:themeColor="text1" w:themeTint="A6"/>
          <w:sz w:val="20"/>
        </w:rPr>
        <w:t xml:space="preserve"> </w:t>
      </w:r>
      <w:r w:rsidRPr="00265C3D">
        <w:rPr>
          <w:rFonts w:ascii="Arial" w:eastAsiaTheme="minorEastAsia" w:hAnsi="Arial" w:cs="Arial"/>
          <w:bCs/>
          <w:color w:val="595959" w:themeColor="text1" w:themeTint="A6"/>
          <w:sz w:val="20"/>
        </w:rPr>
        <w:t>tématem</w:t>
      </w:r>
      <w:r w:rsidRPr="00642480">
        <w:rPr>
          <w:rFonts w:ascii="Arial" w:eastAsia="Arial" w:hAnsi="Arial" w:cs="Arial"/>
          <w:color w:val="595959" w:themeColor="text1" w:themeTint="A6"/>
          <w:sz w:val="20"/>
        </w:rPr>
        <w:t xml:space="preserve"> byla akumulace energie a možnosti využívání odpadního tepla – viz specifický cíl A4). </w:t>
      </w:r>
    </w:p>
    <w:p w:rsidR="000A2CA8" w:rsidRPr="00642480" w:rsidRDefault="00E73B91" w:rsidP="00265C3D">
      <w:pPr>
        <w:numPr>
          <w:ilvl w:val="0"/>
          <w:numId w:val="9"/>
        </w:numPr>
        <w:ind w:left="714" w:hanging="357"/>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w:t>
      </w:r>
      <w:r w:rsidRPr="00642480">
        <w:rPr>
          <w:rFonts w:ascii="Arial" w:eastAsia="Arial" w:hAnsi="Arial" w:cs="Arial"/>
          <w:color w:val="595959" w:themeColor="text1" w:themeTint="A6"/>
          <w:sz w:val="20"/>
        </w:rPr>
        <w:t xml:space="preserve"> Agentura pro regionální rozvoj (ve spolupráci s externími experty)</w:t>
      </w:r>
    </w:p>
    <w:p w:rsidR="000A2CA8" w:rsidRPr="00642480" w:rsidRDefault="00E73B91">
      <w:pPr>
        <w:numPr>
          <w:ilvl w:val="0"/>
          <w:numId w:val="15"/>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ČÁSTEČNĚ SPLNĚN</w:t>
      </w:r>
    </w:p>
    <w:p w:rsidR="000A2CA8" w:rsidRPr="00265C3D" w:rsidRDefault="00E73B91" w:rsidP="00265C3D">
      <w:pPr>
        <w:pStyle w:val="Nadpis2"/>
        <w:ind w:hanging="576"/>
        <w:rPr>
          <w:rFonts w:eastAsia="Arial"/>
        </w:rPr>
      </w:pPr>
      <w:bookmarkStart w:id="34" w:name="h.z337ya" w:colFirst="0" w:colLast="0"/>
      <w:bookmarkStart w:id="35" w:name="_Toc416179825"/>
      <w:bookmarkEnd w:id="34"/>
      <w:r w:rsidRPr="00642480">
        <w:rPr>
          <w:rFonts w:eastAsia="Arial"/>
        </w:rPr>
        <w:t>SC C3 – Zvýšení exportních aktivit malých a středních inovačních firem</w:t>
      </w:r>
      <w:bookmarkEnd w:id="35"/>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Analýza hodnotových řetězců v mezinárodním kontextu</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Cílem tohoto projektu je mapovat možnosti rozšíření stávajících / tvorby nových hodnotových řetězců (dodavatelsko-odběratelských vazeb) v klíčových odvětvích MSK a technologických doménách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w:t>
      </w:r>
      <w:r w:rsidRPr="00642480">
        <w:rPr>
          <w:rFonts w:ascii="Arial" w:eastAsia="Arial" w:hAnsi="Arial" w:cs="Arial"/>
          <w:color w:val="595959" w:themeColor="text1" w:themeTint="A6"/>
          <w:sz w:val="20"/>
        </w:rPr>
        <w:lastRenderedPageBreak/>
        <w:t xml:space="preserve">MSK s vazbou na zahraniční trhy. Základem pro tyto aktivity jsou foresightové analýzy (viz předchozí specifický cíl C2). Tato aktivita umožní zejména malým a středním firmám identifikovat nové exportní příležitosti a utvořit výzkumná konsorcia pro vývoj nových sofistikovaných výrobků, technologií a služeb umístitelných na mezinárodních trzích.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Vzhledem k časovým zpožděním v přípravách OP PIK a OP VVV, nejasnostem v podporovaných oblastech u těchto OP, v provázanosti RIS3 s těmito OP a také vzhledem k tomu, že se jedná o nový specifický cíl v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který vstoupil v platnost schválením annexu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v Zastupitelstvu MSK dne 12. 6. 2014, tato aktivita nebyla realizována. Analýza hodnotových řetězců by mohla být realizována v příštích letech jako jedna z aktivit v rámci RIS3 smart akcelerátoru. </w:t>
      </w:r>
    </w:p>
    <w:p w:rsidR="000A2CA8" w:rsidRPr="00642480" w:rsidRDefault="00E73B91" w:rsidP="00265C3D">
      <w:pPr>
        <w:numPr>
          <w:ilvl w:val="0"/>
          <w:numId w:val="9"/>
        </w:numPr>
        <w:ind w:left="714" w:hanging="357"/>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w:t>
      </w:r>
      <w:r w:rsidRPr="00642480">
        <w:rPr>
          <w:rFonts w:ascii="Arial" w:eastAsia="Arial" w:hAnsi="Arial" w:cs="Arial"/>
          <w:b/>
          <w:color w:val="595959" w:themeColor="text1" w:themeTint="A6"/>
          <w:sz w:val="20"/>
        </w:rPr>
        <w:t>rojektu:</w:t>
      </w:r>
      <w:r w:rsidRPr="00642480">
        <w:rPr>
          <w:rFonts w:ascii="Arial" w:eastAsia="Arial" w:hAnsi="Arial" w:cs="Arial"/>
          <w:color w:val="595959" w:themeColor="text1" w:themeTint="A6"/>
          <w:sz w:val="20"/>
        </w:rPr>
        <w:t xml:space="preserve"> Agentura pro regionální rozvoj </w:t>
      </w:r>
    </w:p>
    <w:p w:rsidR="000A2CA8" w:rsidRPr="00642480" w:rsidRDefault="00E73B91">
      <w:pPr>
        <w:numPr>
          <w:ilvl w:val="0"/>
          <w:numId w:val="6"/>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NESPLNĚN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Exportní aliance malých a středních firem</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Tato aktivita navazuje na výše uvedenou analýzu hodnotových řetězců. Jedná se o kooperační sdružení malých a středních firem společně vyrábějících určitý inovativní produkt, jehož výsledná podoba vzešla z předchozí identifikace obchodních příležitostí v zahraničí a s tím souvisejících výzkumných seskupení malých a středních firem. Malé a střední firmy mohou využít při exportu svých produktů ve vhodných případech zázemí velkých českých firem na zahraničních trzích pro vybudování svého zastoupení, distribuci produktů, jejich marketing, apod.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důsledku probíhajících příprav OP VVV a OP PIK, nejistotě v hloubce a šíři podporovaných aktivit v těchto OP a vzhledem k faktu, že se jedná o nový specifický cíl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který byl v podstatě schválen až se schválením annexu RIS</w:t>
      </w:r>
      <w:r w:rsidRPr="00C04602">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Zastupitelstvem MSK dne 12. 6. 2014, tato aktivita nebyla realizována. V příštích letech budou možnosti realizovat tento projekt jako pilotní aktivitu v rámci některého OP nebo komunitárních programů Evropské komise (např. COSME). </w:t>
      </w:r>
    </w:p>
    <w:p w:rsidR="000A2CA8" w:rsidRPr="00642480" w:rsidRDefault="00E73B91" w:rsidP="00265C3D">
      <w:pPr>
        <w:numPr>
          <w:ilvl w:val="0"/>
          <w:numId w:val="9"/>
        </w:numPr>
        <w:ind w:left="714" w:hanging="357"/>
        <w:jc w:val="both"/>
        <w:rPr>
          <w:color w:val="595959" w:themeColor="text1" w:themeTint="A6"/>
          <w:sz w:val="20"/>
        </w:rPr>
      </w:pPr>
      <w:r w:rsidRPr="00265C3D">
        <w:rPr>
          <w:rFonts w:ascii="Arial" w:eastAsiaTheme="minorEastAsia" w:hAnsi="Arial" w:cs="Arial"/>
          <w:b/>
          <w:bCs/>
          <w:color w:val="595959" w:themeColor="text1" w:themeTint="A6"/>
          <w:sz w:val="20"/>
        </w:rPr>
        <w:t>Nositel</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Agentura pro regionální rozvoj </w:t>
      </w:r>
    </w:p>
    <w:p w:rsidR="000A2CA8" w:rsidRPr="00642480" w:rsidRDefault="00E73B91">
      <w:pPr>
        <w:numPr>
          <w:ilvl w:val="0"/>
          <w:numId w:val="6"/>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NESPLNĚN</w:t>
      </w:r>
    </w:p>
    <w:p w:rsidR="000A2CA8" w:rsidRPr="00642480" w:rsidRDefault="00E73B91">
      <w:pPr>
        <w:rPr>
          <w:color w:val="595959" w:themeColor="text1" w:themeTint="A6"/>
        </w:rPr>
      </w:pPr>
      <w:r w:rsidRPr="00642480">
        <w:rPr>
          <w:color w:val="595959" w:themeColor="text1" w:themeTint="A6"/>
        </w:rPr>
        <w:br w:type="page"/>
      </w:r>
    </w:p>
    <w:p w:rsidR="000A2CA8" w:rsidRPr="00265C3D" w:rsidRDefault="00E73B91" w:rsidP="00405AA6">
      <w:pPr>
        <w:pStyle w:val="Nadpis1"/>
        <w:numPr>
          <w:ilvl w:val="0"/>
          <w:numId w:val="12"/>
        </w:numPr>
        <w:ind w:hanging="432"/>
        <w:jc w:val="left"/>
      </w:pPr>
      <w:bookmarkStart w:id="36" w:name="h.3j2qqm3" w:colFirst="0" w:colLast="0"/>
      <w:bookmarkStart w:id="37" w:name="_Toc416179826"/>
      <w:bookmarkEnd w:id="36"/>
      <w:r w:rsidRPr="00265C3D">
        <w:lastRenderedPageBreak/>
        <w:t>Horizontální prioritní oblast D – KOORDINACE A IMPLEMENTACE RIS</w:t>
      </w:r>
      <w:bookmarkEnd w:id="37"/>
    </w:p>
    <w:p w:rsidR="000A2CA8" w:rsidRPr="00265C3D" w:rsidRDefault="00E73B91" w:rsidP="00265C3D">
      <w:pPr>
        <w:pStyle w:val="Nadpis2"/>
        <w:ind w:hanging="576"/>
        <w:rPr>
          <w:rFonts w:eastAsia="Arial"/>
        </w:rPr>
      </w:pPr>
      <w:bookmarkStart w:id="38" w:name="h.1y810tw" w:colFirst="0" w:colLast="0"/>
      <w:bookmarkStart w:id="39" w:name="_Toc416179827"/>
      <w:bookmarkEnd w:id="38"/>
      <w:r w:rsidRPr="00642480">
        <w:rPr>
          <w:rFonts w:eastAsia="Arial"/>
        </w:rPr>
        <w:t>SC D1 – Zajištění strategického řízení realizace RIS</w:t>
      </w:r>
      <w:r w:rsidRPr="001E7323">
        <w:rPr>
          <w:rFonts w:eastAsia="Arial"/>
          <w:vertAlign w:val="superscript"/>
        </w:rPr>
        <w:t>3</w:t>
      </w:r>
      <w:r w:rsidRPr="00265C3D">
        <w:rPr>
          <w:rFonts w:eastAsia="Arial"/>
        </w:rPr>
        <w:t xml:space="preserve"> </w:t>
      </w:r>
      <w:r w:rsidRPr="00642480">
        <w:rPr>
          <w:rFonts w:eastAsia="Arial"/>
        </w:rPr>
        <w:t>MSK</w:t>
      </w:r>
      <w:bookmarkEnd w:id="39"/>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 xml:space="preserve">Rada pro </w:t>
      </w:r>
      <w:r w:rsidR="008127EE">
        <w:rPr>
          <w:rFonts w:ascii="Arial" w:eastAsia="Arial" w:hAnsi="Arial" w:cs="Arial"/>
          <w:b/>
          <w:color w:val="595959" w:themeColor="text1" w:themeTint="A6"/>
          <w:u w:val="single"/>
        </w:rPr>
        <w:t>inovace Moravskoslezského kraje</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Rada pro inovace Moravskoslezského kraje je formalizovaným poradním orgánem Rady Moravskoslezského kraje. Rozhoduje o určování klíčových směrů/aktivit realizace RIS</w:t>
      </w:r>
      <w:r w:rsidRPr="00AA5055">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v rámci definovaných horizontálních a vertikálních prioritních oblastí, vyhodnocuje dosažené výsledky, navrhuje odpovídající opatření, schvaluje akční plány realizace RIS</w:t>
      </w:r>
      <w:r w:rsidRPr="00AA5055">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Rada zasedá 1 – 2x ročně.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roce 2014 proběhly dvě zasedání Rady pro inovace, hlavními body jednání byly aktuální stav zpracování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Národní RIS3 a zpracování akčního plánu projektů na léta 2015-2016, dále aktuální stav přípravy vybraných operačních programů vztahujících se k oblasti výzkumu, vývoje a inovací (OP VVV, OP PIK). Byly prezentovány nové inovační nástroje a aktivity k plnění nové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(např. inovační platformy).</w:t>
      </w:r>
    </w:p>
    <w:p w:rsidR="000A2CA8" w:rsidRPr="00642480" w:rsidRDefault="00E73B91" w:rsidP="00265C3D">
      <w:pPr>
        <w:numPr>
          <w:ilvl w:val="0"/>
          <w:numId w:val="9"/>
        </w:numPr>
        <w:ind w:left="714" w:hanging="357"/>
        <w:jc w:val="both"/>
        <w:rPr>
          <w:color w:val="595959" w:themeColor="text1" w:themeTint="A6"/>
          <w:sz w:val="20"/>
        </w:rPr>
      </w:pPr>
      <w:r w:rsidRPr="00642480">
        <w:rPr>
          <w:rFonts w:ascii="Arial" w:eastAsia="Arial" w:hAnsi="Arial" w:cs="Arial"/>
          <w:b/>
          <w:color w:val="595959" w:themeColor="text1" w:themeTint="A6"/>
          <w:sz w:val="20"/>
        </w:rPr>
        <w:t xml:space="preserve">Nositel </w:t>
      </w:r>
      <w:r w:rsidRPr="00265C3D">
        <w:rPr>
          <w:rFonts w:ascii="Arial" w:eastAsiaTheme="minorEastAsia" w:hAnsi="Arial" w:cs="Arial"/>
          <w:b/>
          <w:bCs/>
          <w:color w:val="595959" w:themeColor="text1" w:themeTint="A6"/>
          <w:sz w:val="20"/>
        </w:rPr>
        <w:t>projektu</w:t>
      </w:r>
      <w:r w:rsidRPr="00642480">
        <w:rPr>
          <w:rFonts w:ascii="Arial" w:eastAsia="Arial" w:hAnsi="Arial" w:cs="Arial"/>
          <w:b/>
          <w:color w:val="595959" w:themeColor="text1" w:themeTint="A6"/>
          <w:sz w:val="20"/>
        </w:rPr>
        <w:t xml:space="preserve">: </w:t>
      </w:r>
      <w:r w:rsidRPr="00642480">
        <w:rPr>
          <w:rFonts w:ascii="Arial" w:eastAsia="Arial" w:hAnsi="Arial" w:cs="Arial"/>
          <w:color w:val="595959" w:themeColor="text1" w:themeTint="A6"/>
          <w:sz w:val="20"/>
        </w:rPr>
        <w:t>Agentura pro regionální rozvoj</w:t>
      </w:r>
    </w:p>
    <w:p w:rsidR="000A2CA8" w:rsidRPr="00642480" w:rsidRDefault="00E73B91" w:rsidP="00265C3D">
      <w:pPr>
        <w:numPr>
          <w:ilvl w:val="0"/>
          <w:numId w:val="9"/>
        </w:numPr>
        <w:ind w:left="714" w:hanging="357"/>
        <w:jc w:val="both"/>
        <w:rPr>
          <w:color w:val="595959" w:themeColor="text1" w:themeTint="A6"/>
          <w:sz w:val="20"/>
        </w:rPr>
      </w:pPr>
      <w:r w:rsidRPr="00265C3D">
        <w:rPr>
          <w:rFonts w:ascii="Arial" w:eastAsiaTheme="minorEastAsia" w:hAnsi="Arial" w:cs="Arial"/>
          <w:b/>
          <w:bCs/>
          <w:color w:val="595959" w:themeColor="text1" w:themeTint="A6"/>
          <w:sz w:val="20"/>
        </w:rPr>
        <w:t>Stav</w:t>
      </w:r>
      <w:r w:rsidRPr="00642480">
        <w:rPr>
          <w:rFonts w:ascii="Arial" w:eastAsia="Arial" w:hAnsi="Arial" w:cs="Arial"/>
          <w:b/>
          <w:color w:val="595959" w:themeColor="text1" w:themeTint="A6"/>
          <w:sz w:val="20"/>
        </w:rPr>
        <w:t xml:space="preserve"> projektu:</w:t>
      </w:r>
      <w:r w:rsidRPr="00642480">
        <w:rPr>
          <w:rFonts w:ascii="Arial" w:eastAsia="Arial" w:hAnsi="Arial" w:cs="Arial"/>
          <w:color w:val="595959" w:themeColor="text1" w:themeTint="A6"/>
          <w:sz w:val="20"/>
        </w:rPr>
        <w:t xml:space="preserve"> SPLNĚN</w:t>
      </w:r>
    </w:p>
    <w:p w:rsidR="000A2CA8" w:rsidRPr="00265C3D" w:rsidRDefault="00E73B91" w:rsidP="00265C3D">
      <w:pPr>
        <w:pStyle w:val="Nadpis2"/>
        <w:ind w:hanging="576"/>
        <w:rPr>
          <w:rFonts w:eastAsia="Arial"/>
        </w:rPr>
      </w:pPr>
      <w:bookmarkStart w:id="40" w:name="h.4i7ojhp" w:colFirst="0" w:colLast="0"/>
      <w:bookmarkStart w:id="41" w:name="_Toc416179828"/>
      <w:bookmarkEnd w:id="40"/>
      <w:r w:rsidRPr="00642480">
        <w:rPr>
          <w:rFonts w:eastAsia="Arial"/>
        </w:rPr>
        <w:t>SC D2 – Zajištění realizace RIS</w:t>
      </w:r>
      <w:r w:rsidRPr="00265C3D">
        <w:rPr>
          <w:rFonts w:eastAsia="Arial"/>
          <w:vertAlign w:val="superscript"/>
        </w:rPr>
        <w:t>3</w:t>
      </w:r>
      <w:r w:rsidRPr="00265C3D">
        <w:rPr>
          <w:rFonts w:eastAsia="Arial"/>
        </w:rPr>
        <w:t xml:space="preserve"> </w:t>
      </w:r>
      <w:r w:rsidRPr="00642480">
        <w:rPr>
          <w:rFonts w:eastAsia="Arial"/>
        </w:rPr>
        <w:t>MSK</w:t>
      </w:r>
      <w:bookmarkEnd w:id="41"/>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Realizace a implementace RIS</w:t>
      </w:r>
      <w:r w:rsidRPr="00642480">
        <w:rPr>
          <w:rFonts w:ascii="Arial" w:eastAsia="Arial" w:hAnsi="Arial" w:cs="Arial"/>
          <w:b/>
          <w:color w:val="595959" w:themeColor="text1" w:themeTint="A6"/>
          <w:u w:val="single"/>
          <w:vertAlign w:val="superscript"/>
        </w:rPr>
        <w:t>3</w:t>
      </w:r>
      <w:r w:rsidRPr="00642480">
        <w:rPr>
          <w:rFonts w:ascii="Arial" w:eastAsia="Arial" w:hAnsi="Arial" w:cs="Arial"/>
          <w:b/>
          <w:color w:val="595959" w:themeColor="text1" w:themeTint="A6"/>
          <w:u w:val="single"/>
        </w:rPr>
        <w:t xml:space="preserve"> MSK</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Předmětem této aktivity je výkonná realizace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zahrnující přípravu akčních plánů obsahujících konkrétní aktivity/projekty na jednotlivá léta realizace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realizaci akčních plánů (ve spolupráci s ostatními garanty jednotlivých projektů) a zpracovávání monitorovacích zpráv o výsledcích realizace těchto akčních plánů. Dále pak koordinace a organizace činnosti pracovních týmů, tzv. inovačních platforem.</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VYHODNOCENÍ</w:t>
      </w:r>
      <w:r w:rsidRPr="00642480">
        <w:rPr>
          <w:rFonts w:ascii="Arial" w:eastAsia="Arial" w:hAnsi="Arial" w:cs="Arial"/>
          <w:color w:val="595959" w:themeColor="text1" w:themeTint="A6"/>
          <w:sz w:val="20"/>
        </w:rPr>
        <w:t>: V rámci této aktivity bylo zpracováno vyhodnocení aktivit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za rok 2014 (viz tato zpráva). Značná část kapacit byla věnována finalizaci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která již splňuje metodiku S3 a je podmínkou pro čerpání finančních prostředků z operačních programů zaměřených na výzkum, vývoj a inovace v novém programovacím období 2014-2020. Probíhalo zpracování akčních plánů – jednak rámcového pro celé období 2014-2020, jednak prvního dvouletého akčního plánu na období 2015-2016. Zpracování akčních plánů předcházely dva kulaté stoly za účasti partnerů v kraji (viz níže).</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Kromě již existujících inovačních platforem „KlastrNet“ (podpora klastrového managementu a meziodvětvového výzkumu; sdružuje klastrové organizace v MSK; dvě uskutečněná jednání) a „Start-ups“ (pět uskutečněných jednání, více viz SC A3) byly ustanoveny nové inovační platformy – „Moderní řídicí systémy pro výrobu, zkušebnictví a bezpečnost“ a „Regenerativní medicína, genomika, bioinformatika“ (prostřednictvím biotechnologického klastru). V těchto dvou nových platformách již proběhla úvodní jednání, start dalších dvou nových platforem „Pokročilé materiály“ a „Moderní energetika a zpracování odpadů“ je plánován na 1. Q roku 2015.</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lastRenderedPageBreak/>
        <w:t>Pokračovaly aktivity související s vyhledáváním a zapojování firem do ekosystému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prostřednictvím terénního šetření. Mimo desítek jednání s firmami uskutečněných v rámci různých workshopů, seminářů, konferencí apod. proběhlo cca 10 osobních návštěv v sídlech zejména malých a středních firem, kde jim byly představeny možnosti podpory podnikání a inovací ze strany Moravskoslezského kraje – dotační programy na podporu VaV, podnikání a inovací, fond mikropůjček, možnost zapojení se do aktivit inovačních platforem v rámci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vzdělávacích aktivit, možnost propagace prostřednictvím účasti v soutěži Inovační firma MSK apod. </w:t>
      </w:r>
    </w:p>
    <w:p w:rsidR="000A2CA8" w:rsidRPr="00642480" w:rsidRDefault="00E73B91">
      <w:pPr>
        <w:numPr>
          <w:ilvl w:val="0"/>
          <w:numId w:val="13"/>
        </w:numPr>
        <w:ind w:hanging="360"/>
        <w:rPr>
          <w:color w:val="595959" w:themeColor="text1" w:themeTint="A6"/>
          <w:sz w:val="20"/>
        </w:rPr>
      </w:pPr>
      <w:r w:rsidRPr="00642480">
        <w:rPr>
          <w:rFonts w:ascii="Arial" w:eastAsia="Arial" w:hAnsi="Arial" w:cs="Arial"/>
          <w:b/>
          <w:color w:val="595959" w:themeColor="text1" w:themeTint="A6"/>
          <w:sz w:val="20"/>
        </w:rPr>
        <w:t>Nositel projektu:</w:t>
      </w:r>
      <w:r w:rsidRPr="00642480">
        <w:rPr>
          <w:rFonts w:ascii="Arial" w:eastAsia="Arial" w:hAnsi="Arial" w:cs="Arial"/>
          <w:color w:val="595959" w:themeColor="text1" w:themeTint="A6"/>
          <w:sz w:val="20"/>
        </w:rPr>
        <w:t xml:space="preserve"> Agentura pro regionální rozvoj</w:t>
      </w:r>
    </w:p>
    <w:p w:rsidR="000A2CA8" w:rsidRPr="00642480" w:rsidRDefault="00E73B91">
      <w:pPr>
        <w:numPr>
          <w:ilvl w:val="0"/>
          <w:numId w:val="13"/>
        </w:numPr>
        <w:ind w:hanging="360"/>
        <w:rPr>
          <w:color w:val="595959" w:themeColor="text1" w:themeTint="A6"/>
          <w:sz w:val="20"/>
        </w:rPr>
      </w:pPr>
      <w:r w:rsidRPr="00642480">
        <w:rPr>
          <w:rFonts w:ascii="Arial" w:eastAsia="Arial" w:hAnsi="Arial" w:cs="Arial"/>
          <w:b/>
          <w:color w:val="595959" w:themeColor="text1" w:themeTint="A6"/>
          <w:sz w:val="20"/>
        </w:rPr>
        <w:t xml:space="preserve">Stav projektu: </w:t>
      </w:r>
      <w:r w:rsidRPr="00642480">
        <w:rPr>
          <w:rFonts w:ascii="Arial" w:eastAsia="Arial" w:hAnsi="Arial" w:cs="Arial"/>
          <w:color w:val="595959" w:themeColor="text1" w:themeTint="A6"/>
          <w:sz w:val="20"/>
        </w:rPr>
        <w:t>SPLNĚN</w:t>
      </w:r>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Kulaté stoly RIS</w:t>
      </w:r>
      <w:r w:rsidRPr="00642480">
        <w:rPr>
          <w:rFonts w:ascii="Arial" w:eastAsia="Arial" w:hAnsi="Arial" w:cs="Arial"/>
          <w:b/>
          <w:color w:val="595959" w:themeColor="text1" w:themeTint="A6"/>
          <w:u w:val="single"/>
          <w:vertAlign w:val="superscript"/>
        </w:rPr>
        <w:t>3</w:t>
      </w:r>
      <w:r w:rsidRPr="00642480">
        <w:rPr>
          <w:rFonts w:ascii="Arial" w:eastAsia="Arial" w:hAnsi="Arial" w:cs="Arial"/>
          <w:b/>
          <w:color w:val="595959" w:themeColor="text1" w:themeTint="A6"/>
          <w:u w:val="single"/>
        </w:rPr>
        <w:t xml:space="preserve"> MSK</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Kulaté stoly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jsou pravidelnými setkáními (2x ročně) subjektů inovačního systému MSK (firmy, univerzity, výzkumné ústavy, klastrové organizace, Krajský úřad Moravskoslezského kraje, Agentura pro regionální rozvoj, a další) věnovanými aktuálním tématům  v oblasti výzkumu, vývoje a inovací, výměně informací o současných výzkumných aktivitách jednotlivých organizací a navazování nových partnerství ve výzkumu a vývoji v MSK. </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t xml:space="preserve">VYHODNOCENÍ: </w:t>
      </w:r>
      <w:r w:rsidRPr="00642480">
        <w:rPr>
          <w:rFonts w:ascii="Arial" w:eastAsia="Arial" w:hAnsi="Arial" w:cs="Arial"/>
          <w:color w:val="595959" w:themeColor="text1" w:themeTint="A6"/>
          <w:sz w:val="20"/>
        </w:rPr>
        <w:t>Akce Kulatý stůl byla organizována v roce 2014 celkem třikrát. Ve dvou případech se jednalo o návaznost na zpracování akčních plánů, kdy na kulatých stolech byly diskutovány návrhy na krajské dotační tituly pro financování projektů předložených do akčního plánu na období 2015-2016. Třetí kulatý stůl byl uspořádán na téma financování podnikání, kdy byly prezentovány možnosti financování projektů ze strukturálních fondů nového programovacího období, národních programů (TAČR apod.) a programu Horizont 2020.</w:t>
      </w:r>
    </w:p>
    <w:p w:rsidR="000A2CA8" w:rsidRPr="00642480" w:rsidRDefault="00E73B91">
      <w:pPr>
        <w:numPr>
          <w:ilvl w:val="0"/>
          <w:numId w:val="17"/>
        </w:numPr>
        <w:ind w:hanging="360"/>
        <w:rPr>
          <w:color w:val="595959" w:themeColor="text1" w:themeTint="A6"/>
          <w:sz w:val="20"/>
        </w:rPr>
      </w:pPr>
      <w:r w:rsidRPr="00642480">
        <w:rPr>
          <w:rFonts w:ascii="Arial" w:eastAsia="Arial" w:hAnsi="Arial" w:cs="Arial"/>
          <w:b/>
          <w:color w:val="595959" w:themeColor="text1" w:themeTint="A6"/>
          <w:sz w:val="20"/>
        </w:rPr>
        <w:t>Nositel projektu:</w:t>
      </w:r>
      <w:r w:rsidRPr="00642480">
        <w:rPr>
          <w:rFonts w:ascii="Arial" w:eastAsia="Arial" w:hAnsi="Arial" w:cs="Arial"/>
          <w:color w:val="595959" w:themeColor="text1" w:themeTint="A6"/>
          <w:sz w:val="20"/>
        </w:rPr>
        <w:t xml:space="preserve"> Agentura pro regionální rozvoj</w:t>
      </w:r>
    </w:p>
    <w:p w:rsidR="000A2CA8" w:rsidRPr="00642480" w:rsidRDefault="00E73B91">
      <w:pPr>
        <w:numPr>
          <w:ilvl w:val="0"/>
          <w:numId w:val="17"/>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rsidP="00265C3D">
      <w:pPr>
        <w:pStyle w:val="Nadpis2"/>
        <w:ind w:hanging="576"/>
      </w:pPr>
      <w:bookmarkStart w:id="42" w:name="h.2xcytpi" w:colFirst="0" w:colLast="0"/>
      <w:bookmarkStart w:id="43" w:name="_Toc416179829"/>
      <w:bookmarkEnd w:id="42"/>
      <w:r w:rsidRPr="00642480">
        <w:rPr>
          <w:rFonts w:eastAsia="Arial"/>
        </w:rPr>
        <w:t>SC D3 – Zvýšení propagace a medializace výsledků výzkumu a vývoje a  RIS</w:t>
      </w:r>
      <w:r w:rsidRPr="00642480">
        <w:rPr>
          <w:rFonts w:eastAsia="Arial"/>
          <w:vertAlign w:val="superscript"/>
        </w:rPr>
        <w:t xml:space="preserve">3 </w:t>
      </w:r>
      <w:r w:rsidRPr="00642480">
        <w:rPr>
          <w:rFonts w:eastAsia="Arial"/>
        </w:rPr>
        <w:t>MSK</w:t>
      </w:r>
      <w:bookmarkEnd w:id="43"/>
    </w:p>
    <w:p w:rsidR="000A2CA8" w:rsidRPr="00642480" w:rsidRDefault="00E73B91">
      <w:pPr>
        <w:spacing w:before="480"/>
        <w:rPr>
          <w:color w:val="595959" w:themeColor="text1" w:themeTint="A6"/>
        </w:rPr>
      </w:pPr>
      <w:r w:rsidRPr="00642480">
        <w:rPr>
          <w:rFonts w:ascii="Arial" w:eastAsia="Arial" w:hAnsi="Arial" w:cs="Arial"/>
          <w:b/>
          <w:color w:val="595959" w:themeColor="text1" w:themeTint="A6"/>
          <w:u w:val="single"/>
        </w:rPr>
        <w:t>Propagace a medializace výsledků výzkumu a vývoje a RIS</w:t>
      </w:r>
      <w:r w:rsidRPr="00642480">
        <w:rPr>
          <w:rFonts w:ascii="Arial" w:eastAsia="Arial" w:hAnsi="Arial" w:cs="Arial"/>
          <w:b/>
          <w:color w:val="595959" w:themeColor="text1" w:themeTint="A6"/>
          <w:u w:val="single"/>
          <w:vertAlign w:val="superscript"/>
        </w:rPr>
        <w:t>3</w:t>
      </w:r>
      <w:r w:rsidRPr="00642480">
        <w:rPr>
          <w:rFonts w:ascii="Arial" w:eastAsia="Arial" w:hAnsi="Arial" w:cs="Arial"/>
          <w:b/>
          <w:color w:val="595959" w:themeColor="text1" w:themeTint="A6"/>
          <w:u w:val="single"/>
        </w:rPr>
        <w:t xml:space="preserve"> MSK</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Podstatou tohoto specifického cíle je posílení image kraje jakožto vyspělého inovačního regionu pomocí cílených marketingových aktivit. Tyto marketingové aktivity se budou zaměřovat na prezentaci výsledků kvalitního aplikovaného výzkumu a vývoje výzkumných pracovišť a také významných osobností působících v oblasti VaVaI v MSK v akademickém a firemním sektoru.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Pro jednotlivá léta realizace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budou zpracovávány propagační plány za účelem propagace a medializace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jejich dílčích aktivit a problematiky výzkumu, vývoje a inovací jako takové. Propagační plány budou obsahovat následující formy propagace: informace a aktuality o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na internetových stránkách Agentury pro regionální rozvoj (</w:t>
      </w:r>
      <w:hyperlink r:id="rId10">
        <w:r w:rsidRPr="00AA5055">
          <w:rPr>
            <w:rStyle w:val="Hypertextovodkaz"/>
            <w:rFonts w:ascii="Arial" w:eastAsiaTheme="minorEastAsia" w:hAnsi="Arial" w:cs="Arial"/>
            <w:bCs/>
            <w:sz w:val="20"/>
          </w:rPr>
          <w:t>www.arr.cz</w:t>
        </w:r>
      </w:hyperlink>
      <w:r w:rsidRPr="00642480">
        <w:rPr>
          <w:rFonts w:ascii="Arial" w:eastAsia="Arial" w:hAnsi="Arial" w:cs="Arial"/>
          <w:color w:val="595959" w:themeColor="text1" w:themeTint="A6"/>
          <w:sz w:val="20"/>
        </w:rPr>
        <w:t>), Regionální inovační strategie MSK (</w:t>
      </w:r>
      <w:hyperlink r:id="rId11">
        <w:r w:rsidRPr="00AA5055">
          <w:rPr>
            <w:rStyle w:val="Hypertextovodkaz"/>
            <w:rFonts w:ascii="Arial" w:eastAsiaTheme="minorEastAsia" w:hAnsi="Arial" w:cs="Arial"/>
            <w:bCs/>
            <w:sz w:val="20"/>
          </w:rPr>
          <w:t>www.rismsk.cz</w:t>
        </w:r>
      </w:hyperlink>
      <w:r w:rsidRPr="00642480">
        <w:rPr>
          <w:rFonts w:ascii="Arial" w:eastAsia="Arial" w:hAnsi="Arial" w:cs="Arial"/>
          <w:color w:val="595959" w:themeColor="text1" w:themeTint="A6"/>
          <w:sz w:val="20"/>
        </w:rPr>
        <w:t>), Moravskoslezského kraje (</w:t>
      </w:r>
      <w:hyperlink r:id="rId12">
        <w:r w:rsidRPr="00AA5055">
          <w:rPr>
            <w:rStyle w:val="Hypertextovodkaz"/>
            <w:rFonts w:ascii="Arial" w:eastAsiaTheme="minorEastAsia" w:hAnsi="Arial" w:cs="Arial"/>
            <w:bCs/>
            <w:sz w:val="20"/>
          </w:rPr>
          <w:t>www.kr-moravskoslezsky.cz</w:t>
        </w:r>
      </w:hyperlink>
      <w:r w:rsidRPr="00642480">
        <w:rPr>
          <w:rFonts w:ascii="Arial" w:eastAsia="Arial" w:hAnsi="Arial" w:cs="Arial"/>
          <w:color w:val="595959" w:themeColor="text1" w:themeTint="A6"/>
          <w:sz w:val="20"/>
        </w:rPr>
        <w:t>) a sociálních sítích, články v novinách, odborných časopisech, ARR News, propagační materiály, propagační předměty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a prezentace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na konferencích (vč. Brokerage Events, kulatých stolů, Regionálního inovačního fóra, atd.).</w:t>
      </w:r>
    </w:p>
    <w:p w:rsidR="000A2CA8" w:rsidRPr="00642480" w:rsidRDefault="00E73B91">
      <w:pPr>
        <w:jc w:val="both"/>
        <w:rPr>
          <w:color w:val="595959" w:themeColor="text1" w:themeTint="A6"/>
        </w:rPr>
      </w:pPr>
      <w:r w:rsidRPr="00642480">
        <w:rPr>
          <w:rFonts w:ascii="Arial" w:eastAsia="Arial" w:hAnsi="Arial" w:cs="Arial"/>
          <w:b/>
          <w:color w:val="595959" w:themeColor="text1" w:themeTint="A6"/>
          <w:sz w:val="20"/>
        </w:rPr>
        <w:lastRenderedPageBreak/>
        <w:t>VYHODNOCENÍ</w:t>
      </w:r>
      <w:r w:rsidRPr="00642480">
        <w:rPr>
          <w:rFonts w:ascii="Arial" w:eastAsia="Arial" w:hAnsi="Arial" w:cs="Arial"/>
          <w:color w:val="595959" w:themeColor="text1" w:themeTint="A6"/>
          <w:sz w:val="20"/>
        </w:rPr>
        <w:t>: V rámci propagace a medializace RIS</w:t>
      </w:r>
      <w:r w:rsidRPr="00642480">
        <w:rPr>
          <w:rFonts w:ascii="Arial" w:eastAsia="Arial" w:hAnsi="Arial" w:cs="Arial"/>
          <w:color w:val="595959" w:themeColor="text1" w:themeTint="A6"/>
          <w:sz w:val="20"/>
          <w:vertAlign w:val="superscript"/>
        </w:rPr>
        <w:t xml:space="preserve">3 </w:t>
      </w:r>
      <w:r w:rsidRPr="00642480">
        <w:rPr>
          <w:rFonts w:ascii="Arial" w:eastAsia="Arial" w:hAnsi="Arial" w:cs="Arial"/>
          <w:color w:val="595959" w:themeColor="text1" w:themeTint="A6"/>
          <w:sz w:val="20"/>
        </w:rPr>
        <w:t>MSK a jejich výstupů proběhlo kromě již výše zmíněných akcí (Brokerage Events, Kulaté stoly, Rada pro inovace) i několik dalších aktivit naplňujících tento cíl. Mezi nejvýznamnější patří realizace druhého ročníku soutěže Inovační firma Moravskoslezského kraje, která byla určena pro živnostníky, malé a střední firmy a nově také pro velké firmy, které soutěžily se svou přihlášenou inovací o finanční ceny a možnost užívat titul Inovační firma Moravskoslezského kraje pro rok 2014. Do soutěže se přihlásilo 29 projektů od 21 malých a 8 velkých firem. V rámci medializace akce proběhly reportáže v TV (ČT, Polar, TV Fabex, TV Pohoda) a bylo zveřejněno několik článků o soutěži a jejich účastnících (</w:t>
      </w:r>
      <w:hyperlink r:id="rId13">
        <w:r w:rsidRPr="00AA5055">
          <w:rPr>
            <w:rStyle w:val="Hypertextovodkaz"/>
            <w:rFonts w:ascii="Arial" w:eastAsiaTheme="minorEastAsia" w:hAnsi="Arial" w:cs="Arial"/>
            <w:bCs/>
            <w:sz w:val="20"/>
          </w:rPr>
          <w:t>ProByznysinfo</w:t>
        </w:r>
      </w:hyperlink>
      <w:r w:rsidRPr="00642480">
        <w:rPr>
          <w:rFonts w:ascii="Arial" w:eastAsia="Arial" w:hAnsi="Arial" w:cs="Arial"/>
          <w:color w:val="595959" w:themeColor="text1" w:themeTint="A6"/>
          <w:sz w:val="20"/>
          <w:u w:val="single"/>
        </w:rPr>
        <w:t xml:space="preserve">, </w:t>
      </w:r>
      <w:r w:rsidRPr="00AA5055">
        <w:rPr>
          <w:rStyle w:val="Hypertextovodkaz"/>
          <w:rFonts w:ascii="Arial" w:eastAsiaTheme="minorEastAsia" w:hAnsi="Arial" w:cs="Arial"/>
          <w:bCs/>
          <w:sz w:val="20"/>
        </w:rPr>
        <w:t>Právo</w:t>
      </w:r>
      <w:r w:rsidRPr="00642480">
        <w:rPr>
          <w:rFonts w:ascii="Arial" w:eastAsia="Arial" w:hAnsi="Arial" w:cs="Arial"/>
          <w:color w:val="595959" w:themeColor="text1" w:themeTint="A6"/>
          <w:sz w:val="20"/>
          <w:u w:val="single"/>
        </w:rPr>
        <w:t xml:space="preserve">, </w:t>
      </w:r>
      <w:r w:rsidRPr="00AA5055">
        <w:rPr>
          <w:rStyle w:val="Hypertextovodkaz"/>
          <w:rFonts w:ascii="Arial" w:eastAsiaTheme="minorEastAsia" w:hAnsi="Arial" w:cs="Arial"/>
          <w:bCs/>
          <w:sz w:val="20"/>
        </w:rPr>
        <w:t>MF</w:t>
      </w:r>
      <w:r w:rsidRPr="00642480">
        <w:rPr>
          <w:rFonts w:ascii="Arial" w:eastAsia="Arial" w:hAnsi="Arial" w:cs="Arial"/>
          <w:color w:val="595959" w:themeColor="text1" w:themeTint="A6"/>
          <w:sz w:val="20"/>
          <w:u w:val="single"/>
        </w:rPr>
        <w:t xml:space="preserve"> </w:t>
      </w:r>
      <w:r w:rsidRPr="00AA5055">
        <w:rPr>
          <w:rStyle w:val="Hypertextovodkaz"/>
          <w:rFonts w:ascii="Arial" w:eastAsiaTheme="minorEastAsia" w:hAnsi="Arial" w:cs="Arial"/>
          <w:bCs/>
          <w:sz w:val="20"/>
        </w:rPr>
        <w:t>Dnes</w:t>
      </w:r>
      <w:r w:rsidRPr="00642480">
        <w:rPr>
          <w:rFonts w:ascii="Arial" w:eastAsia="Arial" w:hAnsi="Arial" w:cs="Arial"/>
          <w:color w:val="595959" w:themeColor="text1" w:themeTint="A6"/>
          <w:sz w:val="20"/>
          <w:u w:val="single"/>
        </w:rPr>
        <w:t xml:space="preserve">, </w:t>
      </w:r>
      <w:r w:rsidRPr="00AA5055">
        <w:rPr>
          <w:rStyle w:val="Hypertextovodkaz"/>
          <w:rFonts w:ascii="Arial" w:eastAsiaTheme="minorEastAsia" w:hAnsi="Arial" w:cs="Arial"/>
          <w:bCs/>
          <w:sz w:val="20"/>
        </w:rPr>
        <w:t>Deník</w:t>
      </w:r>
      <w:r w:rsidRPr="00642480">
        <w:rPr>
          <w:rFonts w:ascii="Arial" w:eastAsia="Arial" w:hAnsi="Arial" w:cs="Arial"/>
          <w:color w:val="595959" w:themeColor="text1" w:themeTint="A6"/>
          <w:sz w:val="20"/>
        </w:rPr>
        <w:t>).</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Mezi další aktivity patřila akce Inovační presstrip, tedy jednodenní setkání inovativních firem s novináři v rámci prezentace a propagace inovačního potenciálu kraje. Byly navštíveny a novinářům představeny firmy Sky Paragliders (produkce padákových kluzáků, záložních padáků a dalšího vybavení pro paragliding), ING corporation (vlastní vývoj a výroba ortotických dílů a stavebnic pro stavbu individuálních ortéz a dílů pro stavbu končetinových protéz), ELVAC (průmyslová automatizace a </w:t>
      </w:r>
      <w:r w:rsidR="00AF1DB4" w:rsidRPr="00642480">
        <w:rPr>
          <w:rFonts w:ascii="Arial" w:eastAsia="Arial" w:hAnsi="Arial" w:cs="Arial"/>
          <w:color w:val="595959" w:themeColor="text1" w:themeTint="A6"/>
          <w:sz w:val="20"/>
        </w:rPr>
        <w:t>řídicí</w:t>
      </w:r>
      <w:r w:rsidRPr="00642480">
        <w:rPr>
          <w:rFonts w:ascii="Arial" w:eastAsia="Arial" w:hAnsi="Arial" w:cs="Arial"/>
          <w:color w:val="595959" w:themeColor="text1" w:themeTint="A6"/>
          <w:sz w:val="20"/>
        </w:rPr>
        <w:t xml:space="preserve"> systémy) a BIC Ostrava (komplexní služby začínajícím i rozvíjejícím se firmám).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roce 2014 proběhly také Inovační Tour do jiných regionů ČR, tedy odborné návštěvy výzkumných organizací a institucí pro podporu inovací, za účelem výměny zkušeností v oblasti inovačních procesů. Uskutečnila se návštěva Technologického inovačního centra Zlín, která byla určena zástupcům inkubátorů v Moravskoslezském kraji a veřejné správy a pak do Středoevropského technologického institutu CEITEC v Brně, které se zúčastnili zástupci výzkumných institucí v kraji. Hlavními body jednání ve Zlíně byly zkušenosti zástupců Technologického inovačního centra Zlín s podporou začínajících podnikatelů, se zdejšími programy podpory inovací a PR strategií a dalšími výstupy realizovanými v rámci regionálních inovačních strategií. V Brně byly účastníkům prezentovány jednotlivé programy výzkumného centra, a to exkurzí přímo do laboratoří, kde daný výzkum probíhá.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rámci propagace inovačních aktivit Regionální inovační strategie byl i v roce 2014 aktivní krajský inovační web </w:t>
      </w:r>
      <w:r w:rsidRPr="00AA5055">
        <w:rPr>
          <w:rStyle w:val="Hypertextovodkaz"/>
          <w:rFonts w:ascii="Arial" w:eastAsiaTheme="minorEastAsia" w:hAnsi="Arial" w:cs="Arial"/>
          <w:bCs/>
          <w:sz w:val="20"/>
        </w:rPr>
        <w:t>www.rismsk</w:t>
      </w:r>
      <w:r w:rsidRPr="00AA5055">
        <w:rPr>
          <w:rStyle w:val="Hypertextovodkaz"/>
          <w:rFonts w:eastAsiaTheme="minorEastAsia"/>
          <w:bCs/>
        </w:rPr>
        <w:t>.cz</w:t>
      </w:r>
      <w:r w:rsidRPr="00642480">
        <w:rPr>
          <w:rFonts w:ascii="Arial" w:eastAsia="Arial" w:hAnsi="Arial" w:cs="Arial"/>
          <w:color w:val="595959" w:themeColor="text1" w:themeTint="A6"/>
          <w:sz w:val="20"/>
        </w:rPr>
        <w:t>, na kterém byly minimálně jednou týdně publikovány aktuální informace týkající se výzkumu, vývoje a inovací včetně finančních nástrojů pro tuto oblast, osobností výzkumu a vývoje, byly publikovány také aktuality partnerů, pozvánky na konané semináře, konference s inovační tématikou společně s informacemi o akcích, které proběhly, aj.</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Novou akcí, kterou organizovala Agentura pro regionální rozvoj, byl Startup Harvest - tedy setkání začínajících podnikatelů a investorů s cílem představení podnikatelských projektů a získání v ideálním případě finanční investice na rozvoj podnikání. Této akce se zúčastnilo 12 start</w:t>
      </w:r>
      <w:r w:rsidR="001E7323">
        <w:rPr>
          <w:rFonts w:ascii="Arial" w:eastAsia="Arial" w:hAnsi="Arial" w:cs="Arial"/>
          <w:color w:val="595959" w:themeColor="text1" w:themeTint="A6"/>
          <w:sz w:val="20"/>
        </w:rPr>
        <w:t>-ups</w:t>
      </w:r>
      <w:r w:rsidRPr="00642480">
        <w:rPr>
          <w:rFonts w:ascii="Arial" w:eastAsia="Arial" w:hAnsi="Arial" w:cs="Arial"/>
          <w:color w:val="595959" w:themeColor="text1" w:themeTint="A6"/>
          <w:sz w:val="20"/>
        </w:rPr>
        <w:t xml:space="preserve"> a 6 investorů (více viz SC A3). V rámci medializace akce proběhly reportáže v TV (hlavní zprávy v ČT, Polar) a bylo zveřejněno několik článků o účastnících Startup Harvest (zejména na stránce partnera </w:t>
      </w:r>
      <w:hyperlink r:id="rId14">
        <w:r w:rsidRPr="00AA5055">
          <w:rPr>
            <w:rStyle w:val="Hypertextovodkaz"/>
            <w:rFonts w:ascii="Arial" w:eastAsiaTheme="minorEastAsia" w:hAnsi="Arial" w:cs="Arial"/>
            <w:bCs/>
            <w:sz w:val="20"/>
          </w:rPr>
          <w:t>ProByznysinfo</w:t>
        </w:r>
      </w:hyperlink>
      <w:r w:rsidRPr="00642480">
        <w:rPr>
          <w:rFonts w:ascii="Arial" w:eastAsia="Arial" w:hAnsi="Arial" w:cs="Arial"/>
          <w:color w:val="595959" w:themeColor="text1" w:themeTint="A6"/>
          <w:sz w:val="20"/>
        </w:rPr>
        <w:t>).</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Vyvrcholil první ročník a byl nastartován druhý ročník soutěže Green Light (více viz SC A3). V rámci medializace akce proběhla reportáž v TV (Dobré ráno) a bylo zveřejněno několik článků o soutěži (5 plus 2, regionální tiskoviny, webové stránky partnerů akce apod.)</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V roce 2014 také pokračovalo uzavírání partnerských smluv k využívání společného loga RIS – bylo uzavřeno 7 smluv (s Agenturou CzechInvest, Bezpečnostně technologickým klastrem, Ostravskou univerzitou, Fakultní nemocnicí Ostrava, Českou technologickou platformou bezpečnosti průmyslu, Sdružením pro rozvoj Moravskoslezského kraje a s Moravskoslezským automobilovým klastrem). Celkem tak bylo k 31. 12. 2014 již uzavřeno 17 partnerských smluv. </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 xml:space="preserve">Pokračovala také společná propagace aktivit jednotlivých partnerů Regionální inovační strategie, kteří tak aktivně přispívali k propagaci inovací v Moravskoslezském kraji i mimo něj. Veškeré mediální </w:t>
      </w:r>
      <w:r w:rsidRPr="00642480">
        <w:rPr>
          <w:rFonts w:ascii="Arial" w:eastAsia="Arial" w:hAnsi="Arial" w:cs="Arial"/>
          <w:color w:val="595959" w:themeColor="text1" w:themeTint="A6"/>
          <w:sz w:val="20"/>
        </w:rPr>
        <w:lastRenderedPageBreak/>
        <w:t xml:space="preserve">výstupy, které prezentovaly aktivity partnerů v oblasti inovací v našem kraji, jsou k dispozici na webu </w:t>
      </w:r>
      <w:hyperlink r:id="rId15">
        <w:r w:rsidRPr="00AA5055">
          <w:rPr>
            <w:rStyle w:val="Hypertextovodkaz"/>
            <w:rFonts w:ascii="Arial" w:eastAsiaTheme="minorEastAsia" w:hAnsi="Arial" w:cs="Arial"/>
            <w:bCs/>
            <w:sz w:val="20"/>
          </w:rPr>
          <w:t>www.rismsk.cz</w:t>
        </w:r>
      </w:hyperlink>
      <w:r w:rsidRPr="00642480">
        <w:rPr>
          <w:rFonts w:ascii="Arial" w:eastAsia="Arial" w:hAnsi="Arial" w:cs="Arial"/>
          <w:color w:val="595959" w:themeColor="text1" w:themeTint="A6"/>
          <w:sz w:val="20"/>
        </w:rPr>
        <w:t xml:space="preserve"> (v sekci </w:t>
      </w:r>
      <w:hyperlink r:id="rId16">
        <w:r w:rsidRPr="00AA5055">
          <w:rPr>
            <w:rStyle w:val="Hypertextovodkaz"/>
            <w:rFonts w:ascii="Arial" w:eastAsiaTheme="minorEastAsia" w:hAnsi="Arial" w:cs="Arial"/>
            <w:bCs/>
            <w:sz w:val="20"/>
          </w:rPr>
          <w:t>mediální výstupy</w:t>
        </w:r>
      </w:hyperlink>
      <w:r w:rsidRPr="00642480">
        <w:rPr>
          <w:rFonts w:ascii="Arial" w:eastAsia="Arial" w:hAnsi="Arial" w:cs="Arial"/>
          <w:color w:val="595959" w:themeColor="text1" w:themeTint="A6"/>
          <w:sz w:val="20"/>
        </w:rPr>
        <w:t xml:space="preserve">). </w:t>
      </w:r>
    </w:p>
    <w:p w:rsidR="000A2CA8" w:rsidRPr="00642480" w:rsidRDefault="00E73B91">
      <w:pPr>
        <w:numPr>
          <w:ilvl w:val="0"/>
          <w:numId w:val="13"/>
        </w:numPr>
        <w:ind w:hanging="360"/>
        <w:rPr>
          <w:color w:val="595959" w:themeColor="text1" w:themeTint="A6"/>
          <w:sz w:val="20"/>
        </w:rPr>
      </w:pPr>
      <w:r w:rsidRPr="00642480">
        <w:rPr>
          <w:rFonts w:ascii="Arial" w:eastAsia="Arial" w:hAnsi="Arial" w:cs="Arial"/>
          <w:b/>
          <w:color w:val="595959" w:themeColor="text1" w:themeTint="A6"/>
          <w:sz w:val="20"/>
        </w:rPr>
        <w:t>Nositel projektu:</w:t>
      </w:r>
      <w:r w:rsidRPr="00642480">
        <w:rPr>
          <w:rFonts w:ascii="Arial" w:eastAsia="Arial" w:hAnsi="Arial" w:cs="Arial"/>
          <w:color w:val="595959" w:themeColor="text1" w:themeTint="A6"/>
          <w:sz w:val="20"/>
        </w:rPr>
        <w:t xml:space="preserve"> Agentura pro regionální rozvoj a partneři</w:t>
      </w:r>
    </w:p>
    <w:p w:rsidR="000A2CA8" w:rsidRPr="00642480" w:rsidRDefault="00E73B91">
      <w:pPr>
        <w:numPr>
          <w:ilvl w:val="0"/>
          <w:numId w:val="13"/>
        </w:numPr>
        <w:ind w:hanging="360"/>
        <w:rPr>
          <w:color w:val="595959" w:themeColor="text1" w:themeTint="A6"/>
          <w:sz w:val="20"/>
        </w:rPr>
      </w:pPr>
      <w:r w:rsidRPr="00642480">
        <w:rPr>
          <w:rFonts w:ascii="Arial" w:eastAsia="Arial" w:hAnsi="Arial" w:cs="Arial"/>
          <w:b/>
          <w:color w:val="595959" w:themeColor="text1" w:themeTint="A6"/>
          <w:sz w:val="20"/>
        </w:rPr>
        <w:t>Stav projektu:</w:t>
      </w:r>
      <w:r w:rsidRPr="00642480">
        <w:rPr>
          <w:rFonts w:ascii="Arial" w:eastAsia="Arial" w:hAnsi="Arial" w:cs="Arial"/>
          <w:color w:val="595959" w:themeColor="text1" w:themeTint="A6"/>
          <w:sz w:val="20"/>
        </w:rPr>
        <w:t xml:space="preserve"> SPLNĚN</w:t>
      </w:r>
    </w:p>
    <w:p w:rsidR="000A2CA8" w:rsidRPr="00642480" w:rsidRDefault="00E73B91">
      <w:pPr>
        <w:rPr>
          <w:color w:val="595959" w:themeColor="text1" w:themeTint="A6"/>
        </w:rPr>
      </w:pPr>
      <w:r w:rsidRPr="00642480">
        <w:rPr>
          <w:color w:val="595959" w:themeColor="text1" w:themeTint="A6"/>
        </w:rPr>
        <w:br w:type="page"/>
      </w:r>
    </w:p>
    <w:p w:rsidR="000A2CA8" w:rsidRPr="00AA5055" w:rsidRDefault="00E73B91" w:rsidP="00AA5055">
      <w:pPr>
        <w:pStyle w:val="Nadpis1"/>
        <w:numPr>
          <w:ilvl w:val="0"/>
          <w:numId w:val="12"/>
        </w:numPr>
        <w:ind w:hanging="432"/>
      </w:pPr>
      <w:bookmarkStart w:id="44" w:name="h.1ci93xb" w:colFirst="0" w:colLast="0"/>
      <w:bookmarkStart w:id="45" w:name="_Toc416179830"/>
      <w:bookmarkEnd w:id="44"/>
      <w:r w:rsidRPr="00AA5055">
        <w:lastRenderedPageBreak/>
        <w:t>Závěry</w:t>
      </w:r>
      <w:bookmarkEnd w:id="45"/>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Z projektů a aktivit plánovaných v roce 2014 jich bylo úspěšně realizováno celkem 23, čtyři projekty byly realizovány částečně a dva projekty realizovány nebyly.</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Příčinami částečného naplnění, případně neuskutečnění některých projektů byly vesměs časová prodlení v přípravě předmětných operačních programů, nevyjasněné vazby mezi těmito operačními programy a RIS3 a stále probíhající práce na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(na základě instrukcí z národní úrovně), které tak oddálily zahájení nových aktivit.</w:t>
      </w:r>
    </w:p>
    <w:p w:rsidR="000A2CA8" w:rsidRPr="00642480" w:rsidRDefault="00E73B91">
      <w:pPr>
        <w:jc w:val="both"/>
        <w:rPr>
          <w:color w:val="595959" w:themeColor="text1" w:themeTint="A6"/>
        </w:rPr>
      </w:pPr>
      <w:r w:rsidRPr="00642480">
        <w:rPr>
          <w:rFonts w:ascii="Arial" w:eastAsia="Arial" w:hAnsi="Arial" w:cs="Arial"/>
          <w:color w:val="595959" w:themeColor="text1" w:themeTint="A6"/>
          <w:sz w:val="20"/>
        </w:rPr>
        <w:t>Výše popsané výsledky dokazují, že realizace inovačních aktivit v roce 2014 proběhla úspěšně. Popsané aktivity budou stejným či podobným způsobem probíhat i v roce 2015, pro který bude již platit první dvouletý akční plán RIS</w:t>
      </w:r>
      <w:r w:rsidRPr="00642480">
        <w:rPr>
          <w:rFonts w:ascii="Arial" w:eastAsia="Arial" w:hAnsi="Arial" w:cs="Arial"/>
          <w:color w:val="595959" w:themeColor="text1" w:themeTint="A6"/>
          <w:sz w:val="20"/>
          <w:vertAlign w:val="superscript"/>
        </w:rPr>
        <w:t>3</w:t>
      </w:r>
      <w:r w:rsidRPr="00642480">
        <w:rPr>
          <w:rFonts w:ascii="Arial" w:eastAsia="Arial" w:hAnsi="Arial" w:cs="Arial"/>
          <w:color w:val="595959" w:themeColor="text1" w:themeTint="A6"/>
          <w:sz w:val="20"/>
        </w:rPr>
        <w:t xml:space="preserve"> MSK 2015-2016.</w:t>
      </w:r>
    </w:p>
    <w:p w:rsidR="000A2CA8" w:rsidRPr="00642480" w:rsidRDefault="000A2CA8">
      <w:pPr>
        <w:rPr>
          <w:color w:val="595959" w:themeColor="text1" w:themeTint="A6"/>
        </w:rPr>
      </w:pPr>
    </w:p>
    <w:sectPr w:rsidR="000A2CA8" w:rsidRPr="00642480" w:rsidSect="00027DB3">
      <w:headerReference w:type="default" r:id="rId17"/>
      <w:footerReference w:type="default" r:id="rId18"/>
      <w:headerReference w:type="first" r:id="rId19"/>
      <w:pgSz w:w="11906" w:h="16838" w:code="9"/>
      <w:pgMar w:top="1701" w:right="1418" w:bottom="1418" w:left="1418" w:header="567" w:footer="11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CE" w:rsidRDefault="00E73B91">
      <w:pPr>
        <w:spacing w:after="0" w:line="240" w:lineRule="auto"/>
      </w:pPr>
      <w:r>
        <w:separator/>
      </w:r>
    </w:p>
  </w:endnote>
  <w:endnote w:type="continuationSeparator" w:id="0">
    <w:p w:rsidR="00D434CE" w:rsidRDefault="00E7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A8" w:rsidRPr="00A619CF" w:rsidRDefault="00AA5055">
    <w:pPr>
      <w:tabs>
        <w:tab w:val="center" w:pos="4536"/>
        <w:tab w:val="right" w:pos="9072"/>
      </w:tabs>
      <w:spacing w:after="709" w:line="240" w:lineRule="auto"/>
      <w:jc w:val="center"/>
      <w:rPr>
        <w:rFonts w:ascii="Arial" w:hAnsi="Arial" w:cs="Arial"/>
        <w:sz w:val="20"/>
      </w:rPr>
    </w:pPr>
    <w:r w:rsidRPr="00F766DC">
      <w:rPr>
        <w:rFonts w:ascii="Arial" w:hAnsi="Arial" w:cs="Arial"/>
        <w:b/>
        <w:noProof/>
        <w:sz w:val="24"/>
        <w:szCs w:val="24"/>
      </w:rPr>
      <w:drawing>
        <wp:anchor distT="0" distB="0" distL="114300" distR="114300" simplePos="0" relativeHeight="251659264" behindDoc="1" locked="0" layoutInCell="0" allowOverlap="0" wp14:anchorId="1D06ED64" wp14:editId="2DCDD1A6">
          <wp:simplePos x="0" y="0"/>
          <wp:positionH relativeFrom="column">
            <wp:posOffset>3412490</wp:posOffset>
          </wp:positionH>
          <wp:positionV relativeFrom="paragraph">
            <wp:posOffset>-2626312</wp:posOffset>
          </wp:positionV>
          <wp:extent cx="2362200" cy="2362200"/>
          <wp:effectExtent l="0" t="0" r="0" b="0"/>
          <wp:wrapNone/>
          <wp:docPr id="6" name="obrázek 2" descr="RI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_"/>
                  <pic:cNvPicPr>
                    <a:picLocks noChangeAspect="1" noChangeArrowheads="1"/>
                  </pic:cNvPicPr>
                </pic:nvPicPr>
                <pic:blipFill>
                  <a:blip r:embed="rId1" cstate="print"/>
                  <a:srcRect/>
                  <a:stretch>
                    <a:fillRect/>
                  </a:stretch>
                </pic:blipFill>
                <pic:spPr bwMode="auto">
                  <a:xfrm>
                    <a:off x="0" y="0"/>
                    <a:ext cx="2362200" cy="2362200"/>
                  </a:xfrm>
                  <a:prstGeom prst="rect">
                    <a:avLst/>
                  </a:prstGeom>
                  <a:noFill/>
                  <a:ln w="9525">
                    <a:noFill/>
                    <a:miter lim="800000"/>
                    <a:headEnd/>
                    <a:tailEnd/>
                  </a:ln>
                </pic:spPr>
              </pic:pic>
            </a:graphicData>
          </a:graphic>
        </wp:anchor>
      </w:drawing>
    </w:r>
    <w:r w:rsidR="00E73B91" w:rsidRPr="00A619CF">
      <w:rPr>
        <w:rFonts w:ascii="Arial" w:hAnsi="Arial" w:cs="Arial"/>
        <w:sz w:val="20"/>
      </w:rPr>
      <w:t>-</w:t>
    </w:r>
    <w:r w:rsidR="00E73B91" w:rsidRPr="00027DB3">
      <w:rPr>
        <w:rFonts w:ascii="Arial" w:hAnsi="Arial" w:cs="Arial"/>
        <w:color w:val="595959" w:themeColor="text1" w:themeTint="A6"/>
        <w:sz w:val="18"/>
        <w:szCs w:val="18"/>
      </w:rPr>
      <w:fldChar w:fldCharType="begin"/>
    </w:r>
    <w:r w:rsidR="00E73B91" w:rsidRPr="00027DB3">
      <w:rPr>
        <w:rFonts w:ascii="Arial" w:hAnsi="Arial" w:cs="Arial"/>
        <w:color w:val="595959" w:themeColor="text1" w:themeTint="A6"/>
        <w:sz w:val="18"/>
        <w:szCs w:val="18"/>
      </w:rPr>
      <w:instrText>PAGE</w:instrText>
    </w:r>
    <w:r w:rsidR="00E73B91" w:rsidRPr="00027DB3">
      <w:rPr>
        <w:rFonts w:ascii="Arial" w:hAnsi="Arial" w:cs="Arial"/>
        <w:color w:val="595959" w:themeColor="text1" w:themeTint="A6"/>
        <w:sz w:val="18"/>
        <w:szCs w:val="18"/>
      </w:rPr>
      <w:fldChar w:fldCharType="separate"/>
    </w:r>
    <w:r w:rsidR="00CB7720">
      <w:rPr>
        <w:rFonts w:ascii="Arial" w:hAnsi="Arial" w:cs="Arial"/>
        <w:noProof/>
        <w:color w:val="595959" w:themeColor="text1" w:themeTint="A6"/>
        <w:sz w:val="18"/>
        <w:szCs w:val="18"/>
      </w:rPr>
      <w:t>3</w:t>
    </w:r>
    <w:r w:rsidR="00E73B91" w:rsidRPr="00027DB3">
      <w:rPr>
        <w:rFonts w:ascii="Arial" w:hAnsi="Arial" w:cs="Arial"/>
        <w:color w:val="595959" w:themeColor="text1" w:themeTint="A6"/>
        <w:sz w:val="18"/>
        <w:szCs w:val="18"/>
      </w:rPr>
      <w:fldChar w:fldCharType="end"/>
    </w:r>
    <w:r w:rsidR="00E73B91" w:rsidRPr="00A619CF">
      <w:rPr>
        <w:rFonts w:ascii="Arial" w:eastAsia="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CE" w:rsidRDefault="00E73B91">
      <w:pPr>
        <w:spacing w:after="0" w:line="240" w:lineRule="auto"/>
      </w:pPr>
      <w:r>
        <w:separator/>
      </w:r>
    </w:p>
  </w:footnote>
  <w:footnote w:type="continuationSeparator" w:id="0">
    <w:p w:rsidR="00D434CE" w:rsidRDefault="00E73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66" w:rsidRDefault="00E25366" w:rsidP="00E25366">
    <w:pPr>
      <w:pStyle w:val="Zhlav"/>
    </w:pPr>
    <w:r w:rsidRPr="009F0891">
      <w:rPr>
        <w:noProof/>
      </w:rPr>
      <w:drawing>
        <wp:anchor distT="0" distB="0" distL="114300" distR="114300" simplePos="0" relativeHeight="251661312" behindDoc="0" locked="0" layoutInCell="1" allowOverlap="1" wp14:anchorId="3C403D01" wp14:editId="077134E5">
          <wp:simplePos x="0" y="0"/>
          <wp:positionH relativeFrom="margin">
            <wp:posOffset>-534035</wp:posOffset>
          </wp:positionH>
          <wp:positionV relativeFrom="margin">
            <wp:posOffset>-800100</wp:posOffset>
          </wp:positionV>
          <wp:extent cx="6838950" cy="514350"/>
          <wp:effectExtent l="0" t="0" r="0" b="0"/>
          <wp:wrapSquare wrapText="bothSides"/>
          <wp:docPr id="9" name="obrázek 2" descr="zahlavi_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lavi_cara"/>
                  <pic:cNvPicPr>
                    <a:picLocks noChangeAspect="1" noChangeArrowheads="1"/>
                  </pic:cNvPicPr>
                </pic:nvPicPr>
                <pic:blipFill>
                  <a:blip r:embed="rId1"/>
                  <a:srcRect/>
                  <a:stretch>
                    <a:fillRect/>
                  </a:stretch>
                </pic:blipFill>
                <pic:spPr bwMode="auto">
                  <a:xfrm>
                    <a:off x="0" y="0"/>
                    <a:ext cx="6838950" cy="514350"/>
                  </a:xfrm>
                  <a:prstGeom prst="rect">
                    <a:avLst/>
                  </a:prstGeom>
                  <a:noFill/>
                  <a:ln w="9525">
                    <a:noFill/>
                    <a:miter lim="800000"/>
                    <a:headEnd/>
                    <a:tailEnd/>
                  </a:ln>
                </pic:spPr>
              </pic:pic>
            </a:graphicData>
          </a:graphic>
        </wp:anchor>
      </w:drawing>
    </w:r>
  </w:p>
  <w:p w:rsidR="000A2CA8" w:rsidRPr="00E25366" w:rsidRDefault="000A2CA8" w:rsidP="00E253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66" w:rsidRDefault="00E25366" w:rsidP="00E25366">
    <w:pPr>
      <w:pStyle w:val="Zhlav"/>
    </w:pPr>
    <w:r w:rsidRPr="009F0891">
      <w:rPr>
        <w:noProof/>
      </w:rPr>
      <w:drawing>
        <wp:anchor distT="0" distB="0" distL="114300" distR="114300" simplePos="0" relativeHeight="251663360" behindDoc="0" locked="0" layoutInCell="1" allowOverlap="1" wp14:anchorId="4BF0893F" wp14:editId="65CE1BB6">
          <wp:simplePos x="0" y="0"/>
          <wp:positionH relativeFrom="margin">
            <wp:posOffset>-479425</wp:posOffset>
          </wp:positionH>
          <wp:positionV relativeFrom="margin">
            <wp:posOffset>-784860</wp:posOffset>
          </wp:positionV>
          <wp:extent cx="6838950" cy="514350"/>
          <wp:effectExtent l="0" t="0" r="0" b="0"/>
          <wp:wrapSquare wrapText="bothSides"/>
          <wp:docPr id="61" name="obrázek 2" descr="zahlavi_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lavi_cara"/>
                  <pic:cNvPicPr>
                    <a:picLocks noChangeAspect="1" noChangeArrowheads="1"/>
                  </pic:cNvPicPr>
                </pic:nvPicPr>
                <pic:blipFill>
                  <a:blip r:embed="rId1"/>
                  <a:srcRect/>
                  <a:stretch>
                    <a:fillRect/>
                  </a:stretch>
                </pic:blipFill>
                <pic:spPr bwMode="auto">
                  <a:xfrm>
                    <a:off x="0" y="0"/>
                    <a:ext cx="6838950" cy="514350"/>
                  </a:xfrm>
                  <a:prstGeom prst="rect">
                    <a:avLst/>
                  </a:prstGeom>
                  <a:noFill/>
                  <a:ln w="9525">
                    <a:noFill/>
                    <a:miter lim="800000"/>
                    <a:headEnd/>
                    <a:tailEnd/>
                  </a:ln>
                </pic:spPr>
              </pic:pic>
            </a:graphicData>
          </a:graphic>
        </wp:anchor>
      </w:drawing>
    </w:r>
  </w:p>
  <w:p w:rsidR="000A2CA8" w:rsidRPr="00E25366" w:rsidRDefault="000A2CA8" w:rsidP="00E253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B46"/>
    <w:multiLevelType w:val="multilevel"/>
    <w:tmpl w:val="171A7EF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1B14D48"/>
    <w:multiLevelType w:val="multilevel"/>
    <w:tmpl w:val="2C16D3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7CF6227"/>
    <w:multiLevelType w:val="multilevel"/>
    <w:tmpl w:val="61BA9F4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7FE6BC0"/>
    <w:multiLevelType w:val="multilevel"/>
    <w:tmpl w:val="D32CCD3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98B67BA"/>
    <w:multiLevelType w:val="multilevel"/>
    <w:tmpl w:val="4B38073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C1440D8"/>
    <w:multiLevelType w:val="multilevel"/>
    <w:tmpl w:val="B950C7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22E5A86"/>
    <w:multiLevelType w:val="multilevel"/>
    <w:tmpl w:val="29DADF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4B94AD1"/>
    <w:multiLevelType w:val="multilevel"/>
    <w:tmpl w:val="EF56523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6AC1105"/>
    <w:multiLevelType w:val="multilevel"/>
    <w:tmpl w:val="3BD26F2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A3A0F8E"/>
    <w:multiLevelType w:val="multilevel"/>
    <w:tmpl w:val="EAA445C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3AD74C2"/>
    <w:multiLevelType w:val="multilevel"/>
    <w:tmpl w:val="31F85B7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6D50D7A"/>
    <w:multiLevelType w:val="multilevel"/>
    <w:tmpl w:val="CC624346"/>
    <w:lvl w:ilvl="0">
      <w:start w:val="1"/>
      <w:numFmt w:val="decimal"/>
      <w:lvlText w:val="%1"/>
      <w:lvlJc w:val="left"/>
      <w:pPr>
        <w:ind w:left="432" w:firstLine="0"/>
      </w:pPr>
      <w:rPr>
        <w:rFonts w:ascii="Arial" w:eastAsia="Arial" w:hAnsi="Arial" w:cs="Arial"/>
      </w:rPr>
    </w:lvl>
    <w:lvl w:ilvl="1">
      <w:start w:val="1"/>
      <w:numFmt w:val="decimal"/>
      <w:pStyle w:val="Nadpis2"/>
      <w:lvlText w:val="%1.%2"/>
      <w:lvlJc w:val="left"/>
      <w:pPr>
        <w:ind w:left="576" w:firstLine="0"/>
      </w:pPr>
      <w:rPr>
        <w:rFonts w:ascii="Arial" w:eastAsia="Arial" w:hAnsi="Arial" w:cs="Arial"/>
        <w:sz w:val="24"/>
      </w:rPr>
    </w:lvl>
    <w:lvl w:ilvl="2">
      <w:start w:val="1"/>
      <w:numFmt w:val="decimal"/>
      <w:lvlText w:val="%1.%2.%3"/>
      <w:lvlJc w:val="left"/>
      <w:pPr>
        <w:ind w:left="862" w:firstLine="142"/>
      </w:pPr>
      <w:rPr>
        <w:rFonts w:ascii="Times New Roman" w:eastAsia="Times New Roman" w:hAnsi="Times New Roman" w:cs="Times New Roman"/>
        <w:i w:val="0"/>
        <w:smallCaps w:val="0"/>
        <w:strike w:val="0"/>
        <w:color w:val="000000"/>
        <w:sz w:val="24"/>
        <w:u w:val="none"/>
        <w:vertAlign w:val="baseline"/>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2">
    <w:nsid w:val="48214D56"/>
    <w:multiLevelType w:val="multilevel"/>
    <w:tmpl w:val="4810E34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BC21B93"/>
    <w:multiLevelType w:val="multilevel"/>
    <w:tmpl w:val="F618C00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623140AC"/>
    <w:multiLevelType w:val="multilevel"/>
    <w:tmpl w:val="A472355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5BC1B79"/>
    <w:multiLevelType w:val="multilevel"/>
    <w:tmpl w:val="73B66B8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6A1C7851"/>
    <w:multiLevelType w:val="multilevel"/>
    <w:tmpl w:val="353EDAA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6C954D60"/>
    <w:multiLevelType w:val="multilevel"/>
    <w:tmpl w:val="1D6ADF6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6D691F18"/>
    <w:multiLevelType w:val="multilevel"/>
    <w:tmpl w:val="2910CBA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FDA24BE"/>
    <w:multiLevelType w:val="multilevel"/>
    <w:tmpl w:val="8F541A54"/>
    <w:lvl w:ilvl="0">
      <w:start w:val="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5"/>
  </w:num>
  <w:num w:numId="2">
    <w:abstractNumId w:val="17"/>
  </w:num>
  <w:num w:numId="3">
    <w:abstractNumId w:val="14"/>
  </w:num>
  <w:num w:numId="4">
    <w:abstractNumId w:val="16"/>
  </w:num>
  <w:num w:numId="5">
    <w:abstractNumId w:val="12"/>
  </w:num>
  <w:num w:numId="6">
    <w:abstractNumId w:val="8"/>
  </w:num>
  <w:num w:numId="7">
    <w:abstractNumId w:val="2"/>
  </w:num>
  <w:num w:numId="8">
    <w:abstractNumId w:val="18"/>
  </w:num>
  <w:num w:numId="9">
    <w:abstractNumId w:val="9"/>
  </w:num>
  <w:num w:numId="10">
    <w:abstractNumId w:val="5"/>
  </w:num>
  <w:num w:numId="11">
    <w:abstractNumId w:val="6"/>
  </w:num>
  <w:num w:numId="12">
    <w:abstractNumId w:val="11"/>
  </w:num>
  <w:num w:numId="13">
    <w:abstractNumId w:val="4"/>
  </w:num>
  <w:num w:numId="14">
    <w:abstractNumId w:val="0"/>
  </w:num>
  <w:num w:numId="15">
    <w:abstractNumId w:val="3"/>
  </w:num>
  <w:num w:numId="16">
    <w:abstractNumId w:val="7"/>
  </w:num>
  <w:num w:numId="17">
    <w:abstractNumId w:val="13"/>
  </w:num>
  <w:num w:numId="18">
    <w:abstractNumId w:val="1"/>
  </w:num>
  <w:num w:numId="19">
    <w:abstractNumId w:val="19"/>
  </w:num>
  <w:num w:numId="20">
    <w:abstractNumId w:val="10"/>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0A2CA8"/>
    <w:rsid w:val="00027DB3"/>
    <w:rsid w:val="00046A1C"/>
    <w:rsid w:val="000A2CA8"/>
    <w:rsid w:val="000C3F77"/>
    <w:rsid w:val="001E7323"/>
    <w:rsid w:val="00265C3D"/>
    <w:rsid w:val="0030785D"/>
    <w:rsid w:val="00405AA6"/>
    <w:rsid w:val="005C754F"/>
    <w:rsid w:val="00620236"/>
    <w:rsid w:val="00642480"/>
    <w:rsid w:val="007C0EA9"/>
    <w:rsid w:val="008127EE"/>
    <w:rsid w:val="008B444B"/>
    <w:rsid w:val="00A619CF"/>
    <w:rsid w:val="00AA5055"/>
    <w:rsid w:val="00AC51EF"/>
    <w:rsid w:val="00AF1DB4"/>
    <w:rsid w:val="00C02E63"/>
    <w:rsid w:val="00C04602"/>
    <w:rsid w:val="00CB7720"/>
    <w:rsid w:val="00D434CE"/>
    <w:rsid w:val="00D52514"/>
    <w:rsid w:val="00DA0CD4"/>
    <w:rsid w:val="00E25366"/>
    <w:rsid w:val="00E634D1"/>
    <w:rsid w:val="00E73B91"/>
    <w:rsid w:val="00EF6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uiPriority w:val="99"/>
    <w:qFormat/>
    <w:rsid w:val="00642480"/>
    <w:pPr>
      <w:keepNext/>
      <w:keepLines/>
      <w:spacing w:before="480" w:after="480"/>
      <w:jc w:val="both"/>
      <w:outlineLvl w:val="0"/>
    </w:pPr>
    <w:rPr>
      <w:rFonts w:ascii="Arial" w:eastAsia="Times New Roman" w:hAnsi="Arial" w:cs="Arial"/>
      <w:b/>
      <w:bCs/>
      <w:color w:val="595959" w:themeColor="text1" w:themeTint="A6"/>
      <w:sz w:val="28"/>
      <w:szCs w:val="28"/>
    </w:rPr>
  </w:style>
  <w:style w:type="paragraph" w:styleId="Nadpis2">
    <w:name w:val="heading 2"/>
    <w:basedOn w:val="Normln"/>
    <w:next w:val="Normln"/>
    <w:link w:val="Nadpis2Char"/>
    <w:uiPriority w:val="99"/>
    <w:qFormat/>
    <w:rsid w:val="00265C3D"/>
    <w:pPr>
      <w:keepNext/>
      <w:keepLines/>
      <w:numPr>
        <w:ilvl w:val="1"/>
        <w:numId w:val="12"/>
      </w:numPr>
      <w:spacing w:before="360" w:after="360"/>
      <w:jc w:val="both"/>
      <w:outlineLvl w:val="1"/>
    </w:pPr>
    <w:rPr>
      <w:rFonts w:ascii="Arial" w:eastAsia="Times New Roman" w:hAnsi="Arial" w:cs="Arial"/>
      <w:b/>
      <w:bCs/>
      <w:color w:val="595959" w:themeColor="text1" w:themeTint="A6"/>
      <w:sz w:val="24"/>
      <w:szCs w:val="24"/>
    </w:rPr>
  </w:style>
  <w:style w:type="paragraph" w:styleId="Nadpis3">
    <w:name w:val="heading 3"/>
    <w:basedOn w:val="Normln"/>
    <w:next w:val="Normln"/>
    <w:pPr>
      <w:keepNext/>
      <w:keepLines/>
      <w:spacing w:before="240" w:after="240"/>
      <w:ind w:left="862" w:hanging="720"/>
      <w:jc w:val="both"/>
      <w:outlineLvl w:val="2"/>
    </w:pPr>
    <w:rPr>
      <w:rFonts w:ascii="Cambria" w:eastAsia="Cambria" w:hAnsi="Cambria" w:cs="Cambria"/>
      <w:b/>
    </w:rPr>
  </w:style>
  <w:style w:type="paragraph" w:styleId="Nadpis4">
    <w:name w:val="heading 4"/>
    <w:basedOn w:val="Normln"/>
    <w:next w:val="Normln"/>
    <w:pPr>
      <w:keepNext/>
      <w:keepLines/>
      <w:spacing w:before="200" w:after="0"/>
      <w:ind w:left="864" w:hanging="864"/>
      <w:jc w:val="both"/>
      <w:outlineLvl w:val="3"/>
    </w:pPr>
    <w:rPr>
      <w:rFonts w:ascii="Cambria" w:eastAsia="Cambria" w:hAnsi="Cambria" w:cs="Cambria"/>
      <w:b/>
      <w:i/>
    </w:rPr>
  </w:style>
  <w:style w:type="paragraph" w:styleId="Nadpis5">
    <w:name w:val="heading 5"/>
    <w:basedOn w:val="Normln"/>
    <w:next w:val="Normln"/>
    <w:pPr>
      <w:keepNext/>
      <w:keepLines/>
      <w:spacing w:before="200" w:after="0"/>
      <w:ind w:left="1008" w:hanging="1008"/>
      <w:jc w:val="both"/>
      <w:outlineLvl w:val="4"/>
    </w:pPr>
    <w:rPr>
      <w:rFonts w:ascii="Cambria" w:eastAsia="Cambria" w:hAnsi="Cambria" w:cs="Cambria"/>
      <w:color w:val="243F60"/>
    </w:rPr>
  </w:style>
  <w:style w:type="paragraph" w:styleId="Nadpis6">
    <w:name w:val="heading 6"/>
    <w:basedOn w:val="Normln"/>
    <w:next w:val="Normln"/>
    <w:pPr>
      <w:keepNext/>
      <w:keepLines/>
      <w:spacing w:before="200" w:after="0"/>
      <w:ind w:left="1152" w:hanging="1152"/>
      <w:jc w:val="both"/>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paragraph" w:styleId="Textkomente">
    <w:name w:val="annotation text"/>
    <w:basedOn w:val="Normln"/>
    <w:link w:val="TextkomenteChar"/>
    <w:uiPriority w:val="99"/>
    <w:semiHidden/>
    <w:unhideWhenUsed/>
    <w:pPr>
      <w:spacing w:line="240" w:lineRule="auto"/>
    </w:pPr>
    <w:rPr>
      <w:sz w:val="20"/>
    </w:rPr>
  </w:style>
  <w:style w:type="character" w:customStyle="1" w:styleId="TextkomenteChar">
    <w:name w:val="Text komentáře Char"/>
    <w:basedOn w:val="Standardnpsmoodstavce"/>
    <w:link w:val="Textkomente"/>
    <w:uiPriority w:val="99"/>
    <w:semiHidden/>
    <w:rPr>
      <w:sz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C51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51EF"/>
    <w:rPr>
      <w:rFonts w:ascii="Tahoma" w:hAnsi="Tahoma" w:cs="Tahoma"/>
      <w:sz w:val="16"/>
      <w:szCs w:val="16"/>
    </w:rPr>
  </w:style>
  <w:style w:type="character" w:customStyle="1" w:styleId="Nadpis1Char">
    <w:name w:val="Nadpis 1 Char"/>
    <w:basedOn w:val="Standardnpsmoodstavce"/>
    <w:link w:val="Nadpis1"/>
    <w:uiPriority w:val="99"/>
    <w:rsid w:val="00642480"/>
    <w:rPr>
      <w:rFonts w:ascii="Arial" w:eastAsia="Times New Roman" w:hAnsi="Arial" w:cs="Arial"/>
      <w:b/>
      <w:bCs/>
      <w:color w:val="595959" w:themeColor="text1" w:themeTint="A6"/>
      <w:sz w:val="28"/>
      <w:szCs w:val="28"/>
    </w:rPr>
  </w:style>
  <w:style w:type="character" w:styleId="Hypertextovodkaz">
    <w:name w:val="Hyperlink"/>
    <w:basedOn w:val="Standardnpsmoodstavce"/>
    <w:uiPriority w:val="99"/>
    <w:unhideWhenUsed/>
    <w:rsid w:val="00642480"/>
    <w:rPr>
      <w:color w:val="0000FF" w:themeColor="hyperlink"/>
      <w:u w:val="single"/>
    </w:rPr>
  </w:style>
  <w:style w:type="character" w:customStyle="1" w:styleId="Nadpis2Char">
    <w:name w:val="Nadpis 2 Char"/>
    <w:basedOn w:val="Standardnpsmoodstavce"/>
    <w:link w:val="Nadpis2"/>
    <w:uiPriority w:val="99"/>
    <w:rsid w:val="00265C3D"/>
    <w:rPr>
      <w:rFonts w:ascii="Arial" w:eastAsia="Times New Roman" w:hAnsi="Arial" w:cs="Arial"/>
      <w:b/>
      <w:bCs/>
      <w:color w:val="595959" w:themeColor="text1" w:themeTint="A6"/>
      <w:sz w:val="24"/>
      <w:szCs w:val="24"/>
    </w:rPr>
  </w:style>
  <w:style w:type="paragraph" w:styleId="Zhlav">
    <w:name w:val="header"/>
    <w:basedOn w:val="Normln"/>
    <w:link w:val="ZhlavChar"/>
    <w:uiPriority w:val="99"/>
    <w:unhideWhenUsed/>
    <w:rsid w:val="00A619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19CF"/>
  </w:style>
  <w:style w:type="paragraph" w:styleId="Zpat">
    <w:name w:val="footer"/>
    <w:basedOn w:val="Normln"/>
    <w:link w:val="ZpatChar"/>
    <w:uiPriority w:val="99"/>
    <w:unhideWhenUsed/>
    <w:rsid w:val="00A619CF"/>
    <w:pPr>
      <w:tabs>
        <w:tab w:val="center" w:pos="4536"/>
        <w:tab w:val="right" w:pos="9072"/>
      </w:tabs>
      <w:spacing w:after="0" w:line="240" w:lineRule="auto"/>
    </w:pPr>
  </w:style>
  <w:style w:type="character" w:customStyle="1" w:styleId="ZpatChar">
    <w:name w:val="Zápatí Char"/>
    <w:basedOn w:val="Standardnpsmoodstavce"/>
    <w:link w:val="Zpat"/>
    <w:uiPriority w:val="99"/>
    <w:rsid w:val="00A619CF"/>
  </w:style>
  <w:style w:type="paragraph" w:styleId="Obsah1">
    <w:name w:val="toc 1"/>
    <w:basedOn w:val="Normln"/>
    <w:next w:val="Normln"/>
    <w:autoRedefine/>
    <w:uiPriority w:val="39"/>
    <w:unhideWhenUsed/>
    <w:rsid w:val="00EF6A9F"/>
    <w:pPr>
      <w:spacing w:after="100"/>
    </w:pPr>
  </w:style>
  <w:style w:type="paragraph" w:styleId="Obsah2">
    <w:name w:val="toc 2"/>
    <w:basedOn w:val="Normln"/>
    <w:next w:val="Normln"/>
    <w:autoRedefine/>
    <w:uiPriority w:val="39"/>
    <w:unhideWhenUsed/>
    <w:rsid w:val="00EF6A9F"/>
    <w:pPr>
      <w:spacing w:after="100"/>
      <w:ind w:left="220"/>
    </w:pPr>
  </w:style>
  <w:style w:type="paragraph" w:styleId="Bezmezer">
    <w:name w:val="No Spacing"/>
    <w:link w:val="BezmezerChar"/>
    <w:uiPriority w:val="99"/>
    <w:qFormat/>
    <w:rsid w:val="00E25366"/>
    <w:pPr>
      <w:spacing w:after="0" w:line="240" w:lineRule="auto"/>
    </w:pPr>
    <w:rPr>
      <w:rFonts w:eastAsia="Times New Roman" w:cs="Times New Roman"/>
      <w:color w:val="auto"/>
      <w:szCs w:val="22"/>
      <w:lang w:eastAsia="en-US"/>
    </w:rPr>
  </w:style>
  <w:style w:type="character" w:customStyle="1" w:styleId="BezmezerChar">
    <w:name w:val="Bez mezer Char"/>
    <w:basedOn w:val="Standardnpsmoodstavce"/>
    <w:link w:val="Bezmezer"/>
    <w:uiPriority w:val="99"/>
    <w:locked/>
    <w:rsid w:val="00E25366"/>
    <w:rPr>
      <w:rFonts w:eastAsia="Times New Roman" w:cs="Times New Roman"/>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uiPriority w:val="99"/>
    <w:qFormat/>
    <w:rsid w:val="00642480"/>
    <w:pPr>
      <w:keepNext/>
      <w:keepLines/>
      <w:spacing w:before="480" w:after="480"/>
      <w:jc w:val="both"/>
      <w:outlineLvl w:val="0"/>
    </w:pPr>
    <w:rPr>
      <w:rFonts w:ascii="Arial" w:eastAsia="Times New Roman" w:hAnsi="Arial" w:cs="Arial"/>
      <w:b/>
      <w:bCs/>
      <w:color w:val="595959" w:themeColor="text1" w:themeTint="A6"/>
      <w:sz w:val="28"/>
      <w:szCs w:val="28"/>
    </w:rPr>
  </w:style>
  <w:style w:type="paragraph" w:styleId="Nadpis2">
    <w:name w:val="heading 2"/>
    <w:basedOn w:val="Normln"/>
    <w:next w:val="Normln"/>
    <w:link w:val="Nadpis2Char"/>
    <w:uiPriority w:val="99"/>
    <w:qFormat/>
    <w:rsid w:val="00265C3D"/>
    <w:pPr>
      <w:keepNext/>
      <w:keepLines/>
      <w:numPr>
        <w:ilvl w:val="1"/>
        <w:numId w:val="12"/>
      </w:numPr>
      <w:spacing w:before="360" w:after="360"/>
      <w:jc w:val="both"/>
      <w:outlineLvl w:val="1"/>
    </w:pPr>
    <w:rPr>
      <w:rFonts w:ascii="Arial" w:eastAsia="Times New Roman" w:hAnsi="Arial" w:cs="Arial"/>
      <w:b/>
      <w:bCs/>
      <w:color w:val="595959" w:themeColor="text1" w:themeTint="A6"/>
      <w:sz w:val="24"/>
      <w:szCs w:val="24"/>
    </w:rPr>
  </w:style>
  <w:style w:type="paragraph" w:styleId="Nadpis3">
    <w:name w:val="heading 3"/>
    <w:basedOn w:val="Normln"/>
    <w:next w:val="Normln"/>
    <w:pPr>
      <w:keepNext/>
      <w:keepLines/>
      <w:spacing w:before="240" w:after="240"/>
      <w:ind w:left="862" w:hanging="720"/>
      <w:jc w:val="both"/>
      <w:outlineLvl w:val="2"/>
    </w:pPr>
    <w:rPr>
      <w:rFonts w:ascii="Cambria" w:eastAsia="Cambria" w:hAnsi="Cambria" w:cs="Cambria"/>
      <w:b/>
    </w:rPr>
  </w:style>
  <w:style w:type="paragraph" w:styleId="Nadpis4">
    <w:name w:val="heading 4"/>
    <w:basedOn w:val="Normln"/>
    <w:next w:val="Normln"/>
    <w:pPr>
      <w:keepNext/>
      <w:keepLines/>
      <w:spacing w:before="200" w:after="0"/>
      <w:ind w:left="864" w:hanging="864"/>
      <w:jc w:val="both"/>
      <w:outlineLvl w:val="3"/>
    </w:pPr>
    <w:rPr>
      <w:rFonts w:ascii="Cambria" w:eastAsia="Cambria" w:hAnsi="Cambria" w:cs="Cambria"/>
      <w:b/>
      <w:i/>
    </w:rPr>
  </w:style>
  <w:style w:type="paragraph" w:styleId="Nadpis5">
    <w:name w:val="heading 5"/>
    <w:basedOn w:val="Normln"/>
    <w:next w:val="Normln"/>
    <w:pPr>
      <w:keepNext/>
      <w:keepLines/>
      <w:spacing w:before="200" w:after="0"/>
      <w:ind w:left="1008" w:hanging="1008"/>
      <w:jc w:val="both"/>
      <w:outlineLvl w:val="4"/>
    </w:pPr>
    <w:rPr>
      <w:rFonts w:ascii="Cambria" w:eastAsia="Cambria" w:hAnsi="Cambria" w:cs="Cambria"/>
      <w:color w:val="243F60"/>
    </w:rPr>
  </w:style>
  <w:style w:type="paragraph" w:styleId="Nadpis6">
    <w:name w:val="heading 6"/>
    <w:basedOn w:val="Normln"/>
    <w:next w:val="Normln"/>
    <w:pPr>
      <w:keepNext/>
      <w:keepLines/>
      <w:spacing w:before="200" w:after="0"/>
      <w:ind w:left="1152" w:hanging="1152"/>
      <w:jc w:val="both"/>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paragraph" w:styleId="Textkomente">
    <w:name w:val="annotation text"/>
    <w:basedOn w:val="Normln"/>
    <w:link w:val="TextkomenteChar"/>
    <w:uiPriority w:val="99"/>
    <w:semiHidden/>
    <w:unhideWhenUsed/>
    <w:pPr>
      <w:spacing w:line="240" w:lineRule="auto"/>
    </w:pPr>
    <w:rPr>
      <w:sz w:val="20"/>
    </w:rPr>
  </w:style>
  <w:style w:type="character" w:customStyle="1" w:styleId="TextkomenteChar">
    <w:name w:val="Text komentáře Char"/>
    <w:basedOn w:val="Standardnpsmoodstavce"/>
    <w:link w:val="Textkomente"/>
    <w:uiPriority w:val="99"/>
    <w:semiHidden/>
    <w:rPr>
      <w:sz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C51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51EF"/>
    <w:rPr>
      <w:rFonts w:ascii="Tahoma" w:hAnsi="Tahoma" w:cs="Tahoma"/>
      <w:sz w:val="16"/>
      <w:szCs w:val="16"/>
    </w:rPr>
  </w:style>
  <w:style w:type="character" w:customStyle="1" w:styleId="Nadpis1Char">
    <w:name w:val="Nadpis 1 Char"/>
    <w:basedOn w:val="Standardnpsmoodstavce"/>
    <w:link w:val="Nadpis1"/>
    <w:uiPriority w:val="99"/>
    <w:rsid w:val="00642480"/>
    <w:rPr>
      <w:rFonts w:ascii="Arial" w:eastAsia="Times New Roman" w:hAnsi="Arial" w:cs="Arial"/>
      <w:b/>
      <w:bCs/>
      <w:color w:val="595959" w:themeColor="text1" w:themeTint="A6"/>
      <w:sz w:val="28"/>
      <w:szCs w:val="28"/>
    </w:rPr>
  </w:style>
  <w:style w:type="character" w:styleId="Hypertextovodkaz">
    <w:name w:val="Hyperlink"/>
    <w:basedOn w:val="Standardnpsmoodstavce"/>
    <w:uiPriority w:val="99"/>
    <w:unhideWhenUsed/>
    <w:rsid w:val="00642480"/>
    <w:rPr>
      <w:color w:val="0000FF" w:themeColor="hyperlink"/>
      <w:u w:val="single"/>
    </w:rPr>
  </w:style>
  <w:style w:type="character" w:customStyle="1" w:styleId="Nadpis2Char">
    <w:name w:val="Nadpis 2 Char"/>
    <w:basedOn w:val="Standardnpsmoodstavce"/>
    <w:link w:val="Nadpis2"/>
    <w:uiPriority w:val="99"/>
    <w:rsid w:val="00265C3D"/>
    <w:rPr>
      <w:rFonts w:ascii="Arial" w:eastAsia="Times New Roman" w:hAnsi="Arial" w:cs="Arial"/>
      <w:b/>
      <w:bCs/>
      <w:color w:val="595959" w:themeColor="text1" w:themeTint="A6"/>
      <w:sz w:val="24"/>
      <w:szCs w:val="24"/>
    </w:rPr>
  </w:style>
  <w:style w:type="paragraph" w:styleId="Zhlav">
    <w:name w:val="header"/>
    <w:basedOn w:val="Normln"/>
    <w:link w:val="ZhlavChar"/>
    <w:uiPriority w:val="99"/>
    <w:unhideWhenUsed/>
    <w:rsid w:val="00A619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19CF"/>
  </w:style>
  <w:style w:type="paragraph" w:styleId="Zpat">
    <w:name w:val="footer"/>
    <w:basedOn w:val="Normln"/>
    <w:link w:val="ZpatChar"/>
    <w:uiPriority w:val="99"/>
    <w:unhideWhenUsed/>
    <w:rsid w:val="00A619CF"/>
    <w:pPr>
      <w:tabs>
        <w:tab w:val="center" w:pos="4536"/>
        <w:tab w:val="right" w:pos="9072"/>
      </w:tabs>
      <w:spacing w:after="0" w:line="240" w:lineRule="auto"/>
    </w:pPr>
  </w:style>
  <w:style w:type="character" w:customStyle="1" w:styleId="ZpatChar">
    <w:name w:val="Zápatí Char"/>
    <w:basedOn w:val="Standardnpsmoodstavce"/>
    <w:link w:val="Zpat"/>
    <w:uiPriority w:val="99"/>
    <w:rsid w:val="00A619CF"/>
  </w:style>
  <w:style w:type="paragraph" w:styleId="Obsah1">
    <w:name w:val="toc 1"/>
    <w:basedOn w:val="Normln"/>
    <w:next w:val="Normln"/>
    <w:autoRedefine/>
    <w:uiPriority w:val="39"/>
    <w:unhideWhenUsed/>
    <w:rsid w:val="00EF6A9F"/>
    <w:pPr>
      <w:spacing w:after="100"/>
    </w:pPr>
  </w:style>
  <w:style w:type="paragraph" w:styleId="Obsah2">
    <w:name w:val="toc 2"/>
    <w:basedOn w:val="Normln"/>
    <w:next w:val="Normln"/>
    <w:autoRedefine/>
    <w:uiPriority w:val="39"/>
    <w:unhideWhenUsed/>
    <w:rsid w:val="00EF6A9F"/>
    <w:pPr>
      <w:spacing w:after="100"/>
      <w:ind w:left="220"/>
    </w:pPr>
  </w:style>
  <w:style w:type="paragraph" w:styleId="Bezmezer">
    <w:name w:val="No Spacing"/>
    <w:link w:val="BezmezerChar"/>
    <w:uiPriority w:val="99"/>
    <w:qFormat/>
    <w:rsid w:val="00E25366"/>
    <w:pPr>
      <w:spacing w:after="0" w:line="240" w:lineRule="auto"/>
    </w:pPr>
    <w:rPr>
      <w:rFonts w:eastAsia="Times New Roman" w:cs="Times New Roman"/>
      <w:color w:val="auto"/>
      <w:szCs w:val="22"/>
      <w:lang w:eastAsia="en-US"/>
    </w:rPr>
  </w:style>
  <w:style w:type="character" w:customStyle="1" w:styleId="BezmezerChar">
    <w:name w:val="Bez mezer Char"/>
    <w:basedOn w:val="Standardnpsmoodstavce"/>
    <w:link w:val="Bezmezer"/>
    <w:uiPriority w:val="99"/>
    <w:locked/>
    <w:rsid w:val="00E25366"/>
    <w:rPr>
      <w:rFonts w:eastAsia="Times New Roman" w:cs="Times New Roman"/>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byznysinfo.ihned.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r-moravskoslezsky.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smsk.cz/cz/medialni-vystup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smsk.cz" TargetMode="External"/><Relationship Id="rId5" Type="http://schemas.openxmlformats.org/officeDocument/2006/relationships/settings" Target="settings.xml"/><Relationship Id="rId15" Type="http://schemas.openxmlformats.org/officeDocument/2006/relationships/hyperlink" Target="http://www.rismsk.cz" TargetMode="External"/><Relationship Id="rId10" Type="http://schemas.openxmlformats.org/officeDocument/2006/relationships/hyperlink" Target="http://www.arr.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nvest-msr.com" TargetMode="External"/><Relationship Id="rId14" Type="http://schemas.openxmlformats.org/officeDocument/2006/relationships/hyperlink" Target="http://probyznysinfo.ihned.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28B4-C2CB-44B9-95BC-FA94A842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9534</Words>
  <Characters>56257</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Radek</dc:creator>
  <cp:lastModifiedBy>jiris</cp:lastModifiedBy>
  <cp:revision>6</cp:revision>
  <cp:lastPrinted>2015-04-08T08:34:00Z</cp:lastPrinted>
  <dcterms:created xsi:type="dcterms:W3CDTF">2015-04-22T05:46:00Z</dcterms:created>
  <dcterms:modified xsi:type="dcterms:W3CDTF">2015-04-22T08:00:00Z</dcterms:modified>
</cp:coreProperties>
</file>