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Počet stran: </w:t>
      </w:r>
      <w:r w:rsidR="00310995">
        <w:rPr>
          <w:rFonts w:ascii="Tahoma" w:hAnsi="Tahoma" w:cs="Tahoma"/>
        </w:rPr>
        <w:t>7</w:t>
      </w:r>
    </w:p>
    <w:p w:rsidR="0011487C" w:rsidRPr="009E6F3C" w:rsidRDefault="0011487C" w:rsidP="0011487C">
      <w:pPr>
        <w:spacing w:line="280" w:lineRule="exact"/>
        <w:rPr>
          <w:color w:val="000000" w:themeColor="text1"/>
          <w:sz w:val="24"/>
        </w:rPr>
      </w:pPr>
    </w:p>
    <w:p w:rsidR="0011487C" w:rsidRDefault="0011487C" w:rsidP="0011487C">
      <w:pPr>
        <w:pStyle w:val="Nadpis2"/>
        <w:spacing w:line="560" w:lineRule="exact"/>
        <w:rPr>
          <w:b w:val="0"/>
        </w:rPr>
      </w:pPr>
      <w:r>
        <w:rPr>
          <w:b w:val="0"/>
        </w:rPr>
        <w:t>MORAVSKOSLEZSKÝ KRAJ</w:t>
      </w:r>
    </w:p>
    <w:p w:rsidR="0011487C" w:rsidRPr="009E6F3C" w:rsidRDefault="0011487C" w:rsidP="0011487C">
      <w:pPr>
        <w:spacing w:line="280" w:lineRule="exact"/>
        <w:rPr>
          <w:color w:val="000000" w:themeColor="text1"/>
          <w:sz w:val="24"/>
        </w:rPr>
      </w:pPr>
    </w:p>
    <w:tbl>
      <w:tblPr>
        <w:tblW w:w="0" w:type="auto"/>
        <w:tblCellMar>
          <w:left w:w="70" w:type="dxa"/>
          <w:right w:w="70" w:type="dxa"/>
        </w:tblCellMar>
        <w:tblLook w:val="0000" w:firstRow="0" w:lastRow="0" w:firstColumn="0" w:lastColumn="0" w:noHBand="0" w:noVBand="0"/>
      </w:tblPr>
      <w:tblGrid>
        <w:gridCol w:w="7988"/>
        <w:gridCol w:w="1222"/>
      </w:tblGrid>
      <w:tr w:rsidR="0011487C" w:rsidTr="00D850E1">
        <w:trPr>
          <w:cantSplit/>
        </w:trPr>
        <w:tc>
          <w:tcPr>
            <w:tcW w:w="7990" w:type="dxa"/>
          </w:tcPr>
          <w:p w:rsidR="0011487C" w:rsidRDefault="0011487C" w:rsidP="00D850E1">
            <w:pPr>
              <w:spacing w:line="280" w:lineRule="exact"/>
              <w:rPr>
                <w:sz w:val="24"/>
              </w:rPr>
            </w:pPr>
          </w:p>
          <w:p w:rsidR="0011487C" w:rsidRDefault="0011487C" w:rsidP="00D850E1">
            <w:pPr>
              <w:spacing w:line="280" w:lineRule="exact"/>
              <w:jc w:val="right"/>
              <w:rPr>
                <w:sz w:val="24"/>
              </w:rPr>
            </w:pPr>
            <w:r>
              <w:rPr>
                <w:sz w:val="24"/>
              </w:rPr>
              <w:t>Materiál č.:</w:t>
            </w:r>
          </w:p>
          <w:p w:rsidR="0011487C" w:rsidRDefault="0011487C" w:rsidP="00D850E1">
            <w:pPr>
              <w:spacing w:line="280" w:lineRule="exact"/>
              <w:rPr>
                <w:sz w:val="24"/>
              </w:rPr>
            </w:pPr>
          </w:p>
        </w:tc>
        <w:tc>
          <w:tcPr>
            <w:tcW w:w="1222" w:type="dxa"/>
            <w:vAlign w:val="center"/>
          </w:tcPr>
          <w:p w:rsidR="0011487C" w:rsidRDefault="000553F6" w:rsidP="00D850E1">
            <w:pPr>
              <w:pStyle w:val="Nadpis2"/>
              <w:spacing w:line="560" w:lineRule="exact"/>
              <w:rPr>
                <w:b w:val="0"/>
              </w:rPr>
            </w:pPr>
            <w:r>
              <w:rPr>
                <w:b w:val="0"/>
              </w:rPr>
              <w:t>8/13</w:t>
            </w:r>
            <w:bookmarkStart w:id="0" w:name="_GoBack"/>
            <w:bookmarkEnd w:id="0"/>
          </w:p>
        </w:tc>
      </w:tr>
    </w:tbl>
    <w:p w:rsidR="0011487C" w:rsidRPr="009E6F3C" w:rsidRDefault="0011487C" w:rsidP="0011487C">
      <w:pPr>
        <w:spacing w:line="280" w:lineRule="exact"/>
        <w:rPr>
          <w:color w:val="000000" w:themeColor="text1"/>
          <w:sz w:val="24"/>
        </w:rPr>
      </w:pPr>
    </w:p>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 xml:space="preserve">Pro zasedání ZASTUPITELSTVA KRAJE, konané dne </w:t>
      </w:r>
      <w:r w:rsidR="00C267F4">
        <w:rPr>
          <w:rFonts w:ascii="Tahoma" w:hAnsi="Tahoma" w:cs="Tahoma"/>
        </w:rPr>
        <w:t>5</w:t>
      </w:r>
      <w:r w:rsidR="00541F40">
        <w:rPr>
          <w:rFonts w:ascii="Tahoma" w:hAnsi="Tahoma" w:cs="Tahoma"/>
        </w:rPr>
        <w:t>.</w:t>
      </w:r>
      <w:r w:rsidR="00FB1D9A">
        <w:rPr>
          <w:rFonts w:ascii="Tahoma" w:hAnsi="Tahoma" w:cs="Tahoma"/>
        </w:rPr>
        <w:t> </w:t>
      </w:r>
      <w:r w:rsidR="00C267F4">
        <w:rPr>
          <w:rFonts w:ascii="Tahoma" w:hAnsi="Tahoma" w:cs="Tahoma"/>
        </w:rPr>
        <w:t>3</w:t>
      </w:r>
      <w:r>
        <w:rPr>
          <w:rFonts w:ascii="Tahoma" w:hAnsi="Tahoma" w:cs="Tahoma"/>
        </w:rPr>
        <w:t>.</w:t>
      </w:r>
      <w:r w:rsidR="00FB1D9A">
        <w:rPr>
          <w:rFonts w:ascii="Tahoma" w:hAnsi="Tahoma" w:cs="Tahoma"/>
        </w:rPr>
        <w:t> </w:t>
      </w:r>
      <w:r>
        <w:rPr>
          <w:rFonts w:ascii="Tahoma" w:hAnsi="Tahoma" w:cs="Tahoma"/>
        </w:rPr>
        <w:t>201</w:t>
      </w:r>
      <w:r w:rsidR="00C267F4">
        <w:rPr>
          <w:rFonts w:ascii="Tahoma" w:hAnsi="Tahoma" w:cs="Tahoma"/>
        </w:rPr>
        <w:t>5</w:t>
      </w:r>
    </w:p>
    <w:p w:rsidR="0011487C" w:rsidRPr="009E6F3C" w:rsidRDefault="0011487C" w:rsidP="0011487C">
      <w:pPr>
        <w:spacing w:line="280" w:lineRule="exact"/>
        <w:rPr>
          <w:color w:val="000000" w:themeColor="text1"/>
          <w:sz w:val="24"/>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11487C" w:rsidRPr="00602DB9" w:rsidTr="00D850E1">
        <w:tc>
          <w:tcPr>
            <w:tcW w:w="779" w:type="dxa"/>
          </w:tcPr>
          <w:p w:rsidR="0011487C" w:rsidRPr="00602DB9" w:rsidRDefault="0011487C" w:rsidP="00D850E1">
            <w:pPr>
              <w:spacing w:line="280" w:lineRule="exact"/>
              <w:rPr>
                <w:sz w:val="24"/>
              </w:rPr>
            </w:pPr>
            <w:r w:rsidRPr="00602DB9">
              <w:rPr>
                <w:sz w:val="24"/>
              </w:rPr>
              <w:t>Věc:</w:t>
            </w:r>
          </w:p>
        </w:tc>
        <w:tc>
          <w:tcPr>
            <w:tcW w:w="8433" w:type="dxa"/>
          </w:tcPr>
          <w:p w:rsidR="0011487C" w:rsidRPr="009E6F3C" w:rsidRDefault="00C267F4" w:rsidP="00267878">
            <w:pPr>
              <w:jc w:val="both"/>
              <w:rPr>
                <w:color w:val="000000" w:themeColor="text1"/>
                <w:sz w:val="24"/>
              </w:rPr>
            </w:pPr>
            <w:r w:rsidRPr="00C267F4">
              <w:rPr>
                <w:sz w:val="24"/>
              </w:rPr>
              <w:t>Návrh na poskytnutí dotací v rámci dotačního programu Podpora dobrovolných aktivit v oblasti udržitelného rozvoje pro rok 2015</w:t>
            </w:r>
          </w:p>
        </w:tc>
      </w:tr>
    </w:tbl>
    <w:p w:rsidR="0011487C" w:rsidRPr="009E6F3C" w:rsidRDefault="0011487C" w:rsidP="0011487C">
      <w:pPr>
        <w:spacing w:line="280" w:lineRule="exact"/>
        <w:rPr>
          <w:color w:val="000000" w:themeColor="text1"/>
          <w:sz w:val="24"/>
        </w:rPr>
      </w:pPr>
    </w:p>
    <w:tbl>
      <w:tblPr>
        <w:tblW w:w="9250" w:type="dxa"/>
        <w:tblLayout w:type="fixed"/>
        <w:tblCellMar>
          <w:left w:w="70" w:type="dxa"/>
          <w:right w:w="70" w:type="dxa"/>
        </w:tblCellMar>
        <w:tblLook w:val="0000" w:firstRow="0" w:lastRow="0" w:firstColumn="0" w:lastColumn="0" w:noHBand="0" w:noVBand="0"/>
      </w:tblPr>
      <w:tblGrid>
        <w:gridCol w:w="1330"/>
        <w:gridCol w:w="1620"/>
        <w:gridCol w:w="6300"/>
      </w:tblGrid>
      <w:tr w:rsidR="0011487C" w:rsidRPr="00602DB9" w:rsidTr="00D850E1">
        <w:tc>
          <w:tcPr>
            <w:tcW w:w="1330" w:type="dxa"/>
          </w:tcPr>
          <w:p w:rsidR="0011487C" w:rsidRPr="00602DB9" w:rsidRDefault="0011487C" w:rsidP="00D850E1">
            <w:pPr>
              <w:spacing w:line="280" w:lineRule="exact"/>
              <w:ind w:left="-32" w:firstLine="32"/>
              <w:rPr>
                <w:sz w:val="24"/>
                <w:u w:val="single"/>
              </w:rPr>
            </w:pPr>
            <w:r w:rsidRPr="00602DB9">
              <w:rPr>
                <w:sz w:val="24"/>
                <w:u w:val="single"/>
              </w:rPr>
              <w:t>Obsah:</w:t>
            </w:r>
          </w:p>
        </w:tc>
        <w:tc>
          <w:tcPr>
            <w:tcW w:w="7920" w:type="dxa"/>
            <w:gridSpan w:val="2"/>
          </w:tcPr>
          <w:p w:rsidR="0011487C" w:rsidRPr="00602DB9" w:rsidRDefault="0011487C" w:rsidP="00D850E1">
            <w:pPr>
              <w:spacing w:line="280" w:lineRule="exact"/>
              <w:ind w:left="-32" w:firstLine="32"/>
              <w:jc w:val="both"/>
              <w:rPr>
                <w:sz w:val="24"/>
              </w:rPr>
            </w:pPr>
            <w:r w:rsidRPr="00602DB9">
              <w:rPr>
                <w:sz w:val="24"/>
              </w:rPr>
              <w:t>Návrh usnesení</w:t>
            </w:r>
          </w:p>
        </w:tc>
      </w:tr>
      <w:tr w:rsidR="0011487C" w:rsidRPr="00602DB9" w:rsidTr="00D850E1">
        <w:tc>
          <w:tcPr>
            <w:tcW w:w="1330" w:type="dxa"/>
          </w:tcPr>
          <w:p w:rsidR="0011487C" w:rsidRPr="00602DB9" w:rsidRDefault="0011487C" w:rsidP="00D850E1">
            <w:pPr>
              <w:spacing w:line="280" w:lineRule="exact"/>
              <w:ind w:left="-32" w:firstLine="32"/>
              <w:rPr>
                <w:sz w:val="24"/>
                <w:u w:val="single"/>
              </w:rPr>
            </w:pPr>
          </w:p>
        </w:tc>
        <w:tc>
          <w:tcPr>
            <w:tcW w:w="7920" w:type="dxa"/>
            <w:gridSpan w:val="2"/>
          </w:tcPr>
          <w:p w:rsidR="0011487C" w:rsidRPr="00602DB9" w:rsidRDefault="0011487C" w:rsidP="00D850E1">
            <w:pPr>
              <w:spacing w:line="280" w:lineRule="exact"/>
              <w:ind w:left="-32" w:firstLine="32"/>
              <w:jc w:val="both"/>
              <w:rPr>
                <w:sz w:val="24"/>
              </w:rPr>
            </w:pPr>
            <w:r w:rsidRPr="00602DB9">
              <w:rPr>
                <w:sz w:val="24"/>
              </w:rPr>
              <w:t>Důvodová zpráva</w:t>
            </w:r>
          </w:p>
        </w:tc>
      </w:tr>
      <w:tr w:rsidR="0011487C" w:rsidRPr="00602DB9" w:rsidTr="00D850E1">
        <w:trPr>
          <w:cantSplit/>
          <w:trHeight w:val="963"/>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0553F6" w:rsidP="00FB1D9A">
            <w:pPr>
              <w:jc w:val="both"/>
              <w:rPr>
                <w:bCs/>
                <w:sz w:val="24"/>
                <w:u w:val="single"/>
              </w:rPr>
            </w:pPr>
            <w:hyperlink r:id="rId8" w:history="1">
              <w:r w:rsidR="0011487C" w:rsidRPr="00E02BAE">
                <w:rPr>
                  <w:rStyle w:val="Hypertextovodkaz"/>
                  <w:bCs/>
                  <w:sz w:val="24"/>
                </w:rPr>
                <w:t>Příloha</w:t>
              </w:r>
              <w:r w:rsidR="00FB1D9A" w:rsidRPr="00E02BAE">
                <w:rPr>
                  <w:rStyle w:val="Hypertextovodkaz"/>
                  <w:bCs/>
                  <w:sz w:val="24"/>
                </w:rPr>
                <w:t> </w:t>
              </w:r>
              <w:r w:rsidR="0011487C" w:rsidRPr="00E02BAE">
                <w:rPr>
                  <w:rStyle w:val="Hypertextovodkaz"/>
                  <w:bCs/>
                  <w:sz w:val="24"/>
                </w:rPr>
                <w:t>č.</w:t>
              </w:r>
              <w:r w:rsidR="00FB1D9A" w:rsidRPr="00E02BAE">
                <w:rPr>
                  <w:rStyle w:val="Hypertextovodkaz"/>
                  <w:bCs/>
                  <w:sz w:val="24"/>
                </w:rPr>
                <w:t> </w:t>
              </w:r>
              <w:r w:rsidR="0011487C" w:rsidRPr="00E02BAE">
                <w:rPr>
                  <w:rStyle w:val="Hypertextovodkaz"/>
                  <w:bCs/>
                  <w:sz w:val="24"/>
                </w:rPr>
                <w:t>1</w:t>
              </w:r>
            </w:hyperlink>
          </w:p>
        </w:tc>
        <w:tc>
          <w:tcPr>
            <w:tcW w:w="6300" w:type="dxa"/>
          </w:tcPr>
          <w:p w:rsidR="008B59AD" w:rsidRDefault="00C267F4" w:rsidP="008B59AD">
            <w:pPr>
              <w:jc w:val="both"/>
              <w:rPr>
                <w:snapToGrid w:val="0"/>
                <w:sz w:val="24"/>
              </w:rPr>
            </w:pPr>
            <w:r w:rsidRPr="00C267F4">
              <w:rPr>
                <w:snapToGrid w:val="0"/>
                <w:sz w:val="24"/>
              </w:rPr>
              <w:t xml:space="preserve">Návrh Poskytnutí dotací v rámci dotačního programu Podpora dobrovolných aktivit v oblasti udržitelného rozvoje pro rok 2015 - Seznam žadatelů navržených pro poskytnutí dotace </w:t>
            </w:r>
          </w:p>
          <w:p w:rsidR="0011487C" w:rsidRPr="00602DB9" w:rsidRDefault="0011487C" w:rsidP="008B59AD">
            <w:pPr>
              <w:jc w:val="both"/>
              <w:rPr>
                <w:b/>
              </w:rPr>
            </w:pPr>
            <w:r w:rsidRPr="00602DB9">
              <w:rPr>
                <w:b/>
                <w:bCs/>
                <w:sz w:val="24"/>
              </w:rPr>
              <w:t>Příloha k</w:t>
            </w:r>
            <w:r w:rsidR="00FB1D9A">
              <w:rPr>
                <w:b/>
                <w:bCs/>
                <w:sz w:val="24"/>
              </w:rPr>
              <w:t> </w:t>
            </w:r>
            <w:r w:rsidRPr="00602DB9">
              <w:rPr>
                <w:b/>
                <w:bCs/>
                <w:sz w:val="24"/>
              </w:rPr>
              <w:t>usnesení</w:t>
            </w:r>
            <w:r w:rsidR="00FB1D9A">
              <w:rPr>
                <w:b/>
                <w:bCs/>
                <w:sz w:val="24"/>
              </w:rPr>
              <w:t> </w:t>
            </w:r>
            <w:r w:rsidRPr="00602DB9">
              <w:rPr>
                <w:b/>
                <w:bCs/>
                <w:sz w:val="24"/>
              </w:rPr>
              <w:t>č.</w:t>
            </w:r>
            <w:r w:rsidR="00FB1D9A">
              <w:rPr>
                <w:b/>
                <w:bCs/>
                <w:sz w:val="24"/>
              </w:rPr>
              <w:t> </w:t>
            </w:r>
            <w:r w:rsidRPr="00602DB9">
              <w:rPr>
                <w:b/>
                <w:bCs/>
                <w:sz w:val="24"/>
              </w:rPr>
              <w:t>1</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E02BAE" w:rsidP="00D850E1">
            <w:pPr>
              <w:jc w:val="both"/>
              <w:rPr>
                <w:bCs/>
                <w:sz w:val="24"/>
                <w:u w:val="single"/>
              </w:rPr>
            </w:pPr>
            <w:hyperlink r:id="rId9" w:history="1">
              <w:r w:rsidR="0011487C" w:rsidRPr="00E02BAE">
                <w:rPr>
                  <w:rStyle w:val="Hypertextovodkaz"/>
                  <w:bCs/>
                  <w:sz w:val="24"/>
                </w:rPr>
                <w:t>Příloha</w:t>
              </w:r>
              <w:r w:rsidR="00FB1D9A" w:rsidRPr="00E02BAE">
                <w:rPr>
                  <w:rStyle w:val="Hypertextovodkaz"/>
                  <w:bCs/>
                  <w:sz w:val="24"/>
                </w:rPr>
                <w:t> </w:t>
              </w:r>
              <w:r w:rsidR="0011487C" w:rsidRPr="00E02BAE">
                <w:rPr>
                  <w:rStyle w:val="Hypertextovodkaz"/>
                  <w:bCs/>
                  <w:sz w:val="24"/>
                </w:rPr>
                <w:t>č.</w:t>
              </w:r>
              <w:r w:rsidR="00FB1D9A" w:rsidRPr="00E02BAE">
                <w:rPr>
                  <w:rStyle w:val="Hypertextovodkaz"/>
                  <w:bCs/>
                  <w:sz w:val="24"/>
                </w:rPr>
                <w:t> </w:t>
              </w:r>
              <w:r w:rsidR="0011487C" w:rsidRPr="00E02BAE">
                <w:rPr>
                  <w:rStyle w:val="Hypertextovodkaz"/>
                  <w:bCs/>
                  <w:sz w:val="24"/>
                </w:rPr>
                <w:t>2</w:t>
              </w:r>
            </w:hyperlink>
          </w:p>
        </w:tc>
        <w:tc>
          <w:tcPr>
            <w:tcW w:w="6300" w:type="dxa"/>
          </w:tcPr>
          <w:p w:rsidR="004035D6" w:rsidRDefault="00C267F4" w:rsidP="00FB1D9A">
            <w:pPr>
              <w:jc w:val="both"/>
              <w:rPr>
                <w:sz w:val="24"/>
              </w:rPr>
            </w:pPr>
            <w:r w:rsidRPr="00C267F4">
              <w:rPr>
                <w:sz w:val="24"/>
              </w:rPr>
              <w:t>Návrh Poskytnutí dotací v rámci dotačního programu Podpora dobrovolných aktivit v oblasti udržitelného rozvoje pro rok 2015 - Pořadník náhradních žadatelů</w:t>
            </w:r>
            <w:r w:rsidR="004035D6">
              <w:rPr>
                <w:sz w:val="24"/>
              </w:rPr>
              <w:t xml:space="preserve"> </w:t>
            </w:r>
          </w:p>
          <w:p w:rsidR="0011487C" w:rsidRPr="00602DB9" w:rsidRDefault="0011487C" w:rsidP="00FB1D9A">
            <w:pPr>
              <w:jc w:val="both"/>
              <w:rPr>
                <w:b/>
              </w:rPr>
            </w:pPr>
            <w:r w:rsidRPr="00602DB9">
              <w:rPr>
                <w:b/>
                <w:bCs/>
                <w:sz w:val="24"/>
              </w:rPr>
              <w:t>Příloha k usnesení</w:t>
            </w:r>
            <w:r w:rsidR="00FB1D9A">
              <w:rPr>
                <w:b/>
                <w:bCs/>
                <w:sz w:val="24"/>
              </w:rPr>
              <w:t> </w:t>
            </w:r>
            <w:r w:rsidRPr="00602DB9">
              <w:rPr>
                <w:b/>
                <w:bCs/>
                <w:sz w:val="24"/>
              </w:rPr>
              <w:t>č.</w:t>
            </w:r>
            <w:r w:rsidR="00FB1D9A">
              <w:rPr>
                <w:b/>
                <w:bCs/>
                <w:sz w:val="24"/>
              </w:rPr>
              <w:t> </w:t>
            </w:r>
            <w:r>
              <w:rPr>
                <w:b/>
                <w:bCs/>
                <w:sz w:val="24"/>
              </w:rPr>
              <w:t>2</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E02BAE" w:rsidP="00FB1D9A">
            <w:pPr>
              <w:jc w:val="both"/>
              <w:rPr>
                <w:bCs/>
                <w:sz w:val="24"/>
                <w:u w:val="single"/>
              </w:rPr>
            </w:pPr>
            <w:hyperlink r:id="rId10" w:history="1">
              <w:r w:rsidR="0011487C" w:rsidRPr="00E02BAE">
                <w:rPr>
                  <w:rStyle w:val="Hypertextovodkaz"/>
                  <w:bCs/>
                  <w:sz w:val="24"/>
                </w:rPr>
                <w:t>Příloha</w:t>
              </w:r>
              <w:r w:rsidR="00FB1D9A" w:rsidRPr="00E02BAE">
                <w:rPr>
                  <w:rStyle w:val="Hypertextovodkaz"/>
                  <w:bCs/>
                  <w:sz w:val="24"/>
                </w:rPr>
                <w:t> </w:t>
              </w:r>
              <w:r w:rsidR="0011487C" w:rsidRPr="00E02BAE">
                <w:rPr>
                  <w:rStyle w:val="Hypertextovodkaz"/>
                  <w:bCs/>
                  <w:sz w:val="24"/>
                </w:rPr>
                <w:t>č.</w:t>
              </w:r>
              <w:r w:rsidR="00FB1D9A" w:rsidRPr="00E02BAE">
                <w:rPr>
                  <w:rStyle w:val="Hypertextovodkaz"/>
                  <w:bCs/>
                  <w:sz w:val="24"/>
                </w:rPr>
                <w:t> </w:t>
              </w:r>
              <w:r w:rsidR="0011487C" w:rsidRPr="00E02BAE">
                <w:rPr>
                  <w:rStyle w:val="Hypertextovodkaz"/>
                  <w:bCs/>
                  <w:sz w:val="24"/>
                </w:rPr>
                <w:t>3</w:t>
              </w:r>
            </w:hyperlink>
          </w:p>
        </w:tc>
        <w:tc>
          <w:tcPr>
            <w:tcW w:w="6300" w:type="dxa"/>
          </w:tcPr>
          <w:p w:rsidR="00795AB6" w:rsidRDefault="00530CFD" w:rsidP="00795AB6">
            <w:pPr>
              <w:jc w:val="both"/>
              <w:rPr>
                <w:snapToGrid w:val="0"/>
                <w:sz w:val="24"/>
              </w:rPr>
            </w:pPr>
            <w:r w:rsidRPr="00530CFD">
              <w:rPr>
                <w:snapToGrid w:val="0"/>
                <w:sz w:val="24"/>
              </w:rPr>
              <w:t xml:space="preserve">Návrh Neposkytnutí dotací v rámci dotačního programu Podpora dobrovolných aktivit v oblasti udržitelného rozvoje pro rok 2015 - Seznam žadatelů, kterým se poskytnutí dotace nenavrhuje </w:t>
            </w:r>
          </w:p>
          <w:p w:rsidR="0011487C" w:rsidRPr="00602DB9" w:rsidRDefault="0011487C" w:rsidP="00795AB6">
            <w:pPr>
              <w:jc w:val="both"/>
              <w:rPr>
                <w:b/>
              </w:rPr>
            </w:pPr>
            <w:r w:rsidRPr="00602DB9">
              <w:rPr>
                <w:b/>
                <w:bCs/>
                <w:sz w:val="24"/>
              </w:rPr>
              <w:t>Příloha k</w:t>
            </w:r>
            <w:r w:rsidR="00FB1D9A">
              <w:rPr>
                <w:b/>
                <w:bCs/>
                <w:sz w:val="24"/>
              </w:rPr>
              <w:t> </w:t>
            </w:r>
            <w:r w:rsidRPr="00602DB9">
              <w:rPr>
                <w:b/>
                <w:bCs/>
                <w:sz w:val="24"/>
              </w:rPr>
              <w:t>usnesení</w:t>
            </w:r>
            <w:r w:rsidR="00FB1D9A">
              <w:rPr>
                <w:b/>
                <w:bCs/>
                <w:sz w:val="24"/>
              </w:rPr>
              <w:t> </w:t>
            </w:r>
            <w:r w:rsidRPr="00602DB9">
              <w:rPr>
                <w:b/>
                <w:bCs/>
                <w:sz w:val="24"/>
              </w:rPr>
              <w:t>č.</w:t>
            </w:r>
            <w:r w:rsidR="00FB1D9A">
              <w:rPr>
                <w:b/>
                <w:bCs/>
                <w:sz w:val="24"/>
              </w:rPr>
              <w:t> </w:t>
            </w:r>
            <w:r w:rsidRPr="00602DB9">
              <w:rPr>
                <w:b/>
                <w:bCs/>
                <w:sz w:val="24"/>
              </w:rPr>
              <w:t>3</w:t>
            </w:r>
          </w:p>
        </w:tc>
      </w:tr>
      <w:tr w:rsidR="0011487C" w:rsidRPr="00602DB9" w:rsidTr="00D850E1">
        <w:trPr>
          <w:cantSplit/>
        </w:trPr>
        <w:tc>
          <w:tcPr>
            <w:tcW w:w="1330" w:type="dxa"/>
          </w:tcPr>
          <w:p w:rsidR="0011487C" w:rsidRPr="00602DB9" w:rsidRDefault="0011487C" w:rsidP="00D850E1">
            <w:pPr>
              <w:spacing w:line="280" w:lineRule="exact"/>
              <w:rPr>
                <w:sz w:val="24"/>
                <w:u w:val="single"/>
              </w:rPr>
            </w:pPr>
          </w:p>
        </w:tc>
        <w:tc>
          <w:tcPr>
            <w:tcW w:w="1620" w:type="dxa"/>
          </w:tcPr>
          <w:p w:rsidR="0011487C" w:rsidRPr="00602DB9" w:rsidRDefault="00E02BAE" w:rsidP="00D850E1">
            <w:pPr>
              <w:jc w:val="both"/>
              <w:rPr>
                <w:bCs/>
                <w:sz w:val="24"/>
                <w:u w:val="single"/>
              </w:rPr>
            </w:pPr>
            <w:hyperlink r:id="rId11" w:history="1">
              <w:r w:rsidR="0011487C" w:rsidRPr="00E02BAE">
                <w:rPr>
                  <w:rStyle w:val="Hypertextovodkaz"/>
                  <w:bCs/>
                  <w:sz w:val="24"/>
                </w:rPr>
                <w:t>Příloha</w:t>
              </w:r>
              <w:r w:rsidR="00FB1D9A" w:rsidRPr="00E02BAE">
                <w:rPr>
                  <w:rStyle w:val="Hypertextovodkaz"/>
                  <w:bCs/>
                  <w:sz w:val="24"/>
                </w:rPr>
                <w:t> </w:t>
              </w:r>
              <w:r w:rsidR="0011487C" w:rsidRPr="00E02BAE">
                <w:rPr>
                  <w:rStyle w:val="Hypertextovodkaz"/>
                  <w:bCs/>
                  <w:sz w:val="24"/>
                </w:rPr>
                <w:t>č.</w:t>
              </w:r>
              <w:r w:rsidR="00FB1D9A" w:rsidRPr="00E02BAE">
                <w:rPr>
                  <w:rStyle w:val="Hypertextovodkaz"/>
                  <w:bCs/>
                  <w:sz w:val="24"/>
                </w:rPr>
                <w:t> </w:t>
              </w:r>
              <w:r w:rsidR="0011487C" w:rsidRPr="00E02BAE">
                <w:rPr>
                  <w:rStyle w:val="Hypertextovodkaz"/>
                  <w:bCs/>
                  <w:sz w:val="24"/>
                </w:rPr>
                <w:t>4</w:t>
              </w:r>
            </w:hyperlink>
          </w:p>
        </w:tc>
        <w:tc>
          <w:tcPr>
            <w:tcW w:w="6300" w:type="dxa"/>
          </w:tcPr>
          <w:p w:rsidR="0011487C" w:rsidRPr="00602DB9" w:rsidRDefault="0011487C" w:rsidP="00FB1D9A">
            <w:pPr>
              <w:pStyle w:val="Nadpis6"/>
              <w:spacing w:before="0"/>
              <w:jc w:val="both"/>
              <w:rPr>
                <w:rFonts w:ascii="Tahoma" w:hAnsi="Tahoma" w:cs="Tahoma"/>
                <w:b w:val="0"/>
                <w:sz w:val="24"/>
                <w:szCs w:val="24"/>
              </w:rPr>
            </w:pPr>
            <w:r w:rsidRPr="00602DB9">
              <w:rPr>
                <w:rFonts w:ascii="Tahoma" w:hAnsi="Tahoma" w:cs="Tahoma"/>
                <w:b w:val="0"/>
                <w:sz w:val="24"/>
                <w:szCs w:val="24"/>
              </w:rPr>
              <w:t>Výpis z</w:t>
            </w:r>
            <w:r w:rsidR="00FB1D9A">
              <w:rPr>
                <w:rFonts w:ascii="Tahoma" w:hAnsi="Tahoma" w:cs="Tahoma"/>
                <w:b w:val="0"/>
                <w:sz w:val="24"/>
                <w:szCs w:val="24"/>
              </w:rPr>
              <w:t> </w:t>
            </w:r>
            <w:r w:rsidRPr="00602DB9">
              <w:rPr>
                <w:rFonts w:ascii="Tahoma" w:hAnsi="Tahoma" w:cs="Tahoma"/>
                <w:b w:val="0"/>
                <w:sz w:val="24"/>
                <w:szCs w:val="24"/>
              </w:rPr>
              <w:t>usnesení výboru pro</w:t>
            </w:r>
            <w:r w:rsidR="00FB1D9A">
              <w:rPr>
                <w:rFonts w:ascii="Tahoma" w:hAnsi="Tahoma" w:cs="Tahoma"/>
                <w:b w:val="0"/>
                <w:sz w:val="24"/>
                <w:szCs w:val="24"/>
              </w:rPr>
              <w:t> </w:t>
            </w:r>
            <w:r w:rsidRPr="00602DB9">
              <w:rPr>
                <w:rFonts w:ascii="Tahoma" w:hAnsi="Tahoma" w:cs="Tahoma"/>
                <w:b w:val="0"/>
                <w:sz w:val="24"/>
                <w:szCs w:val="24"/>
              </w:rPr>
              <w:t>životní prostředí zastupitelstva kraje</w:t>
            </w:r>
          </w:p>
        </w:tc>
      </w:tr>
    </w:tbl>
    <w:p w:rsidR="0011487C" w:rsidRDefault="0011487C"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11487C" w:rsidRDefault="0011487C" w:rsidP="0011487C">
      <w:pPr>
        <w:pStyle w:val="Zkladntext3"/>
        <w:tabs>
          <w:tab w:val="left" w:pos="1683"/>
        </w:tabs>
        <w:rPr>
          <w:rFonts w:cs="Tahoma"/>
          <w:sz w:val="24"/>
        </w:rPr>
      </w:pPr>
      <w:r>
        <w:rPr>
          <w:rFonts w:cs="Tahoma"/>
          <w:sz w:val="24"/>
          <w:szCs w:val="24"/>
          <w:u w:val="single"/>
        </w:rPr>
        <w:t>Předkládá:</w:t>
      </w:r>
      <w:r>
        <w:rPr>
          <w:rFonts w:cs="Tahoma"/>
          <w:sz w:val="24"/>
          <w:szCs w:val="24"/>
        </w:rPr>
        <w:tab/>
      </w:r>
      <w:r>
        <w:rPr>
          <w:rFonts w:cs="Tahoma"/>
          <w:sz w:val="24"/>
        </w:rPr>
        <w:t>Mgr.</w:t>
      </w:r>
      <w:r w:rsidR="00D507CF">
        <w:rPr>
          <w:rFonts w:cs="Tahoma"/>
          <w:sz w:val="24"/>
        </w:rPr>
        <w:t> </w:t>
      </w:r>
      <w:r>
        <w:rPr>
          <w:rFonts w:cs="Tahoma"/>
          <w:sz w:val="24"/>
        </w:rPr>
        <w:t>Daniel Havlík</w:t>
      </w:r>
    </w:p>
    <w:p w:rsidR="0011487C" w:rsidRDefault="0011487C" w:rsidP="0011487C">
      <w:pPr>
        <w:pStyle w:val="Zkladntext3"/>
        <w:ind w:left="1683"/>
        <w:rPr>
          <w:rFonts w:cs="Tahoma"/>
          <w:sz w:val="24"/>
        </w:rPr>
      </w:pPr>
      <w:r>
        <w:rPr>
          <w:rFonts w:cs="Tahoma"/>
          <w:sz w:val="24"/>
        </w:rPr>
        <w:t>náměstek hejtmana kraje</w:t>
      </w:r>
    </w:p>
    <w:p w:rsidR="00D507CF" w:rsidRDefault="00D507CF" w:rsidP="0011487C">
      <w:pPr>
        <w:pStyle w:val="Zkladntext3"/>
        <w:spacing w:line="280" w:lineRule="exact"/>
        <w:rPr>
          <w:rFonts w:cs="Tahoma"/>
          <w:sz w:val="24"/>
          <w:szCs w:val="24"/>
        </w:rPr>
      </w:pPr>
    </w:p>
    <w:p w:rsidR="00D507CF" w:rsidRDefault="00D507CF" w:rsidP="0011487C">
      <w:pPr>
        <w:pStyle w:val="Zkladntext3"/>
        <w:spacing w:line="280" w:lineRule="exact"/>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Zpracovali:</w:t>
      </w:r>
      <w:r>
        <w:rPr>
          <w:rFonts w:cs="Tahoma"/>
          <w:sz w:val="24"/>
          <w:szCs w:val="24"/>
        </w:rPr>
        <w:tab/>
        <w:t>Ing.</w:t>
      </w:r>
      <w:r w:rsidR="00D507CF">
        <w:rPr>
          <w:rFonts w:cs="Tahoma"/>
          <w:sz w:val="24"/>
          <w:szCs w:val="24"/>
        </w:rPr>
        <w:t> </w:t>
      </w:r>
      <w:r>
        <w:rPr>
          <w:rFonts w:cs="Tahoma"/>
          <w:sz w:val="24"/>
          <w:szCs w:val="24"/>
        </w:rPr>
        <w:t>Karin Černá</w:t>
      </w:r>
    </w:p>
    <w:p w:rsidR="0011487C" w:rsidRDefault="0011487C" w:rsidP="0011487C">
      <w:pPr>
        <w:pStyle w:val="Zkladntext3"/>
        <w:spacing w:line="280" w:lineRule="exact"/>
        <w:ind w:left="912" w:firstLine="708"/>
        <w:rPr>
          <w:rFonts w:cs="Tahoma"/>
          <w:sz w:val="24"/>
          <w:szCs w:val="24"/>
        </w:rPr>
      </w:pPr>
      <w:r>
        <w:rPr>
          <w:rFonts w:cs="Tahoma"/>
          <w:sz w:val="24"/>
          <w:szCs w:val="24"/>
        </w:rPr>
        <w:t>Mgr.</w:t>
      </w:r>
      <w:r w:rsidR="00D507CF">
        <w:rPr>
          <w:rFonts w:cs="Tahoma"/>
          <w:sz w:val="24"/>
          <w:szCs w:val="24"/>
        </w:rPr>
        <w:t> </w:t>
      </w:r>
      <w:r>
        <w:rPr>
          <w:rFonts w:cs="Tahoma"/>
          <w:sz w:val="24"/>
          <w:szCs w:val="24"/>
        </w:rPr>
        <w:t>Roxana Macháčková</w:t>
      </w:r>
    </w:p>
    <w:p w:rsidR="0011487C" w:rsidRDefault="0011487C" w:rsidP="0011487C">
      <w:pPr>
        <w:pStyle w:val="Zkladntext3"/>
        <w:spacing w:line="280" w:lineRule="exact"/>
        <w:ind w:left="912" w:firstLine="708"/>
        <w:rPr>
          <w:rFonts w:cs="Tahoma"/>
          <w:sz w:val="24"/>
          <w:szCs w:val="24"/>
        </w:rPr>
      </w:pPr>
      <w:r>
        <w:rPr>
          <w:rFonts w:cs="Tahoma"/>
          <w:sz w:val="24"/>
          <w:szCs w:val="24"/>
        </w:rPr>
        <w:t>Mgr.</w:t>
      </w:r>
      <w:r w:rsidR="00D507CF">
        <w:rPr>
          <w:rFonts w:cs="Tahoma"/>
          <w:sz w:val="24"/>
          <w:szCs w:val="24"/>
        </w:rPr>
        <w:t> </w:t>
      </w:r>
      <w:r>
        <w:rPr>
          <w:rFonts w:cs="Tahoma"/>
          <w:sz w:val="24"/>
          <w:szCs w:val="24"/>
        </w:rPr>
        <w:t>Petr Strakoš</w:t>
      </w:r>
    </w:p>
    <w:p w:rsidR="0011487C" w:rsidRDefault="0011487C" w:rsidP="0011487C">
      <w:pPr>
        <w:pStyle w:val="Zkladntext3"/>
        <w:spacing w:line="280" w:lineRule="exact"/>
        <w:ind w:left="1620"/>
        <w:rPr>
          <w:rFonts w:cs="Tahoma"/>
          <w:sz w:val="24"/>
          <w:szCs w:val="24"/>
        </w:rPr>
      </w:pPr>
      <w:r>
        <w:rPr>
          <w:rFonts w:cs="Tahoma"/>
          <w:sz w:val="24"/>
          <w:szCs w:val="24"/>
        </w:rPr>
        <w:t>odbor životního prostředí a zemědělství</w:t>
      </w:r>
    </w:p>
    <w:p w:rsidR="00D507CF" w:rsidRDefault="00D507CF"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541F40" w:rsidRDefault="00541F40"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524045" w:rsidRDefault="00524045" w:rsidP="009E6F3C">
      <w:pPr>
        <w:pStyle w:val="Zkladntext3"/>
        <w:spacing w:line="280" w:lineRule="exact"/>
        <w:rPr>
          <w:rFonts w:cs="Tahoma"/>
          <w:sz w:val="24"/>
          <w:szCs w:val="24"/>
        </w:rPr>
      </w:pPr>
    </w:p>
    <w:p w:rsidR="0011487C" w:rsidRDefault="0011487C" w:rsidP="0011487C">
      <w:pPr>
        <w:pStyle w:val="Zkladntext3"/>
        <w:spacing w:line="280" w:lineRule="exact"/>
        <w:ind w:left="1620"/>
        <w:rPr>
          <w:rFonts w:cs="Tahoma"/>
          <w:sz w:val="24"/>
          <w:szCs w:val="24"/>
        </w:rPr>
      </w:pPr>
      <w:r>
        <w:rPr>
          <w:rFonts w:cs="Tahoma"/>
          <w:sz w:val="24"/>
          <w:szCs w:val="24"/>
        </w:rPr>
        <w:t>Ing. Silvie Součková</w:t>
      </w:r>
    </w:p>
    <w:p w:rsidR="0011487C" w:rsidRDefault="0011487C" w:rsidP="0011487C">
      <w:pPr>
        <w:pStyle w:val="Zkladntext3"/>
        <w:spacing w:line="280" w:lineRule="exact"/>
        <w:ind w:left="1620"/>
        <w:rPr>
          <w:rFonts w:cs="Tahoma"/>
          <w:sz w:val="24"/>
          <w:szCs w:val="24"/>
        </w:rPr>
      </w:pPr>
      <w:r>
        <w:rPr>
          <w:rFonts w:cs="Tahoma"/>
          <w:sz w:val="24"/>
          <w:szCs w:val="24"/>
        </w:rPr>
        <w:t>vedoucí odboru životního prostředí a zemědělství</w:t>
      </w:r>
    </w:p>
    <w:p w:rsidR="0011487C" w:rsidRDefault="0011487C" w:rsidP="0011487C">
      <w:pPr>
        <w:pStyle w:val="Zkladntext3"/>
        <w:spacing w:line="280" w:lineRule="exact"/>
        <w:ind w:left="1620" w:hanging="1620"/>
        <w:rPr>
          <w:rFonts w:cs="Tahoma"/>
          <w:sz w:val="24"/>
          <w:szCs w:val="24"/>
        </w:rPr>
      </w:pPr>
      <w:r>
        <w:rPr>
          <w:rFonts w:cs="Tahoma"/>
          <w:sz w:val="24"/>
          <w:szCs w:val="24"/>
          <w:u w:val="single"/>
        </w:rPr>
        <w:lastRenderedPageBreak/>
        <w:t>Projednáno:</w:t>
      </w:r>
      <w:r>
        <w:rPr>
          <w:rFonts w:cs="Tahoma"/>
          <w:sz w:val="24"/>
          <w:szCs w:val="24"/>
        </w:rPr>
        <w:tab/>
        <w:t>v radě kraje dne 17.</w:t>
      </w:r>
      <w:r w:rsidR="006812E3">
        <w:rPr>
          <w:rFonts w:cs="Tahoma"/>
          <w:sz w:val="24"/>
          <w:szCs w:val="24"/>
        </w:rPr>
        <w:t> </w:t>
      </w:r>
      <w:r>
        <w:rPr>
          <w:rFonts w:cs="Tahoma"/>
          <w:sz w:val="24"/>
          <w:szCs w:val="24"/>
        </w:rPr>
        <w:t>2.</w:t>
      </w:r>
      <w:r w:rsidR="006812E3">
        <w:rPr>
          <w:rFonts w:cs="Tahoma"/>
          <w:sz w:val="24"/>
          <w:szCs w:val="24"/>
        </w:rPr>
        <w:t> </w:t>
      </w:r>
      <w:r>
        <w:rPr>
          <w:rFonts w:cs="Tahoma"/>
          <w:sz w:val="24"/>
          <w:szCs w:val="24"/>
        </w:rPr>
        <w:t>201</w:t>
      </w:r>
      <w:r w:rsidR="00C267F4">
        <w:rPr>
          <w:rFonts w:cs="Tahoma"/>
          <w:sz w:val="24"/>
          <w:szCs w:val="24"/>
        </w:rPr>
        <w:t>5</w:t>
      </w:r>
      <w:r>
        <w:rPr>
          <w:rFonts w:cs="Tahoma"/>
          <w:sz w:val="24"/>
          <w:szCs w:val="24"/>
        </w:rPr>
        <w:t xml:space="preserve"> – viz</w:t>
      </w:r>
      <w:r w:rsidR="006812E3">
        <w:rPr>
          <w:rFonts w:cs="Tahoma"/>
          <w:sz w:val="24"/>
          <w:szCs w:val="24"/>
        </w:rPr>
        <w:t> </w:t>
      </w:r>
      <w:r>
        <w:rPr>
          <w:rFonts w:cs="Tahoma"/>
          <w:sz w:val="24"/>
          <w:szCs w:val="24"/>
        </w:rPr>
        <w:t>usnesení</w:t>
      </w:r>
    </w:p>
    <w:p w:rsidR="0011487C" w:rsidRDefault="0011487C" w:rsidP="0011487C">
      <w:pPr>
        <w:pStyle w:val="Zkladntext3"/>
        <w:spacing w:line="280" w:lineRule="exact"/>
        <w:ind w:left="1620" w:hanging="1620"/>
        <w:rPr>
          <w:rFonts w:cs="Tahoma"/>
          <w:sz w:val="24"/>
          <w:szCs w:val="24"/>
        </w:rPr>
      </w:pPr>
    </w:p>
    <w:p w:rsidR="006812E3" w:rsidRDefault="006812E3" w:rsidP="0011487C">
      <w:pPr>
        <w:pStyle w:val="Zkladntext3"/>
        <w:spacing w:line="280" w:lineRule="exact"/>
        <w:ind w:left="1620" w:hanging="1620"/>
        <w:rPr>
          <w:rFonts w:cs="Tahoma"/>
          <w:sz w:val="24"/>
          <w:szCs w:val="24"/>
        </w:rPr>
      </w:pPr>
    </w:p>
    <w:p w:rsidR="006812E3" w:rsidRPr="006812E3" w:rsidRDefault="006812E3" w:rsidP="006812E3">
      <w:pPr>
        <w:rPr>
          <w:sz w:val="24"/>
        </w:rPr>
      </w:pPr>
    </w:p>
    <w:p w:rsidR="006812E3" w:rsidRPr="006812E3" w:rsidRDefault="006812E3" w:rsidP="006812E3">
      <w:pPr>
        <w:ind w:left="1620"/>
        <w:jc w:val="both"/>
        <w:rPr>
          <w:sz w:val="24"/>
        </w:rPr>
      </w:pPr>
      <w:r w:rsidRPr="006812E3">
        <w:rPr>
          <w:sz w:val="24"/>
        </w:rPr>
        <w:t xml:space="preserve">ve výboru pro životní prostředí zastupitelstva kraje dne </w:t>
      </w:r>
      <w:r w:rsidR="00C267F4">
        <w:rPr>
          <w:sz w:val="24"/>
        </w:rPr>
        <w:t>5</w:t>
      </w:r>
      <w:r w:rsidRPr="006812E3">
        <w:rPr>
          <w:sz w:val="24"/>
        </w:rPr>
        <w:t>. 2. 201</w:t>
      </w:r>
      <w:r w:rsidR="00C267F4">
        <w:rPr>
          <w:sz w:val="24"/>
        </w:rPr>
        <w:t>5</w:t>
      </w:r>
      <w:r w:rsidRPr="006812E3">
        <w:rPr>
          <w:sz w:val="24"/>
        </w:rPr>
        <w:t xml:space="preserve"> – viz usnesení</w:t>
      </w:r>
    </w:p>
    <w:p w:rsidR="006812E3" w:rsidRDefault="006812E3"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rPr>
        <w:t>V Ostravě dne</w:t>
      </w:r>
      <w:r w:rsidR="006812E3">
        <w:rPr>
          <w:rFonts w:cs="Tahoma"/>
          <w:sz w:val="24"/>
          <w:szCs w:val="24"/>
        </w:rPr>
        <w:t xml:space="preserve"> </w:t>
      </w:r>
      <w:r>
        <w:rPr>
          <w:rFonts w:cs="Tahoma"/>
          <w:sz w:val="24"/>
          <w:szCs w:val="24"/>
        </w:rPr>
        <w:tab/>
        <w:t>1</w:t>
      </w:r>
      <w:r w:rsidR="00B82C1C">
        <w:rPr>
          <w:rFonts w:cs="Tahoma"/>
          <w:sz w:val="24"/>
          <w:szCs w:val="24"/>
        </w:rPr>
        <w:t>7</w:t>
      </w:r>
      <w:r w:rsidRPr="00430545">
        <w:rPr>
          <w:rFonts w:cs="Tahoma"/>
          <w:sz w:val="24"/>
          <w:szCs w:val="24"/>
        </w:rPr>
        <w:t>.</w:t>
      </w:r>
      <w:r w:rsidR="006812E3">
        <w:rPr>
          <w:rFonts w:cs="Tahoma"/>
          <w:sz w:val="24"/>
          <w:szCs w:val="24"/>
        </w:rPr>
        <w:t> </w:t>
      </w:r>
      <w:r>
        <w:rPr>
          <w:rFonts w:cs="Tahoma"/>
          <w:sz w:val="24"/>
          <w:szCs w:val="24"/>
        </w:rPr>
        <w:t>2.</w:t>
      </w:r>
      <w:r w:rsidR="006812E3">
        <w:rPr>
          <w:rFonts w:cs="Tahoma"/>
          <w:sz w:val="24"/>
          <w:szCs w:val="24"/>
        </w:rPr>
        <w:t> </w:t>
      </w:r>
      <w:r>
        <w:rPr>
          <w:rFonts w:cs="Tahoma"/>
          <w:sz w:val="24"/>
          <w:szCs w:val="24"/>
        </w:rPr>
        <w:t>2014</w:t>
      </w:r>
    </w:p>
    <w:p w:rsidR="006812E3" w:rsidRDefault="006812E3" w:rsidP="0011487C">
      <w:pPr>
        <w:pStyle w:val="Zkladntext3"/>
        <w:spacing w:line="280" w:lineRule="exact"/>
        <w:ind w:left="1620" w:hanging="1620"/>
        <w:rPr>
          <w:rFonts w:cs="Tahoma"/>
          <w:sz w:val="24"/>
          <w:szCs w:val="24"/>
        </w:rPr>
      </w:pPr>
    </w:p>
    <w:p w:rsidR="0011487C" w:rsidRPr="00602DB9" w:rsidRDefault="0011487C" w:rsidP="0011487C">
      <w:pPr>
        <w:rPr>
          <w:sz w:val="24"/>
          <w:u w:val="single"/>
        </w:rPr>
      </w:pPr>
      <w:r>
        <w:rPr>
          <w:sz w:val="24"/>
        </w:rPr>
        <w:br w:type="page"/>
      </w:r>
      <w:r w:rsidRPr="00602DB9">
        <w:rPr>
          <w:sz w:val="24"/>
          <w:u w:val="single"/>
        </w:rPr>
        <w:lastRenderedPageBreak/>
        <w:t>Návrh usnesení:</w:t>
      </w:r>
    </w:p>
    <w:p w:rsidR="0011487C" w:rsidRPr="00602DB9" w:rsidRDefault="0011487C" w:rsidP="0011487C">
      <w:pPr>
        <w:rPr>
          <w:sz w:val="24"/>
        </w:rPr>
      </w:pPr>
    </w:p>
    <w:p w:rsidR="0011487C" w:rsidRPr="00602DB9" w:rsidRDefault="0011487C" w:rsidP="0011487C">
      <w:pPr>
        <w:rPr>
          <w:sz w:val="24"/>
        </w:rPr>
      </w:pPr>
      <w:r w:rsidRPr="00602DB9">
        <w:rPr>
          <w:sz w:val="24"/>
        </w:rPr>
        <w:t>Zastupitelstvo kraje</w:t>
      </w:r>
    </w:p>
    <w:p w:rsidR="0011487C" w:rsidRPr="00602DB9" w:rsidRDefault="0011487C" w:rsidP="0011487C">
      <w:pPr>
        <w:rPr>
          <w:sz w:val="24"/>
        </w:rPr>
      </w:pPr>
    </w:p>
    <w:p w:rsidR="00530CFD" w:rsidRPr="00530CFD" w:rsidRDefault="00530CFD" w:rsidP="00530CFD">
      <w:pPr>
        <w:rPr>
          <w:sz w:val="24"/>
        </w:rPr>
      </w:pPr>
      <w:r w:rsidRPr="00530CFD">
        <w:rPr>
          <w:sz w:val="24"/>
        </w:rPr>
        <w:t>k usnesením rady kraje</w:t>
      </w:r>
      <w:r w:rsidRPr="00530CFD">
        <w:rPr>
          <w:sz w:val="24"/>
        </w:rPr>
        <w:tab/>
      </w:r>
      <w:r w:rsidRPr="00530CFD">
        <w:rPr>
          <w:sz w:val="24"/>
        </w:rPr>
        <w:tab/>
      </w:r>
      <w:r w:rsidRPr="00530CFD">
        <w:rPr>
          <w:sz w:val="24"/>
        </w:rPr>
        <w:tab/>
        <w:t xml:space="preserve">č. </w:t>
      </w:r>
      <w:r w:rsidR="00E0220C">
        <w:rPr>
          <w:sz w:val="24"/>
        </w:rPr>
        <w:t>62</w:t>
      </w:r>
      <w:r w:rsidRPr="00530CFD">
        <w:rPr>
          <w:sz w:val="24"/>
        </w:rPr>
        <w:t>/</w:t>
      </w:r>
      <w:r w:rsidR="00E0220C" w:rsidRPr="00E0220C">
        <w:rPr>
          <w:sz w:val="24"/>
        </w:rPr>
        <w:t>4878</w:t>
      </w:r>
      <w:r w:rsidRPr="00530CFD">
        <w:rPr>
          <w:sz w:val="24"/>
        </w:rPr>
        <w:tab/>
      </w:r>
      <w:r w:rsidRPr="00530CFD">
        <w:rPr>
          <w:sz w:val="24"/>
        </w:rPr>
        <w:tab/>
      </w:r>
      <w:r>
        <w:rPr>
          <w:sz w:val="24"/>
        </w:rPr>
        <w:t xml:space="preserve">       </w:t>
      </w:r>
      <w:r w:rsidRPr="00530CFD">
        <w:rPr>
          <w:sz w:val="24"/>
        </w:rPr>
        <w:t>ze dne 17. 2. 2015</w:t>
      </w:r>
    </w:p>
    <w:p w:rsidR="00530CFD" w:rsidRPr="00530CFD" w:rsidRDefault="00530CFD" w:rsidP="00530CFD">
      <w:pPr>
        <w:ind w:left="3540" w:firstLine="708"/>
        <w:rPr>
          <w:sz w:val="24"/>
        </w:rPr>
      </w:pPr>
      <w:r w:rsidRPr="00530CFD">
        <w:rPr>
          <w:sz w:val="24"/>
        </w:rPr>
        <w:t>č. 57/4539</w:t>
      </w:r>
      <w:r w:rsidRPr="00530CFD">
        <w:rPr>
          <w:sz w:val="24"/>
        </w:rPr>
        <w:tab/>
      </w:r>
      <w:r w:rsidRPr="00530CFD">
        <w:rPr>
          <w:sz w:val="24"/>
        </w:rPr>
        <w:tab/>
      </w:r>
      <w:r>
        <w:rPr>
          <w:sz w:val="24"/>
        </w:rPr>
        <w:t xml:space="preserve">       </w:t>
      </w:r>
      <w:r w:rsidRPr="00530CFD">
        <w:rPr>
          <w:sz w:val="24"/>
        </w:rPr>
        <w:t>ze dne 11. 12. 2014</w:t>
      </w:r>
    </w:p>
    <w:p w:rsidR="00530CFD" w:rsidRDefault="00530CFD" w:rsidP="00530CFD">
      <w:pPr>
        <w:rPr>
          <w:sz w:val="24"/>
        </w:rPr>
      </w:pPr>
      <w:r w:rsidRPr="00530CFD">
        <w:rPr>
          <w:sz w:val="24"/>
        </w:rPr>
        <w:t>k usnesení zastupitelstva kraje</w:t>
      </w:r>
      <w:r w:rsidRPr="00530CFD">
        <w:rPr>
          <w:sz w:val="24"/>
        </w:rPr>
        <w:tab/>
      </w:r>
      <w:r w:rsidRPr="00530CFD">
        <w:rPr>
          <w:sz w:val="24"/>
        </w:rPr>
        <w:tab/>
        <w:t>č. 12/996</w:t>
      </w:r>
      <w:r w:rsidRPr="00530CFD">
        <w:rPr>
          <w:sz w:val="24"/>
        </w:rPr>
        <w:tab/>
      </w:r>
      <w:r w:rsidRPr="00530CFD">
        <w:rPr>
          <w:sz w:val="24"/>
        </w:rPr>
        <w:tab/>
      </w:r>
      <w:r>
        <w:rPr>
          <w:sz w:val="24"/>
        </w:rPr>
        <w:t xml:space="preserve">       </w:t>
      </w:r>
      <w:r w:rsidRPr="00530CFD">
        <w:rPr>
          <w:sz w:val="24"/>
        </w:rPr>
        <w:t>ze dne 11. 12. 2014</w:t>
      </w:r>
    </w:p>
    <w:p w:rsidR="00530CFD" w:rsidRDefault="00530CFD" w:rsidP="00530CFD">
      <w:pPr>
        <w:rPr>
          <w:sz w:val="24"/>
        </w:rPr>
      </w:pPr>
    </w:p>
    <w:p w:rsidR="00DA42F3" w:rsidRPr="00DA42F3" w:rsidRDefault="00DA42F3" w:rsidP="00DA42F3">
      <w:pPr>
        <w:spacing w:line="280" w:lineRule="exact"/>
        <w:rPr>
          <w:sz w:val="24"/>
        </w:rPr>
      </w:pPr>
      <w:r w:rsidRPr="00DA42F3">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DA42F3" w:rsidRPr="00DA42F3" w:rsidTr="001A2DB4">
        <w:tc>
          <w:tcPr>
            <w:tcW w:w="496" w:type="dxa"/>
          </w:tcPr>
          <w:p w:rsidR="00DA42F3" w:rsidRPr="00DA42F3" w:rsidRDefault="00DA42F3" w:rsidP="00DA42F3">
            <w:pPr>
              <w:rPr>
                <w:sz w:val="24"/>
              </w:rPr>
            </w:pPr>
          </w:p>
        </w:tc>
        <w:tc>
          <w:tcPr>
            <w:tcW w:w="8716" w:type="dxa"/>
          </w:tcPr>
          <w:p w:rsidR="00DA42F3" w:rsidRPr="00DA42F3" w:rsidRDefault="00DA42F3" w:rsidP="00DA42F3">
            <w:pPr>
              <w:rPr>
                <w:sz w:val="24"/>
              </w:rPr>
            </w:pPr>
            <w:proofErr w:type="gramStart"/>
            <w:r w:rsidRPr="00DA42F3">
              <w:rPr>
                <w:sz w:val="24"/>
              </w:rPr>
              <w:t>../....</w:t>
            </w:r>
            <w:proofErr w:type="gramEnd"/>
          </w:p>
        </w:tc>
      </w:tr>
      <w:tr w:rsidR="00DA42F3" w:rsidRPr="00DA42F3" w:rsidTr="001A2DB4">
        <w:trPr>
          <w:trHeight w:val="1407"/>
        </w:trPr>
        <w:tc>
          <w:tcPr>
            <w:tcW w:w="496" w:type="dxa"/>
          </w:tcPr>
          <w:p w:rsidR="00DA42F3" w:rsidRPr="00DA42F3" w:rsidRDefault="00DA42F3" w:rsidP="00DA42F3">
            <w:pPr>
              <w:rPr>
                <w:sz w:val="24"/>
              </w:rPr>
            </w:pPr>
            <w:r w:rsidRPr="00DA42F3">
              <w:rPr>
                <w:sz w:val="24"/>
              </w:rPr>
              <w:t>1)</w:t>
            </w:r>
          </w:p>
        </w:tc>
        <w:tc>
          <w:tcPr>
            <w:tcW w:w="8716" w:type="dxa"/>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jc w:val="both"/>
              <w:rPr>
                <w:sz w:val="24"/>
              </w:rPr>
            </w:pPr>
          </w:p>
          <w:p w:rsidR="00DA42F3" w:rsidRPr="00DA42F3" w:rsidRDefault="00530CFD" w:rsidP="00EE35B7">
            <w:pPr>
              <w:jc w:val="both"/>
              <w:rPr>
                <w:sz w:val="24"/>
              </w:rPr>
            </w:pPr>
            <w:r w:rsidRPr="00530CFD">
              <w:rPr>
                <w:sz w:val="24"/>
              </w:rPr>
              <w:t>poskytnout účelové dotace z rozpočtu Moravskoslezského kraje na rok 2015 v</w:t>
            </w:r>
            <w:r w:rsidR="00EE35B7">
              <w:rPr>
                <w:sz w:val="24"/>
              </w:rPr>
              <w:t> </w:t>
            </w:r>
            <w:r w:rsidRPr="00530CFD">
              <w:rPr>
                <w:sz w:val="24"/>
              </w:rPr>
              <w:t xml:space="preserve">rámci dotačního programu Podpora dobrovolných aktivit v oblasti udržitelného rozvoje pro rok 2015 dle </w:t>
            </w:r>
            <w:r w:rsidRPr="00B82C1C">
              <w:rPr>
                <w:b/>
                <w:sz w:val="24"/>
              </w:rPr>
              <w:t>přílohy č. 1</w:t>
            </w:r>
            <w:r w:rsidRPr="00530CFD">
              <w:rPr>
                <w:sz w:val="24"/>
              </w:rPr>
              <w:t xml:space="preserve"> tohoto usnesení</w:t>
            </w:r>
            <w:r w:rsidR="008B59AD">
              <w:t xml:space="preserve"> </w:t>
            </w:r>
            <w:r w:rsidR="008B59AD" w:rsidRPr="008B59AD">
              <w:rPr>
                <w:sz w:val="24"/>
              </w:rPr>
              <w:t>a uzavřít s těmito žadateli smlouvu o poskytnutí dotace dle přílohy č. 1 tohoto dotačního programu</w:t>
            </w:r>
          </w:p>
        </w:tc>
      </w:tr>
    </w:tbl>
    <w:p w:rsidR="00DA42F3" w:rsidRPr="00DA42F3" w:rsidRDefault="00DA42F3" w:rsidP="00DA42F3">
      <w:pPr>
        <w:rPr>
          <w:sz w:val="24"/>
        </w:rPr>
      </w:pPr>
    </w:p>
    <w:tbl>
      <w:tblPr>
        <w:tblW w:w="9235" w:type="dxa"/>
        <w:tblLayout w:type="fixed"/>
        <w:tblCellMar>
          <w:left w:w="70" w:type="dxa"/>
          <w:right w:w="70" w:type="dxa"/>
        </w:tblCellMar>
        <w:tblLook w:val="0000" w:firstRow="0" w:lastRow="0" w:firstColumn="0" w:lastColumn="0" w:noHBand="0" w:noVBand="0"/>
      </w:tblPr>
      <w:tblGrid>
        <w:gridCol w:w="497"/>
        <w:gridCol w:w="8738"/>
      </w:tblGrid>
      <w:tr w:rsidR="00DA42F3" w:rsidRPr="00DA42F3" w:rsidTr="001A2DB4">
        <w:trPr>
          <w:trHeight w:val="175"/>
        </w:trPr>
        <w:tc>
          <w:tcPr>
            <w:tcW w:w="497" w:type="dxa"/>
          </w:tcPr>
          <w:p w:rsidR="00DA42F3" w:rsidRPr="00DA42F3" w:rsidRDefault="00DA42F3" w:rsidP="00DA42F3">
            <w:pPr>
              <w:rPr>
                <w:sz w:val="24"/>
              </w:rPr>
            </w:pPr>
          </w:p>
        </w:tc>
        <w:tc>
          <w:tcPr>
            <w:tcW w:w="8738" w:type="dxa"/>
          </w:tcPr>
          <w:p w:rsidR="00DA42F3" w:rsidRPr="00DA42F3" w:rsidRDefault="00DA42F3" w:rsidP="00DA42F3">
            <w:pPr>
              <w:rPr>
                <w:sz w:val="24"/>
              </w:rPr>
            </w:pPr>
            <w:proofErr w:type="gramStart"/>
            <w:r w:rsidRPr="00DA42F3">
              <w:rPr>
                <w:sz w:val="24"/>
              </w:rPr>
              <w:t>../…</w:t>
            </w:r>
            <w:proofErr w:type="gramEnd"/>
            <w:r w:rsidRPr="00DA42F3">
              <w:rPr>
                <w:sz w:val="24"/>
              </w:rPr>
              <w:t>.</w:t>
            </w:r>
          </w:p>
        </w:tc>
      </w:tr>
      <w:tr w:rsidR="00DA42F3" w:rsidRPr="00DA42F3" w:rsidTr="001A2DB4">
        <w:trPr>
          <w:cantSplit/>
          <w:trHeight w:val="1305"/>
        </w:trPr>
        <w:tc>
          <w:tcPr>
            <w:tcW w:w="497" w:type="dxa"/>
          </w:tcPr>
          <w:p w:rsidR="00DA42F3" w:rsidRPr="00DA42F3" w:rsidRDefault="00DA42F3" w:rsidP="00DA42F3">
            <w:pPr>
              <w:rPr>
                <w:sz w:val="24"/>
              </w:rPr>
            </w:pPr>
            <w:r w:rsidRPr="00DA42F3">
              <w:rPr>
                <w:sz w:val="24"/>
              </w:rPr>
              <w:t>2)</w:t>
            </w:r>
          </w:p>
        </w:tc>
        <w:tc>
          <w:tcPr>
            <w:tcW w:w="8738" w:type="dxa"/>
            <w:tcBorders>
              <w:bottom w:val="nil"/>
            </w:tcBorders>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tabs>
                <w:tab w:val="left" w:pos="5040"/>
              </w:tabs>
              <w:rPr>
                <w:sz w:val="24"/>
                <w:highlight w:val="yellow"/>
              </w:rPr>
            </w:pPr>
          </w:p>
          <w:p w:rsidR="00DA42F3" w:rsidRPr="00DA42F3" w:rsidRDefault="00530CFD" w:rsidP="00EE35B7">
            <w:pPr>
              <w:jc w:val="both"/>
              <w:rPr>
                <w:sz w:val="24"/>
                <w:highlight w:val="yellow"/>
              </w:rPr>
            </w:pPr>
            <w:r w:rsidRPr="00530CFD">
              <w:rPr>
                <w:sz w:val="24"/>
              </w:rPr>
              <w:t>poskytnout účelové dotace z rozpočtu Moravskoslezského kraje na rok 2015 v</w:t>
            </w:r>
            <w:r w:rsidR="00EE35B7">
              <w:rPr>
                <w:sz w:val="24"/>
              </w:rPr>
              <w:t> </w:t>
            </w:r>
            <w:r w:rsidRPr="00530CFD">
              <w:rPr>
                <w:sz w:val="24"/>
              </w:rPr>
              <w:t xml:space="preserve">rámci dotačního programu Podpora dobrovolných aktivit v oblasti udržitelného rozvoje pro rok 2015 náhradním žadatelům uvedeným v </w:t>
            </w:r>
            <w:r w:rsidRPr="00B82C1C">
              <w:rPr>
                <w:b/>
                <w:sz w:val="24"/>
              </w:rPr>
              <w:t>příloze č. 2</w:t>
            </w:r>
            <w:r w:rsidRPr="00530CFD">
              <w:rPr>
                <w:sz w:val="24"/>
              </w:rPr>
              <w:t xml:space="preserve"> tohoto usnesení postupem podle čl. XI odst. 8 a 9 tohoto dotačního programu</w:t>
            </w:r>
            <w:r w:rsidR="008B59AD">
              <w:t xml:space="preserve"> </w:t>
            </w:r>
            <w:r w:rsidR="008B59AD" w:rsidRPr="008B59AD">
              <w:rPr>
                <w:sz w:val="24"/>
              </w:rPr>
              <w:t>a uzavřít s těmito náhradními žadateli smlouvu o poskytnutí dotace dle přílohy č. 1 tohoto dotačního programu</w:t>
            </w:r>
          </w:p>
        </w:tc>
      </w:tr>
    </w:tbl>
    <w:p w:rsidR="00DA42F3" w:rsidRPr="00DA42F3" w:rsidRDefault="00DA42F3" w:rsidP="00DA42F3">
      <w:pPr>
        <w:autoSpaceDE w:val="0"/>
        <w:autoSpaceDN w:val="0"/>
        <w:adjustRightInd w:val="0"/>
        <w:rPr>
          <w:bCs/>
          <w:sz w:val="24"/>
        </w:rPr>
      </w:pPr>
    </w:p>
    <w:tbl>
      <w:tblPr>
        <w:tblW w:w="9235" w:type="dxa"/>
        <w:tblLayout w:type="fixed"/>
        <w:tblCellMar>
          <w:left w:w="70" w:type="dxa"/>
          <w:right w:w="70" w:type="dxa"/>
        </w:tblCellMar>
        <w:tblLook w:val="0000" w:firstRow="0" w:lastRow="0" w:firstColumn="0" w:lastColumn="0" w:noHBand="0" w:noVBand="0"/>
      </w:tblPr>
      <w:tblGrid>
        <w:gridCol w:w="497"/>
        <w:gridCol w:w="8738"/>
      </w:tblGrid>
      <w:tr w:rsidR="00DA42F3" w:rsidRPr="00DA42F3" w:rsidTr="001A2DB4">
        <w:trPr>
          <w:trHeight w:val="175"/>
        </w:trPr>
        <w:tc>
          <w:tcPr>
            <w:tcW w:w="497" w:type="dxa"/>
          </w:tcPr>
          <w:p w:rsidR="00DA42F3" w:rsidRPr="00DA42F3" w:rsidRDefault="00DA42F3" w:rsidP="00DA42F3">
            <w:pPr>
              <w:rPr>
                <w:sz w:val="24"/>
              </w:rPr>
            </w:pPr>
          </w:p>
        </w:tc>
        <w:tc>
          <w:tcPr>
            <w:tcW w:w="8738" w:type="dxa"/>
          </w:tcPr>
          <w:p w:rsidR="00DA42F3" w:rsidRPr="00DA42F3" w:rsidRDefault="00DA42F3" w:rsidP="00DA42F3">
            <w:pPr>
              <w:rPr>
                <w:sz w:val="24"/>
              </w:rPr>
            </w:pPr>
            <w:proofErr w:type="gramStart"/>
            <w:r w:rsidRPr="00DA42F3">
              <w:rPr>
                <w:sz w:val="24"/>
              </w:rPr>
              <w:t>../…</w:t>
            </w:r>
            <w:proofErr w:type="gramEnd"/>
            <w:r w:rsidRPr="00DA42F3">
              <w:rPr>
                <w:sz w:val="24"/>
              </w:rPr>
              <w:t>.</w:t>
            </w:r>
          </w:p>
        </w:tc>
      </w:tr>
      <w:tr w:rsidR="00DA42F3" w:rsidRPr="00DA42F3" w:rsidTr="001A2DB4">
        <w:trPr>
          <w:cantSplit/>
          <w:trHeight w:val="1305"/>
        </w:trPr>
        <w:tc>
          <w:tcPr>
            <w:tcW w:w="497" w:type="dxa"/>
          </w:tcPr>
          <w:p w:rsidR="00DA42F3" w:rsidRPr="00DA42F3" w:rsidRDefault="00DA42F3" w:rsidP="00DA42F3">
            <w:pPr>
              <w:rPr>
                <w:sz w:val="24"/>
                <w:highlight w:val="yellow"/>
              </w:rPr>
            </w:pPr>
            <w:r w:rsidRPr="00DA42F3">
              <w:rPr>
                <w:sz w:val="24"/>
              </w:rPr>
              <w:t>3)</w:t>
            </w:r>
          </w:p>
        </w:tc>
        <w:tc>
          <w:tcPr>
            <w:tcW w:w="8738" w:type="dxa"/>
            <w:tcBorders>
              <w:bottom w:val="nil"/>
            </w:tcBorders>
          </w:tcPr>
          <w:p w:rsidR="00DA42F3" w:rsidRPr="00DA42F3" w:rsidRDefault="00DA42F3" w:rsidP="00DA42F3">
            <w:pPr>
              <w:jc w:val="both"/>
              <w:rPr>
                <w:spacing w:val="80"/>
                <w:sz w:val="24"/>
              </w:rPr>
            </w:pPr>
            <w:r w:rsidRPr="00DA42F3">
              <w:rPr>
                <w:spacing w:val="80"/>
                <w:sz w:val="24"/>
              </w:rPr>
              <w:t>rozhodlo</w:t>
            </w:r>
          </w:p>
          <w:p w:rsidR="00DA42F3" w:rsidRPr="00DA42F3" w:rsidRDefault="00DA42F3" w:rsidP="00DA42F3">
            <w:pPr>
              <w:tabs>
                <w:tab w:val="left" w:pos="5040"/>
              </w:tabs>
              <w:rPr>
                <w:sz w:val="24"/>
                <w:highlight w:val="yellow"/>
              </w:rPr>
            </w:pPr>
          </w:p>
          <w:p w:rsidR="00DA42F3" w:rsidRPr="00DA42F3" w:rsidRDefault="00EB3161" w:rsidP="00EE35B7">
            <w:pPr>
              <w:jc w:val="both"/>
              <w:rPr>
                <w:sz w:val="24"/>
              </w:rPr>
            </w:pPr>
            <w:r w:rsidRPr="00EB3161">
              <w:rPr>
                <w:sz w:val="24"/>
              </w:rPr>
              <w:t>neposkytnout účelové dotace z rozpočtu Moravskoslezského kraje na rok 2015 v</w:t>
            </w:r>
            <w:r w:rsidR="00EE35B7">
              <w:rPr>
                <w:sz w:val="24"/>
              </w:rPr>
              <w:t> </w:t>
            </w:r>
            <w:r w:rsidRPr="00EB3161">
              <w:rPr>
                <w:sz w:val="24"/>
              </w:rPr>
              <w:t xml:space="preserve">rámci dotačního programu Podpora dobrovolných aktivit v oblasti udržitelného rozvoje pro rok 2015 žadatelům dle </w:t>
            </w:r>
            <w:r w:rsidRPr="00B82C1C">
              <w:rPr>
                <w:b/>
                <w:sz w:val="24"/>
              </w:rPr>
              <w:t>přílohy č. 3</w:t>
            </w:r>
            <w:r w:rsidRPr="00EB3161">
              <w:rPr>
                <w:sz w:val="24"/>
              </w:rPr>
              <w:t xml:space="preserve"> tohoto usnesení</w:t>
            </w:r>
            <w:r w:rsidR="00795AB6">
              <w:t xml:space="preserve"> </w:t>
            </w:r>
            <w:r w:rsidR="00795AB6" w:rsidRPr="00795AB6">
              <w:rPr>
                <w:sz w:val="24"/>
              </w:rPr>
              <w:t>s odůvodněním dle předloženého materiálu</w:t>
            </w:r>
          </w:p>
        </w:tc>
      </w:tr>
    </w:tbl>
    <w:p w:rsidR="0011487C" w:rsidRDefault="0011487C" w:rsidP="0011487C">
      <w:pPr>
        <w:rPr>
          <w:sz w:val="24"/>
        </w:rPr>
      </w:pPr>
    </w:p>
    <w:p w:rsidR="0011487C" w:rsidRDefault="0011487C" w:rsidP="0011487C">
      <w:pPr>
        <w:pStyle w:val="Zkladntext3"/>
        <w:spacing w:after="120"/>
        <w:rPr>
          <w:rFonts w:cs="Tahoma"/>
          <w:sz w:val="24"/>
          <w:u w:val="single"/>
        </w:rPr>
      </w:pPr>
      <w:r>
        <w:rPr>
          <w:rFonts w:cs="Tahoma"/>
          <w:sz w:val="24"/>
          <w:u w:val="single"/>
        </w:rPr>
        <w:br w:type="page"/>
      </w:r>
      <w:r>
        <w:rPr>
          <w:rFonts w:cs="Tahoma"/>
          <w:sz w:val="24"/>
          <w:u w:val="single"/>
        </w:rPr>
        <w:lastRenderedPageBreak/>
        <w:t>Důvodová zpráva:</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Rada kraje rozhodla usnesením č. 57/4539 ze dne 11. 12. 2014 (materiál č. 8/4) o</w:t>
      </w:r>
      <w:r w:rsidR="00541F40">
        <w:rPr>
          <w:sz w:val="24"/>
          <w:szCs w:val="20"/>
          <w:lang w:eastAsia="ar-SA"/>
        </w:rPr>
        <w:t> </w:t>
      </w:r>
      <w:r w:rsidRPr="00EB3161">
        <w:rPr>
          <w:sz w:val="24"/>
          <w:szCs w:val="20"/>
          <w:lang w:eastAsia="ar-SA"/>
        </w:rPr>
        <w:t xml:space="preserve">vyhlášení dotačního programu Podpora dobrovolných aktivit v oblasti udržitelného rozvoje pro rok 2015 (dále jen „Program“). </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 xml:space="preserve">Program je zaměřen především na zvýšení environmentálního povědomí obyvatel Moravskoslezského kraje, zejména dětí a mládeže, na podporu činnosti environmentálních nevládních neziskových organizací, na podporu projektů v rámci procesu místní Agendy 21, dílčích aktivit v rámci osvětových kampaní podporujících udržitelný rozvoj a občanskou zodpovědnost – </w:t>
      </w:r>
      <w:r w:rsidR="00641FCE">
        <w:rPr>
          <w:sz w:val="24"/>
          <w:szCs w:val="20"/>
          <w:lang w:eastAsia="ar-SA"/>
        </w:rPr>
        <w:t xml:space="preserve">např. </w:t>
      </w:r>
      <w:r w:rsidRPr="00EB3161">
        <w:rPr>
          <w:sz w:val="24"/>
          <w:szCs w:val="20"/>
          <w:lang w:eastAsia="ar-SA"/>
        </w:rPr>
        <w:t>Evropský týden mobility, Evropský den bez aut, Dny zdraví, Národní dny bez úrazů, Světový den bez tabáku, Den Země, a</w:t>
      </w:r>
      <w:r w:rsidR="00541F40">
        <w:rPr>
          <w:sz w:val="24"/>
          <w:szCs w:val="20"/>
          <w:lang w:eastAsia="ar-SA"/>
        </w:rPr>
        <w:t> </w:t>
      </w:r>
      <w:r w:rsidRPr="00EB3161">
        <w:rPr>
          <w:sz w:val="24"/>
          <w:szCs w:val="20"/>
          <w:lang w:eastAsia="ar-SA"/>
        </w:rPr>
        <w:t>na podporu projektů zaměřených na zavádění systému environmentálního řízení a</w:t>
      </w:r>
      <w:r w:rsidR="00541F40">
        <w:rPr>
          <w:sz w:val="24"/>
          <w:szCs w:val="20"/>
          <w:lang w:eastAsia="ar-SA"/>
        </w:rPr>
        <w:t> </w:t>
      </w:r>
      <w:r w:rsidRPr="00EB3161">
        <w:rPr>
          <w:sz w:val="24"/>
          <w:szCs w:val="20"/>
          <w:lang w:eastAsia="ar-SA"/>
        </w:rPr>
        <w:t>auditu EMAS.</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 xml:space="preserve">Žádosti o poskytnutí dotace v rámci Programu byly přijímány do dne 14. 1. 2015. Ve stanoveném termínu bylo předloženo 30 žádostí – projektů, z toho 16 žádostí </w:t>
      </w:r>
      <w:r w:rsidR="00641FCE">
        <w:rPr>
          <w:sz w:val="24"/>
          <w:szCs w:val="20"/>
          <w:lang w:eastAsia="ar-SA"/>
        </w:rPr>
        <w:t xml:space="preserve">bylo </w:t>
      </w:r>
      <w:r w:rsidRPr="00EB3161">
        <w:rPr>
          <w:sz w:val="24"/>
          <w:szCs w:val="20"/>
          <w:lang w:eastAsia="ar-SA"/>
        </w:rPr>
        <w:t xml:space="preserve">navrženo z hodnocení vyřadit, a to z důvodu nedodržení podmínek Programu (nejčastěji nastavení mzdových nákladů nad </w:t>
      </w:r>
      <w:r w:rsidR="00641FCE">
        <w:rPr>
          <w:sz w:val="24"/>
          <w:szCs w:val="20"/>
          <w:lang w:eastAsia="ar-SA"/>
        </w:rPr>
        <w:t xml:space="preserve">stanoveným </w:t>
      </w:r>
      <w:r w:rsidRPr="00EB3161">
        <w:rPr>
          <w:sz w:val="24"/>
          <w:szCs w:val="20"/>
          <w:lang w:eastAsia="ar-SA"/>
        </w:rPr>
        <w:t xml:space="preserve">limitem nebo nedodržení termínu realizace projektu). Celkové uznatelné náklady zbývajících projektů jsou ve výši 2.520.349,-- Kč, z toho celková požadovaná výše dotací činí 1.630.400,-- Kč. </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Žádosti byly posouzeny odborem životního prostředí a zemědělství podle kritérií vyhlášených v Programu a takto předloženy a projednány</w:t>
      </w:r>
      <w:r w:rsidR="00654F1E">
        <w:rPr>
          <w:sz w:val="24"/>
          <w:szCs w:val="20"/>
          <w:lang w:eastAsia="ar-SA"/>
        </w:rPr>
        <w:t xml:space="preserve"> ve</w:t>
      </w:r>
      <w:r w:rsidRPr="00EB3161">
        <w:rPr>
          <w:sz w:val="24"/>
          <w:szCs w:val="20"/>
          <w:lang w:eastAsia="ar-SA"/>
        </w:rPr>
        <w:t xml:space="preserve"> </w:t>
      </w:r>
      <w:r w:rsidR="00286DF3">
        <w:rPr>
          <w:sz w:val="24"/>
          <w:szCs w:val="20"/>
          <w:lang w:eastAsia="ar-SA"/>
        </w:rPr>
        <w:t xml:space="preserve">výboru </w:t>
      </w:r>
      <w:r w:rsidRPr="00EB3161">
        <w:rPr>
          <w:sz w:val="24"/>
          <w:szCs w:val="20"/>
          <w:lang w:eastAsia="ar-SA"/>
        </w:rPr>
        <w:t>pro životní prostředí zastupitelstva kraje</w:t>
      </w:r>
      <w:r w:rsidR="00286DF3">
        <w:rPr>
          <w:sz w:val="24"/>
          <w:szCs w:val="20"/>
          <w:lang w:eastAsia="ar-SA"/>
        </w:rPr>
        <w:t xml:space="preserve">, který </w:t>
      </w:r>
      <w:r w:rsidRPr="00EB3161">
        <w:rPr>
          <w:sz w:val="24"/>
          <w:szCs w:val="20"/>
          <w:lang w:eastAsia="ar-SA"/>
        </w:rPr>
        <w:t xml:space="preserve">navrhl při projednávání posouzených žádostí úpravu bodového hodnocení u dvou projektů, jež se promítla do změny Seznamu žadatelů navržených pro poskytnutí dotace tak, že posledním podpořeným žadatelem bude město Klimkovice, a do změny Pořadníku náhradních žadatelů tak, že náhradním žadatelem bude statutární město Opava. Usnesení výboru pro životní prostředí zastupitelstva kraje je uvedeno v </w:t>
      </w:r>
      <w:hyperlink r:id="rId12" w:history="1">
        <w:r w:rsidRPr="00E02BAE">
          <w:rPr>
            <w:rStyle w:val="Hypertextovodkaz"/>
            <w:sz w:val="24"/>
            <w:szCs w:val="20"/>
            <w:lang w:eastAsia="ar-SA"/>
          </w:rPr>
          <w:t xml:space="preserve">příloze </w:t>
        </w:r>
        <w:proofErr w:type="gramStart"/>
        <w:r w:rsidRPr="00E02BAE">
          <w:rPr>
            <w:rStyle w:val="Hypertextovodkaz"/>
            <w:sz w:val="24"/>
            <w:szCs w:val="20"/>
            <w:lang w:eastAsia="ar-SA"/>
          </w:rPr>
          <w:t>č. 4</w:t>
        </w:r>
      </w:hyperlink>
      <w:r w:rsidRPr="00581264">
        <w:rPr>
          <w:sz w:val="24"/>
          <w:szCs w:val="20"/>
          <w:lang w:eastAsia="ar-SA"/>
        </w:rPr>
        <w:t xml:space="preserve"> </w:t>
      </w:r>
      <w:r w:rsidRPr="00EB3161">
        <w:rPr>
          <w:sz w:val="24"/>
          <w:szCs w:val="20"/>
          <w:lang w:eastAsia="ar-SA"/>
        </w:rPr>
        <w:t>tohoto</w:t>
      </w:r>
      <w:proofErr w:type="gramEnd"/>
      <w:r w:rsidRPr="00EB3161">
        <w:rPr>
          <w:sz w:val="24"/>
          <w:szCs w:val="20"/>
          <w:lang w:eastAsia="ar-SA"/>
        </w:rPr>
        <w:t xml:space="preserve"> materiálu.</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 xml:space="preserve">Rozhodnutí výboru pro životní prostředí zastupitelstva kraje bylo odborem životního prostředí zapracováno jak do Seznamu žadatelů navržených pro poskytnutí dotace, který je uveden v </w:t>
      </w:r>
      <w:hyperlink r:id="rId13" w:history="1">
        <w:r w:rsidRPr="00E02BAE">
          <w:rPr>
            <w:rStyle w:val="Hypertextovodkaz"/>
            <w:sz w:val="24"/>
            <w:szCs w:val="20"/>
            <w:lang w:eastAsia="ar-SA"/>
          </w:rPr>
          <w:t>příloze č. 1</w:t>
        </w:r>
      </w:hyperlink>
      <w:r w:rsidRPr="00EB3161">
        <w:rPr>
          <w:sz w:val="24"/>
          <w:szCs w:val="20"/>
          <w:lang w:eastAsia="ar-SA"/>
        </w:rPr>
        <w:t xml:space="preserve"> tohoto materiálu, tak do Pořadníku náhradních žadatelů, který je obsažen v </w:t>
      </w:r>
      <w:hyperlink r:id="rId14" w:history="1">
        <w:r w:rsidRPr="00E02BAE">
          <w:rPr>
            <w:rStyle w:val="Hypertextovodkaz"/>
            <w:sz w:val="24"/>
            <w:szCs w:val="20"/>
            <w:lang w:eastAsia="ar-SA"/>
          </w:rPr>
          <w:t xml:space="preserve">příloze </w:t>
        </w:r>
        <w:proofErr w:type="gramStart"/>
        <w:r w:rsidRPr="00E02BAE">
          <w:rPr>
            <w:rStyle w:val="Hypertextovodkaz"/>
            <w:sz w:val="24"/>
            <w:szCs w:val="20"/>
            <w:lang w:eastAsia="ar-SA"/>
          </w:rPr>
          <w:t>č. 2</w:t>
        </w:r>
      </w:hyperlink>
      <w:r w:rsidRPr="00EB3161">
        <w:rPr>
          <w:sz w:val="24"/>
          <w:szCs w:val="20"/>
          <w:lang w:eastAsia="ar-SA"/>
        </w:rPr>
        <w:t xml:space="preserve"> tohoto</w:t>
      </w:r>
      <w:proofErr w:type="gramEnd"/>
      <w:r w:rsidRPr="00EB3161">
        <w:rPr>
          <w:sz w:val="24"/>
          <w:szCs w:val="20"/>
          <w:lang w:eastAsia="ar-SA"/>
        </w:rPr>
        <w:t xml:space="preserve"> materiálu. Seznam žadatelů, kterým se poskytnutí dotace nenavrhuje, je uveden v </w:t>
      </w:r>
      <w:hyperlink r:id="rId15" w:history="1">
        <w:r w:rsidRPr="00E02BAE">
          <w:rPr>
            <w:rStyle w:val="Hypertextovodkaz"/>
            <w:sz w:val="24"/>
            <w:szCs w:val="20"/>
            <w:lang w:eastAsia="ar-SA"/>
          </w:rPr>
          <w:t xml:space="preserve">příloze </w:t>
        </w:r>
        <w:proofErr w:type="gramStart"/>
        <w:r w:rsidRPr="00E02BAE">
          <w:rPr>
            <w:rStyle w:val="Hypertextovodkaz"/>
            <w:sz w:val="24"/>
            <w:szCs w:val="20"/>
            <w:lang w:eastAsia="ar-SA"/>
          </w:rPr>
          <w:t>č. 3</w:t>
        </w:r>
      </w:hyperlink>
      <w:r w:rsidRPr="00EB3161">
        <w:rPr>
          <w:sz w:val="24"/>
          <w:szCs w:val="20"/>
          <w:lang w:eastAsia="ar-SA"/>
        </w:rPr>
        <w:t xml:space="preserve"> tohoto</w:t>
      </w:r>
      <w:proofErr w:type="gramEnd"/>
      <w:r w:rsidRPr="00EB3161">
        <w:rPr>
          <w:sz w:val="24"/>
          <w:szCs w:val="20"/>
          <w:lang w:eastAsia="ar-SA"/>
        </w:rPr>
        <w:t xml:space="preserve"> materiálu. </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 xml:space="preserve">Poskytnutí předmětných dotací </w:t>
      </w:r>
      <w:r w:rsidR="00246594">
        <w:rPr>
          <w:sz w:val="24"/>
          <w:szCs w:val="20"/>
          <w:lang w:eastAsia="ar-SA"/>
        </w:rPr>
        <w:t>ne</w:t>
      </w:r>
      <w:r w:rsidRPr="00EB3161">
        <w:rPr>
          <w:sz w:val="24"/>
          <w:szCs w:val="20"/>
          <w:lang w:eastAsia="ar-SA"/>
        </w:rPr>
        <w:t>představ</w:t>
      </w:r>
      <w:r w:rsidR="00246594">
        <w:rPr>
          <w:sz w:val="24"/>
          <w:szCs w:val="20"/>
          <w:lang w:eastAsia="ar-SA"/>
        </w:rPr>
        <w:t>uje</w:t>
      </w:r>
      <w:r w:rsidRPr="00EB3161">
        <w:rPr>
          <w:sz w:val="24"/>
          <w:szCs w:val="20"/>
          <w:lang w:eastAsia="ar-SA"/>
        </w:rPr>
        <w:t xml:space="preserve"> veřejnou podporu.</w:t>
      </w:r>
    </w:p>
    <w:p w:rsidR="00EB3161" w:rsidRPr="00EB3161" w:rsidRDefault="00EB3161" w:rsidP="00EB3161">
      <w:pPr>
        <w:suppressAutoHyphens/>
        <w:overflowPunct w:val="0"/>
        <w:autoSpaceDE w:val="0"/>
        <w:spacing w:after="120"/>
        <w:jc w:val="both"/>
        <w:textAlignment w:val="baseline"/>
        <w:rPr>
          <w:sz w:val="24"/>
          <w:szCs w:val="20"/>
          <w:lang w:eastAsia="ar-SA"/>
        </w:rPr>
      </w:pPr>
      <w:r w:rsidRPr="00EB3161">
        <w:rPr>
          <w:sz w:val="24"/>
          <w:szCs w:val="20"/>
          <w:lang w:eastAsia="ar-SA"/>
        </w:rPr>
        <w:t xml:space="preserve">Žadatelům o dotaci, jejichž projekty budou zastupitelstvem kraje schváleny jako náhradní, může být dotace poskytnuta postupem podle čl. XI odst. 8 a 9 Programu, tj. z prostředků, které eventuálně nebudou čerpány na poskytnutí dotací žadatelům dle bodu 1) navrženého usnesení nebo které tito žadatelé případně vrátí. Podle zmíněného ustanovení dotačního programu se při určování vhodnosti náhradního žadatele postupuje vždy tak, že se vyzve pro přidělení dotace první náhradní žadatel dle pořadníku náhradních žadatelů schváleného zastupitelstvem kraje. V případě písemného souhlasu náhradníka s výší dotace, kterou může poskytovatel podpořit jeho projekt, je zaslán náhradníkovi návrh dotační smlouvy a je vyzván k předložení dokladů uvedených v dotačním programu. Jestliže náhradník přijme dotaci, jejíž výše nedosáhne částky jím původně požadované, musí dodržet plánovaný záměr projektu dle předložené žádosti, procentní podíl dotace na uznatelných nákladech projektu se stanoví jako podíl částky dotace, jež byla určena původnímu příjemci, </w:t>
      </w:r>
      <w:r w:rsidRPr="00EB3161">
        <w:rPr>
          <w:sz w:val="24"/>
          <w:szCs w:val="20"/>
          <w:lang w:eastAsia="ar-SA"/>
        </w:rPr>
        <w:lastRenderedPageBreak/>
        <w:t>a</w:t>
      </w:r>
      <w:r w:rsidR="00541F40">
        <w:rPr>
          <w:sz w:val="24"/>
          <w:szCs w:val="20"/>
          <w:lang w:eastAsia="ar-SA"/>
        </w:rPr>
        <w:t> </w:t>
      </w:r>
      <w:r w:rsidRPr="00EB3161">
        <w:rPr>
          <w:sz w:val="24"/>
          <w:szCs w:val="20"/>
          <w:lang w:eastAsia="ar-SA"/>
        </w:rPr>
        <w:t>předpokládané výše uznatelných nákladů projektu předloženého náhradním příjemcem. Pro poskytnutí dotace musí náhradní žadatel splnit též další předpoklady stanovené podmínkami Programu, například musí před uzavřením smlouvy o</w:t>
      </w:r>
      <w:r w:rsidR="00541F40">
        <w:rPr>
          <w:sz w:val="24"/>
          <w:szCs w:val="20"/>
          <w:lang w:eastAsia="ar-SA"/>
        </w:rPr>
        <w:t> </w:t>
      </w:r>
      <w:r w:rsidRPr="00EB3161">
        <w:rPr>
          <w:sz w:val="24"/>
          <w:szCs w:val="20"/>
          <w:lang w:eastAsia="ar-SA"/>
        </w:rPr>
        <w:t>poskytnutí dotace z rozpočtu Moravskoslezského kraje doložit doklady podle čl. XI odst. 2 Programu (bezdlužnost, potvrzení o bankovním spojení atd.).</w:t>
      </w:r>
    </w:p>
    <w:p w:rsidR="00DA42F3" w:rsidRPr="00DA42F3" w:rsidRDefault="00DA42F3" w:rsidP="00DA42F3">
      <w:pPr>
        <w:spacing w:before="120" w:after="120"/>
        <w:jc w:val="both"/>
        <w:rPr>
          <w:sz w:val="24"/>
        </w:rPr>
      </w:pPr>
      <w:r w:rsidRPr="00DA42F3">
        <w:rPr>
          <w:sz w:val="24"/>
        </w:rPr>
        <w:t>Poskytnutí dotací v rámci tohoto dotačního programu přispěje k vytváření pozitivního image Moravskoslezského kraje v oblasti ochrany životního prostředí.</w:t>
      </w:r>
    </w:p>
    <w:p w:rsidR="00DA42F3" w:rsidRPr="00DA42F3" w:rsidRDefault="00DA42F3" w:rsidP="00DA42F3">
      <w:pPr>
        <w:spacing w:after="120"/>
        <w:jc w:val="both"/>
        <w:rPr>
          <w:sz w:val="24"/>
        </w:rPr>
      </w:pPr>
      <w:r w:rsidRPr="00DA42F3">
        <w:rPr>
          <w:sz w:val="24"/>
        </w:rPr>
        <w:t xml:space="preserve">S ohledem na vše </w:t>
      </w:r>
      <w:r w:rsidRPr="00D66C5B">
        <w:rPr>
          <w:sz w:val="24"/>
        </w:rPr>
        <w:t xml:space="preserve">uvedené </w:t>
      </w:r>
      <w:r w:rsidR="00D66C5B">
        <w:rPr>
          <w:sz w:val="24"/>
        </w:rPr>
        <w:t>r</w:t>
      </w:r>
      <w:r w:rsidR="00D66C5B" w:rsidRPr="009E6F3C">
        <w:rPr>
          <w:sz w:val="24"/>
        </w:rPr>
        <w:t>ada kraje doporučuje zastupitelstvu kraje</w:t>
      </w:r>
      <w:r w:rsidRPr="00D66C5B">
        <w:rPr>
          <w:sz w:val="24"/>
        </w:rPr>
        <w:t xml:space="preserve"> přijmout</w:t>
      </w:r>
      <w:r w:rsidRPr="00DA42F3">
        <w:rPr>
          <w:sz w:val="24"/>
        </w:rPr>
        <w:t xml:space="preserve"> usnesení podle tohoto materiálu.</w:t>
      </w:r>
    </w:p>
    <w:p w:rsidR="0011487C" w:rsidRDefault="0011487C" w:rsidP="0011487C">
      <w:pPr>
        <w:pStyle w:val="Zkladntext3"/>
        <w:spacing w:after="120" w:line="280" w:lineRule="exact"/>
        <w:rPr>
          <w:rFonts w:cs="Tahoma"/>
          <w:sz w:val="24"/>
          <w:szCs w:val="24"/>
          <w:u w:val="single"/>
        </w:rPr>
      </w:pPr>
    </w:p>
    <w:p w:rsidR="005E69D5" w:rsidRDefault="005E69D5">
      <w:pPr>
        <w:spacing w:after="200" w:line="276" w:lineRule="auto"/>
        <w:rPr>
          <w:sz w:val="24"/>
          <w:u w:val="single"/>
        </w:rPr>
      </w:pPr>
      <w:r>
        <w:rPr>
          <w:sz w:val="24"/>
          <w:u w:val="single"/>
        </w:rPr>
        <w:br w:type="page"/>
      </w:r>
    </w:p>
    <w:p w:rsidR="0011487C" w:rsidRDefault="0011487C" w:rsidP="009E6F3C">
      <w:pPr>
        <w:pStyle w:val="Zkladntext3"/>
        <w:spacing w:line="280" w:lineRule="exact"/>
        <w:rPr>
          <w:rFonts w:cs="Tahoma"/>
          <w:sz w:val="24"/>
          <w:szCs w:val="24"/>
          <w:u w:val="single"/>
        </w:rPr>
      </w:pPr>
      <w:r>
        <w:rPr>
          <w:rFonts w:cs="Tahoma"/>
          <w:sz w:val="24"/>
          <w:szCs w:val="24"/>
          <w:u w:val="single"/>
        </w:rPr>
        <w:lastRenderedPageBreak/>
        <w:t>Výpis z usnesení schůze rady kraje konané dne 17.</w:t>
      </w:r>
      <w:r w:rsidR="009A5FC2">
        <w:rPr>
          <w:rFonts w:cs="Tahoma"/>
          <w:sz w:val="24"/>
          <w:szCs w:val="24"/>
          <w:u w:val="single"/>
        </w:rPr>
        <w:t> </w:t>
      </w:r>
      <w:r>
        <w:rPr>
          <w:rFonts w:cs="Tahoma"/>
          <w:sz w:val="24"/>
          <w:szCs w:val="24"/>
          <w:u w:val="single"/>
        </w:rPr>
        <w:t>2.</w:t>
      </w:r>
      <w:r w:rsidR="009A5FC2">
        <w:rPr>
          <w:rFonts w:cs="Tahoma"/>
          <w:sz w:val="24"/>
          <w:szCs w:val="24"/>
          <w:u w:val="single"/>
        </w:rPr>
        <w:t> </w:t>
      </w:r>
      <w:r>
        <w:rPr>
          <w:rFonts w:cs="Tahoma"/>
          <w:sz w:val="24"/>
          <w:szCs w:val="24"/>
          <w:u w:val="single"/>
        </w:rPr>
        <w:t>201</w:t>
      </w:r>
      <w:r w:rsidR="00EB3161">
        <w:rPr>
          <w:rFonts w:cs="Tahoma"/>
          <w:sz w:val="24"/>
          <w:szCs w:val="24"/>
          <w:u w:val="single"/>
        </w:rPr>
        <w:t>5</w:t>
      </w:r>
      <w:r>
        <w:rPr>
          <w:rFonts w:cs="Tahoma"/>
          <w:sz w:val="24"/>
          <w:szCs w:val="24"/>
          <w:u w:val="single"/>
        </w:rPr>
        <w:t>:</w:t>
      </w:r>
    </w:p>
    <w:p w:rsidR="0098335E" w:rsidRDefault="0098335E" w:rsidP="005F020D">
      <w:pPr>
        <w:spacing w:line="280" w:lineRule="exact"/>
        <w:rPr>
          <w:sz w:val="24"/>
        </w:rPr>
      </w:pPr>
    </w:p>
    <w:p w:rsidR="00DA42F3" w:rsidRDefault="00DA42F3" w:rsidP="005F020D">
      <w:pPr>
        <w:spacing w:line="280" w:lineRule="exact"/>
        <w:rPr>
          <w:sz w:val="24"/>
        </w:rPr>
      </w:pPr>
      <w:r w:rsidRPr="00DA42F3">
        <w:rPr>
          <w:sz w:val="24"/>
        </w:rPr>
        <w:t>Rada kraje</w:t>
      </w:r>
    </w:p>
    <w:p w:rsidR="005F020D" w:rsidRPr="009E6F3C" w:rsidRDefault="005F020D" w:rsidP="005F020D">
      <w:pPr>
        <w:spacing w:line="280" w:lineRule="exact"/>
        <w:rPr>
          <w:sz w:val="24"/>
        </w:rPr>
      </w:pPr>
    </w:p>
    <w:p w:rsidR="00EB3161" w:rsidRPr="00EB3161" w:rsidRDefault="00EB3161" w:rsidP="00EB3161">
      <w:pPr>
        <w:spacing w:line="280" w:lineRule="exact"/>
        <w:rPr>
          <w:sz w:val="24"/>
        </w:rPr>
      </w:pPr>
      <w:r w:rsidRPr="00EB3161">
        <w:rPr>
          <w:sz w:val="24"/>
        </w:rPr>
        <w:t>k usnesení rady kraje</w:t>
      </w:r>
      <w:r w:rsidRPr="00EB3161">
        <w:rPr>
          <w:sz w:val="24"/>
        </w:rPr>
        <w:tab/>
      </w:r>
      <w:r w:rsidRPr="00EB3161">
        <w:rPr>
          <w:sz w:val="24"/>
        </w:rPr>
        <w:tab/>
      </w:r>
      <w:r w:rsidRPr="00EB3161">
        <w:rPr>
          <w:sz w:val="24"/>
        </w:rPr>
        <w:tab/>
        <w:t>č. 57/4539</w:t>
      </w:r>
      <w:r w:rsidRPr="00EB3161">
        <w:rPr>
          <w:sz w:val="24"/>
        </w:rPr>
        <w:tab/>
      </w:r>
      <w:r w:rsidRPr="00EB3161">
        <w:rPr>
          <w:sz w:val="24"/>
        </w:rPr>
        <w:tab/>
      </w:r>
      <w:r>
        <w:rPr>
          <w:sz w:val="24"/>
        </w:rPr>
        <w:t xml:space="preserve">       </w:t>
      </w:r>
      <w:r w:rsidRPr="00EB3161">
        <w:rPr>
          <w:sz w:val="24"/>
        </w:rPr>
        <w:t>ze dne 11. 12. 2014</w:t>
      </w:r>
    </w:p>
    <w:p w:rsidR="00DA42F3" w:rsidRDefault="00EB3161" w:rsidP="00EB3161">
      <w:pPr>
        <w:spacing w:line="280" w:lineRule="exact"/>
        <w:rPr>
          <w:sz w:val="24"/>
        </w:rPr>
      </w:pPr>
      <w:r w:rsidRPr="00EB3161">
        <w:rPr>
          <w:sz w:val="24"/>
        </w:rPr>
        <w:t>k usnesení zastupitelstva kraje</w:t>
      </w:r>
      <w:r w:rsidRPr="00EB3161">
        <w:rPr>
          <w:sz w:val="24"/>
        </w:rPr>
        <w:tab/>
      </w:r>
      <w:r w:rsidRPr="00EB3161">
        <w:rPr>
          <w:sz w:val="24"/>
        </w:rPr>
        <w:tab/>
        <w:t>č. 12/996</w:t>
      </w:r>
      <w:r w:rsidRPr="00EB3161">
        <w:rPr>
          <w:sz w:val="24"/>
        </w:rPr>
        <w:tab/>
      </w:r>
      <w:r w:rsidRPr="00EB3161">
        <w:rPr>
          <w:sz w:val="24"/>
        </w:rPr>
        <w:tab/>
      </w:r>
      <w:r>
        <w:rPr>
          <w:sz w:val="24"/>
        </w:rPr>
        <w:t xml:space="preserve">       </w:t>
      </w:r>
      <w:r w:rsidRPr="00EB3161">
        <w:rPr>
          <w:sz w:val="24"/>
        </w:rPr>
        <w:t>ze dne 11. 12. 2014</w:t>
      </w:r>
    </w:p>
    <w:p w:rsidR="00EB3161" w:rsidRDefault="00EB3161" w:rsidP="00EB3161">
      <w:pPr>
        <w:spacing w:line="280" w:lineRule="exact"/>
        <w:rPr>
          <w:sz w:val="24"/>
        </w:rPr>
      </w:pPr>
    </w:p>
    <w:p w:rsidR="00EB3161" w:rsidRPr="00EB3161" w:rsidRDefault="00EB3161" w:rsidP="00EB3161">
      <w:pPr>
        <w:spacing w:line="280" w:lineRule="exact"/>
        <w:rPr>
          <w:sz w:val="24"/>
        </w:rPr>
      </w:pPr>
      <w:r w:rsidRPr="00EB3161">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B3161" w:rsidRPr="00EB3161" w:rsidTr="00A84AD4">
        <w:tc>
          <w:tcPr>
            <w:tcW w:w="496" w:type="dxa"/>
          </w:tcPr>
          <w:p w:rsidR="00EB3161" w:rsidRPr="00EB3161" w:rsidRDefault="00EB3161" w:rsidP="00EB3161">
            <w:pPr>
              <w:rPr>
                <w:sz w:val="24"/>
              </w:rPr>
            </w:pPr>
          </w:p>
        </w:tc>
        <w:tc>
          <w:tcPr>
            <w:tcW w:w="8716" w:type="dxa"/>
          </w:tcPr>
          <w:p w:rsidR="00EB3161" w:rsidRPr="00EB3161" w:rsidRDefault="00E0220C" w:rsidP="00EB3161">
            <w:pPr>
              <w:rPr>
                <w:sz w:val="24"/>
              </w:rPr>
            </w:pPr>
            <w:r w:rsidRPr="00E0220C">
              <w:rPr>
                <w:sz w:val="24"/>
              </w:rPr>
              <w:t>62/4878</w:t>
            </w:r>
          </w:p>
        </w:tc>
      </w:tr>
      <w:tr w:rsidR="00EB3161" w:rsidRPr="00EB3161" w:rsidTr="00A84AD4">
        <w:trPr>
          <w:trHeight w:val="1695"/>
        </w:trPr>
        <w:tc>
          <w:tcPr>
            <w:tcW w:w="496" w:type="dxa"/>
          </w:tcPr>
          <w:p w:rsidR="00EB3161" w:rsidRPr="00EB3161" w:rsidRDefault="00EB3161" w:rsidP="00EB3161">
            <w:pPr>
              <w:rPr>
                <w:sz w:val="24"/>
              </w:rPr>
            </w:pPr>
            <w:r w:rsidRPr="00EB3161">
              <w:rPr>
                <w:sz w:val="24"/>
              </w:rPr>
              <w:t>1)</w:t>
            </w:r>
          </w:p>
        </w:tc>
        <w:tc>
          <w:tcPr>
            <w:tcW w:w="8716" w:type="dxa"/>
          </w:tcPr>
          <w:p w:rsidR="00EB3161" w:rsidRPr="00EB3161" w:rsidRDefault="00EB3161" w:rsidP="00EB3161">
            <w:pPr>
              <w:jc w:val="both"/>
              <w:rPr>
                <w:spacing w:val="80"/>
                <w:sz w:val="24"/>
                <w:szCs w:val="28"/>
              </w:rPr>
            </w:pPr>
            <w:r w:rsidRPr="00EB3161">
              <w:rPr>
                <w:spacing w:val="80"/>
                <w:sz w:val="24"/>
                <w:szCs w:val="28"/>
              </w:rPr>
              <w:t>doporučuje</w:t>
            </w:r>
          </w:p>
          <w:p w:rsidR="00EB3161" w:rsidRPr="00EB3161" w:rsidRDefault="00EB3161" w:rsidP="00EB3161">
            <w:pPr>
              <w:jc w:val="both"/>
              <w:rPr>
                <w:sz w:val="24"/>
              </w:rPr>
            </w:pPr>
          </w:p>
          <w:p w:rsidR="00EB3161" w:rsidRPr="00EB3161" w:rsidRDefault="00EB3161" w:rsidP="00EB3161">
            <w:pPr>
              <w:jc w:val="both"/>
              <w:rPr>
                <w:sz w:val="24"/>
              </w:rPr>
            </w:pPr>
            <w:r w:rsidRPr="00EB3161">
              <w:rPr>
                <w:sz w:val="24"/>
              </w:rPr>
              <w:t>zastupitelstvu kraje</w:t>
            </w:r>
          </w:p>
          <w:p w:rsidR="00EB3161" w:rsidRPr="00EB3161" w:rsidRDefault="00EB3161" w:rsidP="00EB3161">
            <w:pPr>
              <w:jc w:val="both"/>
              <w:rPr>
                <w:sz w:val="24"/>
              </w:rPr>
            </w:pPr>
            <w:r w:rsidRPr="00EB3161">
              <w:rPr>
                <w:sz w:val="24"/>
              </w:rPr>
              <w:t xml:space="preserve">rozhodnout </w:t>
            </w:r>
          </w:p>
          <w:p w:rsidR="00EB3161" w:rsidRPr="00EB3161" w:rsidRDefault="00EB3161" w:rsidP="00EB3161">
            <w:pPr>
              <w:jc w:val="both"/>
              <w:rPr>
                <w:sz w:val="24"/>
              </w:rPr>
            </w:pPr>
            <w:r w:rsidRPr="00EB3161">
              <w:rPr>
                <w:sz w:val="24"/>
              </w:rPr>
              <w:t xml:space="preserve">poskytnout </w:t>
            </w:r>
            <w:r w:rsidRPr="00EB3161">
              <w:rPr>
                <w:snapToGrid w:val="0"/>
                <w:sz w:val="24"/>
                <w:szCs w:val="20"/>
              </w:rPr>
              <w:t>účelové dotace z rozpočtu Moravskoslezského kraje na rok 2015 v rámci dotačního programu Podpora dobrovolných aktivit v oblasti udržitelného rozvoje pro rok 2015 dle přílohy č. 1</w:t>
            </w:r>
            <w:r w:rsidRPr="00EB3161">
              <w:rPr>
                <w:sz w:val="24"/>
              </w:rPr>
              <w:t xml:space="preserve"> předloženého materiálu</w:t>
            </w:r>
          </w:p>
        </w:tc>
      </w:tr>
    </w:tbl>
    <w:p w:rsidR="00EB3161" w:rsidRDefault="00EB3161" w:rsidP="00EB3161">
      <w:pPr>
        <w:spacing w:line="280" w:lineRule="exact"/>
        <w:rPr>
          <w:sz w:val="24"/>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EB3161" w:rsidRPr="00EB3161" w:rsidTr="00A84AD4">
        <w:trPr>
          <w:trHeight w:val="204"/>
        </w:trPr>
        <w:tc>
          <w:tcPr>
            <w:tcW w:w="496" w:type="dxa"/>
          </w:tcPr>
          <w:p w:rsidR="00EB3161" w:rsidRPr="00EB3161" w:rsidRDefault="00EB3161" w:rsidP="00EB3161">
            <w:pPr>
              <w:rPr>
                <w:sz w:val="24"/>
              </w:rPr>
            </w:pPr>
          </w:p>
        </w:tc>
        <w:tc>
          <w:tcPr>
            <w:tcW w:w="8716" w:type="dxa"/>
          </w:tcPr>
          <w:p w:rsidR="00EB3161" w:rsidRPr="00EB3161" w:rsidRDefault="00E0220C" w:rsidP="00EB3161">
            <w:pPr>
              <w:rPr>
                <w:sz w:val="24"/>
              </w:rPr>
            </w:pPr>
            <w:r w:rsidRPr="00E0220C">
              <w:rPr>
                <w:sz w:val="24"/>
              </w:rPr>
              <w:t>62/4878</w:t>
            </w:r>
          </w:p>
        </w:tc>
      </w:tr>
      <w:tr w:rsidR="00EB3161" w:rsidRPr="00EB3161" w:rsidTr="00A84AD4">
        <w:trPr>
          <w:cantSplit/>
          <w:trHeight w:val="1181"/>
        </w:trPr>
        <w:tc>
          <w:tcPr>
            <w:tcW w:w="496" w:type="dxa"/>
          </w:tcPr>
          <w:p w:rsidR="00EB3161" w:rsidRPr="00EB3161" w:rsidRDefault="00EB3161" w:rsidP="00EB3161">
            <w:pPr>
              <w:rPr>
                <w:sz w:val="24"/>
                <w:szCs w:val="28"/>
              </w:rPr>
            </w:pPr>
            <w:r w:rsidRPr="00EB3161">
              <w:rPr>
                <w:sz w:val="24"/>
                <w:szCs w:val="28"/>
              </w:rPr>
              <w:t>2)</w:t>
            </w: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rPr>
                <w:sz w:val="24"/>
              </w:rPr>
            </w:pPr>
          </w:p>
        </w:tc>
        <w:tc>
          <w:tcPr>
            <w:tcW w:w="8716" w:type="dxa"/>
            <w:tcBorders>
              <w:bottom w:val="nil"/>
            </w:tcBorders>
          </w:tcPr>
          <w:p w:rsidR="00EB3161" w:rsidRPr="00EB3161" w:rsidRDefault="00EB3161" w:rsidP="00EB3161">
            <w:pPr>
              <w:jc w:val="both"/>
              <w:rPr>
                <w:spacing w:val="80"/>
                <w:sz w:val="24"/>
                <w:szCs w:val="28"/>
              </w:rPr>
            </w:pPr>
            <w:r w:rsidRPr="00EB3161">
              <w:rPr>
                <w:spacing w:val="80"/>
                <w:sz w:val="24"/>
                <w:szCs w:val="28"/>
              </w:rPr>
              <w:t>doporučuje</w:t>
            </w:r>
          </w:p>
          <w:p w:rsidR="00EB3161" w:rsidRPr="00EB3161" w:rsidRDefault="00EB3161" w:rsidP="00EB3161">
            <w:pPr>
              <w:tabs>
                <w:tab w:val="left" w:pos="5040"/>
              </w:tabs>
              <w:rPr>
                <w:sz w:val="24"/>
              </w:rPr>
            </w:pPr>
          </w:p>
          <w:p w:rsidR="00EB3161" w:rsidRPr="00EB3161" w:rsidRDefault="00EB3161" w:rsidP="00EB3161">
            <w:pPr>
              <w:jc w:val="both"/>
              <w:rPr>
                <w:sz w:val="24"/>
              </w:rPr>
            </w:pPr>
            <w:r w:rsidRPr="00EB3161">
              <w:rPr>
                <w:sz w:val="24"/>
              </w:rPr>
              <w:t>zastupitelstvu kraje</w:t>
            </w:r>
          </w:p>
          <w:p w:rsidR="00EB3161" w:rsidRPr="00EB3161" w:rsidRDefault="00EB3161" w:rsidP="00E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EB3161">
              <w:rPr>
                <w:sz w:val="24"/>
              </w:rPr>
              <w:t xml:space="preserve">rozhodnout </w:t>
            </w:r>
          </w:p>
          <w:p w:rsidR="00EB3161" w:rsidRPr="00EB3161" w:rsidRDefault="00EB3161" w:rsidP="00E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B3161">
              <w:rPr>
                <w:sz w:val="24"/>
              </w:rPr>
              <w:t>poskytnout účelové dotace z rozpočtu Moravskoslezského kraje na rok 2015 v rámci dotačního programu Podpora dobrovolných aktivit v oblasti udržitelného rozvoje pro rok 2015 náhradním žadatelům uvedeným v příloze č. 2 předloženého materiálu postupem podle čl. XI odst. 8 a 9 tohoto dotačního programu</w:t>
            </w:r>
          </w:p>
        </w:tc>
      </w:tr>
    </w:tbl>
    <w:p w:rsidR="00EB3161" w:rsidRPr="00EB3161" w:rsidRDefault="00EB3161" w:rsidP="00EB3161">
      <w:pPr>
        <w:spacing w:line="280" w:lineRule="exact"/>
        <w:rPr>
          <w:sz w:val="24"/>
        </w:rPr>
      </w:pPr>
      <w:r w:rsidRPr="00EB3161">
        <w:rPr>
          <w:sz w:val="24"/>
        </w:rPr>
        <w:tab/>
      </w:r>
    </w:p>
    <w:tbl>
      <w:tblPr>
        <w:tblW w:w="0" w:type="auto"/>
        <w:tblLayout w:type="fixed"/>
        <w:tblCellMar>
          <w:left w:w="70" w:type="dxa"/>
          <w:right w:w="70" w:type="dxa"/>
        </w:tblCellMar>
        <w:tblLook w:val="0000" w:firstRow="0" w:lastRow="0" w:firstColumn="0" w:lastColumn="0" w:noHBand="0" w:noVBand="0"/>
      </w:tblPr>
      <w:tblGrid>
        <w:gridCol w:w="496"/>
        <w:gridCol w:w="8716"/>
      </w:tblGrid>
      <w:tr w:rsidR="00EB3161" w:rsidRPr="00EB3161" w:rsidTr="00A84AD4">
        <w:trPr>
          <w:trHeight w:val="204"/>
        </w:trPr>
        <w:tc>
          <w:tcPr>
            <w:tcW w:w="496" w:type="dxa"/>
          </w:tcPr>
          <w:p w:rsidR="00EB3161" w:rsidRPr="00EB3161" w:rsidRDefault="00EB3161" w:rsidP="00EB3161">
            <w:pPr>
              <w:rPr>
                <w:sz w:val="24"/>
              </w:rPr>
            </w:pPr>
          </w:p>
        </w:tc>
        <w:tc>
          <w:tcPr>
            <w:tcW w:w="8716" w:type="dxa"/>
          </w:tcPr>
          <w:p w:rsidR="00EB3161" w:rsidRPr="00EB3161" w:rsidRDefault="00E0220C" w:rsidP="00EB3161">
            <w:pPr>
              <w:rPr>
                <w:sz w:val="24"/>
              </w:rPr>
            </w:pPr>
            <w:r w:rsidRPr="00E0220C">
              <w:rPr>
                <w:sz w:val="24"/>
              </w:rPr>
              <w:t>62/4878</w:t>
            </w:r>
          </w:p>
        </w:tc>
      </w:tr>
      <w:tr w:rsidR="00EB3161" w:rsidRPr="00EB3161" w:rsidTr="00A84AD4">
        <w:trPr>
          <w:cantSplit/>
          <w:trHeight w:val="1181"/>
        </w:trPr>
        <w:tc>
          <w:tcPr>
            <w:tcW w:w="496" w:type="dxa"/>
          </w:tcPr>
          <w:p w:rsidR="00EB3161" w:rsidRPr="00EB3161" w:rsidRDefault="00EB3161" w:rsidP="00EB3161">
            <w:pPr>
              <w:rPr>
                <w:sz w:val="24"/>
                <w:szCs w:val="28"/>
              </w:rPr>
            </w:pPr>
            <w:r w:rsidRPr="00EB3161">
              <w:rPr>
                <w:sz w:val="24"/>
                <w:szCs w:val="28"/>
              </w:rPr>
              <w:t>3)</w:t>
            </w: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jc w:val="right"/>
              <w:rPr>
                <w:sz w:val="24"/>
              </w:rPr>
            </w:pPr>
          </w:p>
          <w:p w:rsidR="00EB3161" w:rsidRPr="00EB3161" w:rsidRDefault="00EB3161" w:rsidP="00EB3161">
            <w:pPr>
              <w:rPr>
                <w:sz w:val="24"/>
              </w:rPr>
            </w:pPr>
          </w:p>
        </w:tc>
        <w:tc>
          <w:tcPr>
            <w:tcW w:w="8716" w:type="dxa"/>
            <w:tcBorders>
              <w:bottom w:val="nil"/>
            </w:tcBorders>
          </w:tcPr>
          <w:p w:rsidR="00EB3161" w:rsidRPr="00EB3161" w:rsidRDefault="00EB3161" w:rsidP="00EB3161">
            <w:pPr>
              <w:jc w:val="both"/>
              <w:rPr>
                <w:spacing w:val="80"/>
                <w:sz w:val="24"/>
                <w:szCs w:val="28"/>
              </w:rPr>
            </w:pPr>
            <w:r w:rsidRPr="00EB3161">
              <w:rPr>
                <w:spacing w:val="80"/>
                <w:sz w:val="24"/>
                <w:szCs w:val="28"/>
              </w:rPr>
              <w:t>doporučuje</w:t>
            </w:r>
          </w:p>
          <w:p w:rsidR="00EB3161" w:rsidRPr="00EB3161" w:rsidRDefault="00EB3161" w:rsidP="00EB3161">
            <w:pPr>
              <w:tabs>
                <w:tab w:val="left" w:pos="5040"/>
              </w:tabs>
              <w:rPr>
                <w:sz w:val="24"/>
              </w:rPr>
            </w:pPr>
          </w:p>
          <w:p w:rsidR="00EB3161" w:rsidRPr="00EB3161" w:rsidRDefault="00EB3161" w:rsidP="00EB3161">
            <w:pPr>
              <w:jc w:val="both"/>
              <w:rPr>
                <w:sz w:val="24"/>
              </w:rPr>
            </w:pPr>
            <w:r w:rsidRPr="00EB3161">
              <w:rPr>
                <w:sz w:val="24"/>
              </w:rPr>
              <w:t>zastupitelstvu kraje</w:t>
            </w:r>
          </w:p>
          <w:p w:rsidR="00EB3161" w:rsidRPr="00EB3161" w:rsidRDefault="00EB3161" w:rsidP="00EB3161">
            <w:pPr>
              <w:jc w:val="both"/>
              <w:rPr>
                <w:sz w:val="24"/>
              </w:rPr>
            </w:pPr>
            <w:r w:rsidRPr="00EB3161">
              <w:rPr>
                <w:sz w:val="24"/>
              </w:rPr>
              <w:t xml:space="preserve">rozhodnout </w:t>
            </w:r>
          </w:p>
          <w:p w:rsidR="00EB3161" w:rsidRPr="00EB3161" w:rsidRDefault="00EB3161" w:rsidP="00EB3161">
            <w:pPr>
              <w:jc w:val="both"/>
              <w:rPr>
                <w:sz w:val="24"/>
              </w:rPr>
            </w:pPr>
            <w:r w:rsidRPr="00EB3161">
              <w:rPr>
                <w:sz w:val="24"/>
              </w:rPr>
              <w:t>neposkytnout účelové dotace z rozpočtu Moravskoslezského kraje na rok 2015 v rámci dotačního programu Podpora dobrovolných aktivit v oblasti udržitelného rozvoje pro rok 2015 žadatelům dle přílohy č. 3 předloženého materiálu</w:t>
            </w:r>
          </w:p>
        </w:tc>
      </w:tr>
    </w:tbl>
    <w:p w:rsidR="00EB3161" w:rsidRPr="00EB3161" w:rsidRDefault="00EB3161" w:rsidP="00EB3161">
      <w:pPr>
        <w:rPr>
          <w:sz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B3161" w:rsidRPr="00EB3161" w:rsidTr="00A84AD4">
        <w:tc>
          <w:tcPr>
            <w:tcW w:w="496" w:type="dxa"/>
          </w:tcPr>
          <w:p w:rsidR="00EB3161" w:rsidRPr="00EB3161" w:rsidRDefault="00EB3161" w:rsidP="00EB3161">
            <w:pPr>
              <w:rPr>
                <w:sz w:val="24"/>
              </w:rPr>
            </w:pPr>
          </w:p>
        </w:tc>
        <w:tc>
          <w:tcPr>
            <w:tcW w:w="8716" w:type="dxa"/>
          </w:tcPr>
          <w:p w:rsidR="00EB3161" w:rsidRPr="00EB3161" w:rsidRDefault="00E0220C" w:rsidP="00EB3161">
            <w:pPr>
              <w:rPr>
                <w:sz w:val="24"/>
              </w:rPr>
            </w:pPr>
            <w:r w:rsidRPr="00E0220C">
              <w:rPr>
                <w:sz w:val="24"/>
              </w:rPr>
              <w:t>62/4878</w:t>
            </w:r>
          </w:p>
        </w:tc>
      </w:tr>
      <w:tr w:rsidR="00EB3161" w:rsidRPr="00EB3161" w:rsidTr="00A84AD4">
        <w:tc>
          <w:tcPr>
            <w:tcW w:w="496" w:type="dxa"/>
          </w:tcPr>
          <w:p w:rsidR="00EB3161" w:rsidRPr="00EB3161" w:rsidRDefault="00EB3161" w:rsidP="00EB3161">
            <w:pPr>
              <w:rPr>
                <w:sz w:val="24"/>
              </w:rPr>
            </w:pPr>
            <w:r w:rsidRPr="00EB3161">
              <w:rPr>
                <w:sz w:val="24"/>
              </w:rPr>
              <w:t>4)</w:t>
            </w:r>
          </w:p>
        </w:tc>
        <w:tc>
          <w:tcPr>
            <w:tcW w:w="8716" w:type="dxa"/>
          </w:tcPr>
          <w:p w:rsidR="00EB3161" w:rsidRPr="00EB3161" w:rsidRDefault="00EB3161" w:rsidP="00EB3161">
            <w:pPr>
              <w:jc w:val="both"/>
              <w:rPr>
                <w:spacing w:val="80"/>
                <w:sz w:val="24"/>
                <w:szCs w:val="28"/>
              </w:rPr>
            </w:pPr>
            <w:r w:rsidRPr="00EB3161">
              <w:rPr>
                <w:spacing w:val="80"/>
                <w:sz w:val="24"/>
                <w:szCs w:val="28"/>
              </w:rPr>
              <w:t>ukládá</w:t>
            </w:r>
          </w:p>
          <w:p w:rsidR="00EB3161" w:rsidRPr="00EB3161" w:rsidRDefault="00EB3161" w:rsidP="00EB3161">
            <w:pPr>
              <w:jc w:val="both"/>
              <w:rPr>
                <w:sz w:val="24"/>
              </w:rPr>
            </w:pPr>
          </w:p>
          <w:p w:rsidR="00EB3161" w:rsidRPr="00EB3161" w:rsidRDefault="00EB3161" w:rsidP="00EB3161">
            <w:pPr>
              <w:jc w:val="both"/>
              <w:rPr>
                <w:sz w:val="24"/>
              </w:rPr>
            </w:pPr>
            <w:r w:rsidRPr="00EB3161">
              <w:rPr>
                <w:sz w:val="24"/>
              </w:rPr>
              <w:t>náměstkovi hejtmana kraje</w:t>
            </w:r>
          </w:p>
          <w:p w:rsidR="00EB3161" w:rsidRPr="00EB3161" w:rsidRDefault="00EB3161" w:rsidP="00EB3161">
            <w:pPr>
              <w:jc w:val="both"/>
              <w:rPr>
                <w:sz w:val="24"/>
              </w:rPr>
            </w:pPr>
            <w:r w:rsidRPr="00EB3161">
              <w:rPr>
                <w:sz w:val="24"/>
              </w:rPr>
              <w:t>předložit doporučení dle bodů 1) až 3) tohoto usnesení zastupitelstvu kraje k rozhodnutí</w:t>
            </w:r>
          </w:p>
          <w:p w:rsidR="00EB3161" w:rsidRPr="00EB3161" w:rsidRDefault="00EB3161" w:rsidP="00EB3161">
            <w:pPr>
              <w:jc w:val="both"/>
              <w:rPr>
                <w:sz w:val="24"/>
              </w:rPr>
            </w:pPr>
            <w:r w:rsidRPr="00EB3161">
              <w:rPr>
                <w:sz w:val="24"/>
              </w:rPr>
              <w:t>Zodp.:   Mgr. Daniel Havlík</w:t>
            </w:r>
          </w:p>
          <w:p w:rsidR="00EB3161" w:rsidRPr="00EB3161" w:rsidRDefault="00EB3161" w:rsidP="00EB3161">
            <w:pPr>
              <w:jc w:val="both"/>
              <w:rPr>
                <w:sz w:val="24"/>
              </w:rPr>
            </w:pPr>
            <w:r w:rsidRPr="00EB3161">
              <w:rPr>
                <w:sz w:val="24"/>
              </w:rPr>
              <w:t>Termín: 5. 3. 2015</w:t>
            </w:r>
          </w:p>
        </w:tc>
      </w:tr>
    </w:tbl>
    <w:p w:rsidR="00EB3161" w:rsidRPr="00EB3161" w:rsidRDefault="00EB3161" w:rsidP="00EB3161">
      <w:pPr>
        <w:rPr>
          <w:sz w:val="24"/>
        </w:rPr>
      </w:pPr>
    </w:p>
    <w:p w:rsidR="00EB3161" w:rsidRPr="00EB3161" w:rsidRDefault="00EB3161" w:rsidP="00EB3161">
      <w:pPr>
        <w:rPr>
          <w:sz w:val="24"/>
        </w:rPr>
      </w:pPr>
    </w:p>
    <w:p w:rsidR="00EB3161" w:rsidRPr="00EB3161" w:rsidRDefault="00EB3161" w:rsidP="00EB3161">
      <w:pPr>
        <w:rPr>
          <w:sz w:val="24"/>
        </w:rPr>
      </w:pPr>
    </w:p>
    <w:tbl>
      <w:tblPr>
        <w:tblW w:w="9241" w:type="dxa"/>
        <w:tblLayout w:type="fixed"/>
        <w:tblCellMar>
          <w:left w:w="70" w:type="dxa"/>
          <w:right w:w="70" w:type="dxa"/>
        </w:tblCellMar>
        <w:tblLook w:val="0000" w:firstRow="0" w:lastRow="0" w:firstColumn="0" w:lastColumn="0" w:noHBand="0" w:noVBand="0"/>
      </w:tblPr>
      <w:tblGrid>
        <w:gridCol w:w="496"/>
        <w:gridCol w:w="1446"/>
        <w:gridCol w:w="4637"/>
        <w:gridCol w:w="360"/>
        <w:gridCol w:w="2302"/>
      </w:tblGrid>
      <w:tr w:rsidR="00EB3161" w:rsidRPr="00EB3161" w:rsidTr="00A84AD4">
        <w:tc>
          <w:tcPr>
            <w:tcW w:w="496" w:type="dxa"/>
          </w:tcPr>
          <w:p w:rsidR="00EB3161" w:rsidRPr="00EB3161" w:rsidRDefault="00EB3161" w:rsidP="00EB3161">
            <w:pPr>
              <w:rPr>
                <w:sz w:val="24"/>
              </w:rPr>
            </w:pPr>
          </w:p>
        </w:tc>
        <w:tc>
          <w:tcPr>
            <w:tcW w:w="8745" w:type="dxa"/>
            <w:gridSpan w:val="4"/>
          </w:tcPr>
          <w:p w:rsidR="00EB3161" w:rsidRPr="00EB3161" w:rsidRDefault="00E0220C" w:rsidP="00EB3161">
            <w:pPr>
              <w:rPr>
                <w:sz w:val="24"/>
              </w:rPr>
            </w:pPr>
            <w:r w:rsidRPr="00E0220C">
              <w:rPr>
                <w:sz w:val="24"/>
              </w:rPr>
              <w:t>62/4878</w:t>
            </w:r>
          </w:p>
        </w:tc>
      </w:tr>
      <w:tr w:rsidR="00EB3161" w:rsidRPr="00EB3161" w:rsidTr="00A84AD4">
        <w:tc>
          <w:tcPr>
            <w:tcW w:w="496" w:type="dxa"/>
          </w:tcPr>
          <w:p w:rsidR="00EB3161" w:rsidRPr="00EB3161" w:rsidRDefault="00EB3161" w:rsidP="00EB3161">
            <w:pPr>
              <w:rPr>
                <w:sz w:val="24"/>
              </w:rPr>
            </w:pPr>
            <w:r w:rsidRPr="00EB3161">
              <w:rPr>
                <w:sz w:val="24"/>
              </w:rPr>
              <w:t>5)</w:t>
            </w:r>
          </w:p>
        </w:tc>
        <w:tc>
          <w:tcPr>
            <w:tcW w:w="8745" w:type="dxa"/>
            <w:gridSpan w:val="4"/>
          </w:tcPr>
          <w:p w:rsidR="00EB3161" w:rsidRPr="00EB3161" w:rsidRDefault="00EB3161" w:rsidP="00EB3161">
            <w:pPr>
              <w:jc w:val="both"/>
              <w:rPr>
                <w:spacing w:val="80"/>
                <w:sz w:val="24"/>
                <w:szCs w:val="28"/>
              </w:rPr>
            </w:pPr>
            <w:r w:rsidRPr="00EB3161">
              <w:rPr>
                <w:spacing w:val="80"/>
                <w:sz w:val="24"/>
                <w:szCs w:val="28"/>
              </w:rPr>
              <w:t>schvaluje</w:t>
            </w:r>
          </w:p>
          <w:p w:rsidR="00EB3161" w:rsidRPr="00EB3161" w:rsidRDefault="00EB3161" w:rsidP="00EB3161">
            <w:pPr>
              <w:rPr>
                <w:sz w:val="24"/>
              </w:rPr>
            </w:pPr>
          </w:p>
          <w:p w:rsidR="00EB3161" w:rsidRPr="00EB3161" w:rsidRDefault="00EB3161" w:rsidP="00EB3161">
            <w:pPr>
              <w:rPr>
                <w:sz w:val="24"/>
              </w:rPr>
            </w:pPr>
            <w:proofErr w:type="gramStart"/>
            <w:r w:rsidRPr="00EB3161">
              <w:rPr>
                <w:sz w:val="24"/>
              </w:rPr>
              <w:t>rozpočtové</w:t>
            </w:r>
            <w:proofErr w:type="gramEnd"/>
            <w:r w:rsidRPr="00EB3161">
              <w:rPr>
                <w:sz w:val="24"/>
              </w:rPr>
              <w:t xml:space="preserve"> opatření, kterým </w:t>
            </w:r>
            <w:proofErr w:type="gramStart"/>
            <w:r w:rsidRPr="00EB3161">
              <w:rPr>
                <w:sz w:val="24"/>
              </w:rPr>
              <w:t>se</w:t>
            </w:r>
            <w:proofErr w:type="gramEnd"/>
          </w:p>
          <w:p w:rsidR="00EB3161" w:rsidRPr="00EB3161" w:rsidRDefault="00EB3161" w:rsidP="00EB3161">
            <w:pPr>
              <w:rPr>
                <w:sz w:val="24"/>
              </w:rPr>
            </w:pPr>
          </w:p>
          <w:p w:rsidR="00EB3161" w:rsidRPr="00EB3161" w:rsidRDefault="00EB3161" w:rsidP="00EB3161">
            <w:pPr>
              <w:jc w:val="both"/>
              <w:rPr>
                <w:spacing w:val="80"/>
                <w:sz w:val="24"/>
                <w:szCs w:val="28"/>
              </w:rPr>
            </w:pPr>
            <w:r w:rsidRPr="00EB3161">
              <w:rPr>
                <w:spacing w:val="80"/>
                <w:sz w:val="24"/>
                <w:szCs w:val="28"/>
              </w:rPr>
              <w:t>snižují</w:t>
            </w:r>
          </w:p>
          <w:p w:rsidR="00EB3161" w:rsidRPr="00EB3161" w:rsidRDefault="00EB3161" w:rsidP="00EB3161">
            <w:pPr>
              <w:rPr>
                <w:sz w:val="24"/>
              </w:rPr>
            </w:pPr>
            <w:r w:rsidRPr="00EB3161">
              <w:rPr>
                <w:sz w:val="24"/>
              </w:rPr>
              <w:t>běžné výdaje</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Pr>
          <w:p w:rsidR="00EB3161" w:rsidRPr="00EB3161" w:rsidRDefault="00EB3161" w:rsidP="00EB3161">
            <w:pPr>
              <w:rPr>
                <w:sz w:val="24"/>
              </w:rPr>
            </w:pPr>
            <w:r w:rsidRPr="00EB3161">
              <w:rPr>
                <w:sz w:val="24"/>
              </w:rPr>
              <w:t>na § 3792 -</w:t>
            </w:r>
          </w:p>
        </w:tc>
        <w:tc>
          <w:tcPr>
            <w:tcW w:w="4637" w:type="dxa"/>
          </w:tcPr>
          <w:p w:rsidR="00EB3161" w:rsidRPr="00EB3161" w:rsidRDefault="00EB3161" w:rsidP="00EB3161">
            <w:pPr>
              <w:jc w:val="both"/>
              <w:rPr>
                <w:sz w:val="24"/>
              </w:rPr>
            </w:pPr>
            <w:r w:rsidRPr="00EB3161">
              <w:rPr>
                <w:sz w:val="24"/>
              </w:rPr>
              <w:t>Ekologická výchova a osvěta</w:t>
            </w:r>
          </w:p>
        </w:tc>
        <w:tc>
          <w:tcPr>
            <w:tcW w:w="360" w:type="dxa"/>
          </w:tcPr>
          <w:p w:rsidR="00EB3161" w:rsidRPr="00EB3161" w:rsidRDefault="00EB3161" w:rsidP="00EB3161">
            <w:pPr>
              <w:ind w:left="76"/>
              <w:rPr>
                <w:sz w:val="24"/>
              </w:rPr>
            </w:pPr>
          </w:p>
        </w:tc>
        <w:tc>
          <w:tcPr>
            <w:tcW w:w="2302" w:type="dxa"/>
          </w:tcPr>
          <w:p w:rsidR="00EB3161" w:rsidRPr="00EB3161" w:rsidRDefault="00EB3161" w:rsidP="00EB3161">
            <w:pPr>
              <w:ind w:left="76"/>
              <w:jc w:val="right"/>
              <w:rPr>
                <w:sz w:val="24"/>
              </w:rPr>
            </w:pP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5229</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Ostatní neinvestiční transfery neziskovým a podobným organizacím</w:t>
            </w:r>
          </w:p>
        </w:tc>
        <w:tc>
          <w:tcPr>
            <w:tcW w:w="360" w:type="dxa"/>
            <w:tcBorders>
              <w:bottom w:val="nil"/>
            </w:tcBorders>
          </w:tcPr>
          <w:p w:rsidR="00EB3161" w:rsidRPr="00EB3161" w:rsidRDefault="00EB3161" w:rsidP="00EB3161">
            <w:pPr>
              <w:rPr>
                <w:sz w:val="24"/>
              </w:rPr>
            </w:pPr>
          </w:p>
          <w:p w:rsidR="00EB3161" w:rsidRPr="00EB3161" w:rsidRDefault="00EB3161" w:rsidP="00EB3161">
            <w:pPr>
              <w:rPr>
                <w:sz w:val="24"/>
              </w:rPr>
            </w:pPr>
            <w:r w:rsidRPr="00EB3161">
              <w:rPr>
                <w:sz w:val="24"/>
              </w:rPr>
              <w:t>o</w:t>
            </w:r>
          </w:p>
        </w:tc>
        <w:tc>
          <w:tcPr>
            <w:tcW w:w="2302" w:type="dxa"/>
            <w:tcBorders>
              <w:bottom w:val="nil"/>
            </w:tcBorders>
          </w:tcPr>
          <w:p w:rsidR="00EB3161" w:rsidRPr="00EB3161" w:rsidRDefault="00EB3161" w:rsidP="00EB3161">
            <w:pPr>
              <w:jc w:val="right"/>
              <w:rPr>
                <w:sz w:val="24"/>
              </w:rPr>
            </w:pPr>
          </w:p>
          <w:p w:rsidR="00EB3161" w:rsidRPr="00EB3161" w:rsidRDefault="00EB3161" w:rsidP="00EB3161">
            <w:pPr>
              <w:jc w:val="right"/>
              <w:rPr>
                <w:sz w:val="24"/>
              </w:rPr>
            </w:pPr>
            <w:r w:rsidRPr="00EB3161">
              <w:rPr>
                <w:sz w:val="24"/>
              </w:rPr>
              <w:t>1.498,40 tis. Kč</w:t>
            </w:r>
          </w:p>
        </w:tc>
      </w:tr>
      <w:tr w:rsidR="00EB3161" w:rsidRPr="00EB3161" w:rsidTr="00A84AD4">
        <w:trPr>
          <w:cantSplit/>
        </w:trPr>
        <w:tc>
          <w:tcPr>
            <w:tcW w:w="496" w:type="dxa"/>
          </w:tcPr>
          <w:p w:rsidR="00EB3161" w:rsidRPr="00EB3161" w:rsidRDefault="00EB3161" w:rsidP="00EB3161">
            <w:pPr>
              <w:jc w:val="right"/>
              <w:rPr>
                <w:sz w:val="24"/>
              </w:rPr>
            </w:pPr>
          </w:p>
          <w:p w:rsidR="00EB3161" w:rsidRPr="00EB3161" w:rsidRDefault="00EB3161" w:rsidP="00EB3161">
            <w:pPr>
              <w:jc w:val="right"/>
              <w:rPr>
                <w:sz w:val="24"/>
              </w:rPr>
            </w:pPr>
          </w:p>
        </w:tc>
        <w:tc>
          <w:tcPr>
            <w:tcW w:w="8745" w:type="dxa"/>
            <w:gridSpan w:val="4"/>
            <w:tcBorders>
              <w:bottom w:val="nil"/>
            </w:tcBorders>
          </w:tcPr>
          <w:p w:rsidR="00EB3161" w:rsidRPr="00EB3161" w:rsidRDefault="00EB3161" w:rsidP="00EB3161">
            <w:pPr>
              <w:rPr>
                <w:sz w:val="24"/>
              </w:rPr>
            </w:pPr>
          </w:p>
          <w:p w:rsidR="00EB3161" w:rsidRPr="00EB3161" w:rsidRDefault="00EB3161" w:rsidP="00EB3161">
            <w:pPr>
              <w:rPr>
                <w:sz w:val="24"/>
              </w:rPr>
            </w:pPr>
            <w:r w:rsidRPr="00EB3161">
              <w:rPr>
                <w:sz w:val="24"/>
              </w:rPr>
              <w:t>a</w:t>
            </w:r>
          </w:p>
          <w:p w:rsidR="00EB3161" w:rsidRPr="00EB3161" w:rsidRDefault="00EB3161" w:rsidP="00EB3161">
            <w:pPr>
              <w:rPr>
                <w:sz w:val="24"/>
              </w:rPr>
            </w:pPr>
          </w:p>
          <w:p w:rsidR="00EB3161" w:rsidRPr="00EB3161" w:rsidRDefault="00EB3161" w:rsidP="00EB3161">
            <w:pPr>
              <w:jc w:val="both"/>
              <w:rPr>
                <w:spacing w:val="80"/>
                <w:sz w:val="24"/>
                <w:szCs w:val="28"/>
              </w:rPr>
            </w:pPr>
            <w:r w:rsidRPr="00EB3161">
              <w:rPr>
                <w:spacing w:val="80"/>
                <w:sz w:val="24"/>
                <w:szCs w:val="28"/>
              </w:rPr>
              <w:t>zvyšují</w:t>
            </w:r>
          </w:p>
          <w:p w:rsidR="00EB3161" w:rsidRPr="00EB3161" w:rsidRDefault="00EB3161" w:rsidP="00EB3161">
            <w:pPr>
              <w:rPr>
                <w:sz w:val="24"/>
              </w:rPr>
            </w:pPr>
          </w:p>
          <w:p w:rsidR="00EB3161" w:rsidRPr="00EB3161" w:rsidRDefault="00EB3161" w:rsidP="00EB3161">
            <w:pPr>
              <w:rPr>
                <w:sz w:val="24"/>
              </w:rPr>
            </w:pPr>
            <w:r w:rsidRPr="00EB3161">
              <w:rPr>
                <w:sz w:val="24"/>
              </w:rPr>
              <w:t>běžné výdaje</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Pr>
          <w:p w:rsidR="00EB3161" w:rsidRPr="00EB3161" w:rsidRDefault="00EB3161" w:rsidP="00EB3161">
            <w:pPr>
              <w:rPr>
                <w:sz w:val="24"/>
              </w:rPr>
            </w:pPr>
            <w:r w:rsidRPr="00EB3161">
              <w:rPr>
                <w:sz w:val="24"/>
              </w:rPr>
              <w:t>na § 3792 -</w:t>
            </w:r>
          </w:p>
        </w:tc>
        <w:tc>
          <w:tcPr>
            <w:tcW w:w="4637" w:type="dxa"/>
          </w:tcPr>
          <w:p w:rsidR="00EB3161" w:rsidRPr="00EB3161" w:rsidRDefault="00EB3161" w:rsidP="00EB3161">
            <w:pPr>
              <w:jc w:val="both"/>
              <w:rPr>
                <w:sz w:val="24"/>
              </w:rPr>
            </w:pPr>
            <w:r w:rsidRPr="00EB3161">
              <w:rPr>
                <w:sz w:val="24"/>
              </w:rPr>
              <w:t>Ekologická výchova a osvěta</w:t>
            </w:r>
          </w:p>
        </w:tc>
        <w:tc>
          <w:tcPr>
            <w:tcW w:w="360" w:type="dxa"/>
          </w:tcPr>
          <w:p w:rsidR="00EB3161" w:rsidRPr="00EB3161" w:rsidRDefault="00EB3161" w:rsidP="00EB3161">
            <w:pPr>
              <w:ind w:left="76"/>
              <w:rPr>
                <w:sz w:val="24"/>
              </w:rPr>
            </w:pPr>
          </w:p>
        </w:tc>
        <w:tc>
          <w:tcPr>
            <w:tcW w:w="2302" w:type="dxa"/>
          </w:tcPr>
          <w:p w:rsidR="00EB3161" w:rsidRPr="00EB3161" w:rsidRDefault="00EB3161" w:rsidP="00EB3161">
            <w:pPr>
              <w:ind w:left="76"/>
              <w:jc w:val="right"/>
              <w:rPr>
                <w:sz w:val="24"/>
              </w:rPr>
            </w:pP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5221</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Neinvestiční transfery obecně prospěšným společnostem</w:t>
            </w:r>
          </w:p>
        </w:tc>
        <w:tc>
          <w:tcPr>
            <w:tcW w:w="360" w:type="dxa"/>
            <w:tcBorders>
              <w:bottom w:val="nil"/>
            </w:tcBorders>
          </w:tcPr>
          <w:p w:rsidR="00EB3161" w:rsidRPr="00EB3161" w:rsidRDefault="00EB3161" w:rsidP="00EB3161">
            <w:pPr>
              <w:ind w:left="76"/>
              <w:jc w:val="center"/>
              <w:rPr>
                <w:sz w:val="24"/>
              </w:rPr>
            </w:pPr>
          </w:p>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p>
          <w:p w:rsidR="00EB3161" w:rsidRPr="00EB3161" w:rsidRDefault="00EB3161" w:rsidP="00EB3161">
            <w:pPr>
              <w:ind w:left="76"/>
              <w:jc w:val="right"/>
              <w:rPr>
                <w:sz w:val="24"/>
              </w:rPr>
            </w:pPr>
            <w:r w:rsidRPr="00EB3161">
              <w:rPr>
                <w:sz w:val="24"/>
              </w:rPr>
              <w:t>110,00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5222</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Neinvestiční transfery spolkům</w:t>
            </w:r>
          </w:p>
        </w:tc>
        <w:tc>
          <w:tcPr>
            <w:tcW w:w="360" w:type="dxa"/>
            <w:tcBorders>
              <w:bottom w:val="nil"/>
            </w:tcBorders>
          </w:tcPr>
          <w:p w:rsidR="00EB3161" w:rsidRPr="00EB3161" w:rsidRDefault="00EB3161" w:rsidP="00EB3161">
            <w:pPr>
              <w:ind w:left="76"/>
              <w:jc w:val="center"/>
              <w:rPr>
                <w:sz w:val="24"/>
              </w:rPr>
            </w:pPr>
          </w:p>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r w:rsidRPr="00EB3161">
              <w:rPr>
                <w:sz w:val="24"/>
              </w:rPr>
              <w:t>436,40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5321</w:t>
            </w:r>
            <w:proofErr w:type="gramEnd"/>
            <w:r w:rsidRPr="00EB3161">
              <w:rPr>
                <w:sz w:val="24"/>
              </w:rPr>
              <w:t xml:space="preserve"> - </w:t>
            </w:r>
          </w:p>
        </w:tc>
        <w:tc>
          <w:tcPr>
            <w:tcW w:w="4637" w:type="dxa"/>
            <w:tcBorders>
              <w:bottom w:val="nil"/>
            </w:tcBorders>
          </w:tcPr>
          <w:p w:rsidR="00EB3161" w:rsidRPr="00EB3161" w:rsidRDefault="00EB3161" w:rsidP="00EB3161">
            <w:pPr>
              <w:jc w:val="both"/>
              <w:rPr>
                <w:sz w:val="24"/>
              </w:rPr>
            </w:pPr>
            <w:r w:rsidRPr="00EB3161">
              <w:rPr>
                <w:sz w:val="24"/>
              </w:rPr>
              <w:t>Neinvestiční transfery obcím</w:t>
            </w:r>
          </w:p>
        </w:tc>
        <w:tc>
          <w:tcPr>
            <w:tcW w:w="360" w:type="dxa"/>
            <w:tcBorders>
              <w:bottom w:val="nil"/>
            </w:tcBorders>
          </w:tcPr>
          <w:p w:rsidR="00EB3161" w:rsidRPr="00EB3161" w:rsidRDefault="00EB3161" w:rsidP="00EB3161">
            <w:pPr>
              <w:ind w:left="76"/>
              <w:jc w:val="center"/>
              <w:rPr>
                <w:sz w:val="24"/>
              </w:rPr>
            </w:pPr>
          </w:p>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r w:rsidRPr="00EB3161">
              <w:rPr>
                <w:sz w:val="24"/>
              </w:rPr>
              <w:t>569,70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5329</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 xml:space="preserve">Ostatní neinvestiční transfery veřejným rozpočtům územní úrovně </w:t>
            </w:r>
          </w:p>
        </w:tc>
        <w:tc>
          <w:tcPr>
            <w:tcW w:w="360" w:type="dxa"/>
            <w:tcBorders>
              <w:bottom w:val="nil"/>
            </w:tcBorders>
          </w:tcPr>
          <w:p w:rsidR="00EB3161" w:rsidRPr="00EB3161" w:rsidRDefault="00EB3161" w:rsidP="00EB3161">
            <w:pPr>
              <w:ind w:left="76"/>
              <w:jc w:val="center"/>
              <w:rPr>
                <w:sz w:val="24"/>
              </w:rPr>
            </w:pPr>
          </w:p>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p>
          <w:p w:rsidR="00EB3161" w:rsidRPr="00EB3161" w:rsidRDefault="00EB3161" w:rsidP="00EB3161">
            <w:pPr>
              <w:ind w:left="76"/>
              <w:jc w:val="right"/>
              <w:rPr>
                <w:sz w:val="24"/>
              </w:rPr>
            </w:pPr>
            <w:r w:rsidRPr="00EB3161">
              <w:rPr>
                <w:sz w:val="24"/>
              </w:rPr>
              <w:t>150,00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6322</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Investiční transfery spolkům</w:t>
            </w:r>
          </w:p>
        </w:tc>
        <w:tc>
          <w:tcPr>
            <w:tcW w:w="360" w:type="dxa"/>
            <w:tcBorders>
              <w:bottom w:val="nil"/>
            </w:tcBorders>
          </w:tcPr>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r w:rsidRPr="00EB3161">
              <w:rPr>
                <w:sz w:val="24"/>
              </w:rPr>
              <w:t>82,30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proofErr w:type="gramStart"/>
            <w:r w:rsidRPr="00EB3161">
              <w:rPr>
                <w:sz w:val="24"/>
              </w:rPr>
              <w:t>pol.  6341</w:t>
            </w:r>
            <w:proofErr w:type="gramEnd"/>
            <w:r w:rsidRPr="00EB3161">
              <w:rPr>
                <w:sz w:val="24"/>
              </w:rPr>
              <w:t xml:space="preserve"> -</w:t>
            </w:r>
          </w:p>
        </w:tc>
        <w:tc>
          <w:tcPr>
            <w:tcW w:w="4637" w:type="dxa"/>
            <w:tcBorders>
              <w:bottom w:val="nil"/>
            </w:tcBorders>
          </w:tcPr>
          <w:p w:rsidR="00EB3161" w:rsidRPr="00EB3161" w:rsidRDefault="00EB3161" w:rsidP="00EB3161">
            <w:pPr>
              <w:jc w:val="both"/>
              <w:rPr>
                <w:sz w:val="24"/>
              </w:rPr>
            </w:pPr>
            <w:r w:rsidRPr="00EB3161">
              <w:rPr>
                <w:sz w:val="24"/>
              </w:rPr>
              <w:t>Investiční transfery obcím</w:t>
            </w:r>
          </w:p>
        </w:tc>
        <w:tc>
          <w:tcPr>
            <w:tcW w:w="360" w:type="dxa"/>
            <w:tcBorders>
              <w:bottom w:val="nil"/>
            </w:tcBorders>
          </w:tcPr>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r w:rsidRPr="00EB3161">
              <w:rPr>
                <w:sz w:val="24"/>
              </w:rPr>
              <w:t>150,00 tis. Kč</w:t>
            </w:r>
          </w:p>
        </w:tc>
      </w:tr>
      <w:tr w:rsidR="00EB3161" w:rsidRPr="00EB3161" w:rsidTr="00A84AD4">
        <w:trPr>
          <w:cantSplit/>
        </w:trPr>
        <w:tc>
          <w:tcPr>
            <w:tcW w:w="496" w:type="dxa"/>
          </w:tcPr>
          <w:p w:rsidR="00EB3161" w:rsidRPr="00EB3161" w:rsidRDefault="00EB3161" w:rsidP="00EB3161">
            <w:pPr>
              <w:jc w:val="right"/>
              <w:rPr>
                <w:sz w:val="24"/>
              </w:rPr>
            </w:pPr>
          </w:p>
        </w:tc>
        <w:tc>
          <w:tcPr>
            <w:tcW w:w="1446" w:type="dxa"/>
            <w:tcBorders>
              <w:bottom w:val="nil"/>
            </w:tcBorders>
          </w:tcPr>
          <w:p w:rsidR="00EB3161" w:rsidRPr="00EB3161" w:rsidRDefault="00EB3161" w:rsidP="00EB3161">
            <w:pPr>
              <w:rPr>
                <w:sz w:val="24"/>
              </w:rPr>
            </w:pPr>
            <w:r w:rsidRPr="00EB3161">
              <w:rPr>
                <w:sz w:val="24"/>
              </w:rPr>
              <w:t>Celkem</w:t>
            </w:r>
          </w:p>
        </w:tc>
        <w:tc>
          <w:tcPr>
            <w:tcW w:w="4637" w:type="dxa"/>
            <w:tcBorders>
              <w:bottom w:val="nil"/>
            </w:tcBorders>
          </w:tcPr>
          <w:p w:rsidR="00EB3161" w:rsidRPr="00EB3161" w:rsidRDefault="00EB3161" w:rsidP="00EB3161">
            <w:pPr>
              <w:jc w:val="both"/>
              <w:rPr>
                <w:sz w:val="24"/>
              </w:rPr>
            </w:pPr>
          </w:p>
        </w:tc>
        <w:tc>
          <w:tcPr>
            <w:tcW w:w="360" w:type="dxa"/>
            <w:tcBorders>
              <w:bottom w:val="nil"/>
            </w:tcBorders>
          </w:tcPr>
          <w:p w:rsidR="00EB3161" w:rsidRPr="00EB3161" w:rsidRDefault="00EB3161" w:rsidP="00EB3161">
            <w:pPr>
              <w:ind w:left="76"/>
              <w:jc w:val="center"/>
              <w:rPr>
                <w:sz w:val="24"/>
              </w:rPr>
            </w:pPr>
            <w:r w:rsidRPr="00EB3161">
              <w:rPr>
                <w:sz w:val="24"/>
              </w:rPr>
              <w:t>o</w:t>
            </w:r>
          </w:p>
        </w:tc>
        <w:tc>
          <w:tcPr>
            <w:tcW w:w="2302" w:type="dxa"/>
            <w:tcBorders>
              <w:bottom w:val="nil"/>
            </w:tcBorders>
          </w:tcPr>
          <w:p w:rsidR="00EB3161" w:rsidRPr="00EB3161" w:rsidRDefault="00EB3161" w:rsidP="00EB3161">
            <w:pPr>
              <w:ind w:left="76"/>
              <w:jc w:val="right"/>
              <w:rPr>
                <w:sz w:val="24"/>
              </w:rPr>
            </w:pPr>
            <w:r w:rsidRPr="00EB3161">
              <w:rPr>
                <w:sz w:val="24"/>
              </w:rPr>
              <w:t>1.498,40 tis. Kč</w:t>
            </w:r>
          </w:p>
        </w:tc>
      </w:tr>
    </w:tbl>
    <w:p w:rsidR="00EB3161" w:rsidRPr="00EB3161" w:rsidRDefault="00EB3161" w:rsidP="00EB3161">
      <w:pPr>
        <w:outlineLvl w:val="6"/>
        <w:rPr>
          <w:sz w:val="24"/>
        </w:rPr>
      </w:pPr>
    </w:p>
    <w:p w:rsidR="00EB3161" w:rsidRPr="00EB3161" w:rsidRDefault="00EB3161" w:rsidP="00EB3161">
      <w:pPr>
        <w:spacing w:line="280" w:lineRule="exact"/>
        <w:rPr>
          <w:sz w:val="24"/>
        </w:rPr>
      </w:pPr>
    </w:p>
    <w:sectPr w:rsidR="00EB3161" w:rsidRPr="00EB3161">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37" w:rsidRDefault="00147237">
      <w:r>
        <w:separator/>
      </w:r>
    </w:p>
  </w:endnote>
  <w:endnote w:type="continuationSeparator" w:id="0">
    <w:p w:rsidR="00147237" w:rsidRDefault="0014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9" w:rsidRDefault="00814D9E">
    <w:pPr>
      <w:pStyle w:val="Zpat"/>
      <w:spacing w:line="280" w:lineRule="exact"/>
      <w:jc w:val="center"/>
      <w:rPr>
        <w:rFonts w:ascii="Tahoma" w:hAnsi="Tahoma" w:cs="Tahoma"/>
      </w:rPr>
    </w:pPr>
    <w:r>
      <w:rPr>
        <w:rStyle w:val="slostrnky"/>
        <w:rFonts w:ascii="Tahoma" w:hAnsi="Tahoma" w:cs="Tahoma"/>
      </w:rPr>
      <w:fldChar w:fldCharType="begin"/>
    </w:r>
    <w:r>
      <w:rPr>
        <w:rStyle w:val="slostrnky"/>
        <w:rFonts w:ascii="Tahoma" w:hAnsi="Tahoma" w:cs="Tahoma"/>
      </w:rPr>
      <w:instrText xml:space="preserve"> PAGE </w:instrText>
    </w:r>
    <w:r>
      <w:rPr>
        <w:rStyle w:val="slostrnky"/>
        <w:rFonts w:ascii="Tahoma" w:hAnsi="Tahoma" w:cs="Tahoma"/>
      </w:rPr>
      <w:fldChar w:fldCharType="separate"/>
    </w:r>
    <w:r w:rsidR="000553F6">
      <w:rPr>
        <w:rStyle w:val="slostrnky"/>
        <w:rFonts w:ascii="Tahoma" w:hAnsi="Tahoma" w:cs="Tahoma"/>
        <w:noProof/>
      </w:rPr>
      <w:t>7</w:t>
    </w:r>
    <w:r>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37" w:rsidRDefault="00147237">
      <w:r>
        <w:separator/>
      </w:r>
    </w:p>
  </w:footnote>
  <w:footnote w:type="continuationSeparator" w:id="0">
    <w:p w:rsidR="00147237" w:rsidRDefault="0014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54"/>
        </w:tabs>
        <w:ind w:left="454" w:hanging="454"/>
      </w:pPr>
      <w:rPr>
        <w:rFonts w:ascii="Times New Roman" w:hAnsi="Times New Roman"/>
        <w:b w:val="0"/>
        <w:i w:val="0"/>
        <w:sz w:val="24"/>
      </w:rPr>
    </w:lvl>
    <w:lvl w:ilvl="1">
      <w:start w:val="1"/>
      <w:numFmt w:val="lowerLetter"/>
      <w:lvlText w:val="%2)"/>
      <w:lvlJc w:val="left"/>
      <w:pPr>
        <w:tabs>
          <w:tab w:val="num" w:pos="907"/>
        </w:tabs>
        <w:ind w:left="907" w:hanging="453"/>
      </w:pPr>
      <w:rPr>
        <w:rFonts w:ascii="Times New Roman" w:hAnsi="Times New Roman"/>
        <w:b w:val="0"/>
        <w:i w:val="0"/>
        <w:sz w:val="24"/>
      </w:rPr>
    </w:lvl>
    <w:lvl w:ilvl="2">
      <w:start w:val="1"/>
      <w:numFmt w:val="decimal"/>
      <w:lvlText w:val="%3."/>
      <w:lvlJc w:val="left"/>
      <w:pPr>
        <w:tabs>
          <w:tab w:val="num" w:pos="1361"/>
        </w:tabs>
        <w:ind w:left="1361" w:hanging="454"/>
      </w:pPr>
      <w:rPr>
        <w:rFonts w:ascii="Times New Roman" w:hAnsi="Times New Roman"/>
        <w:b w:val="0"/>
        <w:i w:val="0"/>
        <w:caps w:val="0"/>
        <w:smallCaps w:val="0"/>
        <w:strike w:val="0"/>
        <w:dstrike w:val="0"/>
        <w:outline w:val="0"/>
        <w:shadow w:val="0"/>
        <w:vanish w:val="0"/>
        <w:position w:val="0"/>
        <w:sz w:val="24"/>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C"/>
    <w:rsid w:val="00010084"/>
    <w:rsid w:val="00032737"/>
    <w:rsid w:val="000553F6"/>
    <w:rsid w:val="000A4B49"/>
    <w:rsid w:val="000E62D5"/>
    <w:rsid w:val="0011487C"/>
    <w:rsid w:val="0014148C"/>
    <w:rsid w:val="00147237"/>
    <w:rsid w:val="00163D66"/>
    <w:rsid w:val="001F5230"/>
    <w:rsid w:val="00211990"/>
    <w:rsid w:val="00245751"/>
    <w:rsid w:val="00246594"/>
    <w:rsid w:val="00267878"/>
    <w:rsid w:val="00286DF3"/>
    <w:rsid w:val="002B01A3"/>
    <w:rsid w:val="002F4516"/>
    <w:rsid w:val="00310995"/>
    <w:rsid w:val="003534E3"/>
    <w:rsid w:val="003C0DD5"/>
    <w:rsid w:val="003E6184"/>
    <w:rsid w:val="004035D6"/>
    <w:rsid w:val="004D1897"/>
    <w:rsid w:val="00524045"/>
    <w:rsid w:val="00530CFD"/>
    <w:rsid w:val="00541F40"/>
    <w:rsid w:val="00581264"/>
    <w:rsid w:val="005902CC"/>
    <w:rsid w:val="005E69D5"/>
    <w:rsid w:val="005F020D"/>
    <w:rsid w:val="0060785B"/>
    <w:rsid w:val="00641FCE"/>
    <w:rsid w:val="00654F1E"/>
    <w:rsid w:val="006812E3"/>
    <w:rsid w:val="006F76BE"/>
    <w:rsid w:val="00706DF0"/>
    <w:rsid w:val="0071220A"/>
    <w:rsid w:val="00795AB6"/>
    <w:rsid w:val="00814D9E"/>
    <w:rsid w:val="008510B0"/>
    <w:rsid w:val="008B59AD"/>
    <w:rsid w:val="008D49B1"/>
    <w:rsid w:val="008E4DD2"/>
    <w:rsid w:val="00977092"/>
    <w:rsid w:val="0098335E"/>
    <w:rsid w:val="009A5FC2"/>
    <w:rsid w:val="009E6F3C"/>
    <w:rsid w:val="00A012B4"/>
    <w:rsid w:val="00A978C0"/>
    <w:rsid w:val="00AE692A"/>
    <w:rsid w:val="00B82C1C"/>
    <w:rsid w:val="00BD1A11"/>
    <w:rsid w:val="00BE2DF9"/>
    <w:rsid w:val="00BF250B"/>
    <w:rsid w:val="00C267F4"/>
    <w:rsid w:val="00C90167"/>
    <w:rsid w:val="00CC48AB"/>
    <w:rsid w:val="00CE743F"/>
    <w:rsid w:val="00D507CF"/>
    <w:rsid w:val="00D54884"/>
    <w:rsid w:val="00D66C5B"/>
    <w:rsid w:val="00DA42F3"/>
    <w:rsid w:val="00DD1BA6"/>
    <w:rsid w:val="00E0220C"/>
    <w:rsid w:val="00E02BAE"/>
    <w:rsid w:val="00E31A2D"/>
    <w:rsid w:val="00E4768A"/>
    <w:rsid w:val="00E60D3A"/>
    <w:rsid w:val="00E91369"/>
    <w:rsid w:val="00EA728E"/>
    <w:rsid w:val="00EB3161"/>
    <w:rsid w:val="00EE35B7"/>
    <w:rsid w:val="00F41875"/>
    <w:rsid w:val="00F55EF8"/>
    <w:rsid w:val="00F911BC"/>
    <w:rsid w:val="00F93E18"/>
    <w:rsid w:val="00FB0924"/>
    <w:rsid w:val="00FB1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50305_08_013_01.xlsx" TargetMode="External"/><Relationship Id="rId13" Type="http://schemas.openxmlformats.org/officeDocument/2006/relationships/hyperlink" Target="Z150305_08_013_01.xls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Z150305_08_013_0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Z150305_08_013_04.docx" TargetMode="External"/><Relationship Id="rId5" Type="http://schemas.openxmlformats.org/officeDocument/2006/relationships/webSettings" Target="webSettings.xml"/><Relationship Id="rId15" Type="http://schemas.openxmlformats.org/officeDocument/2006/relationships/hyperlink" Target="Z150305_08_013_03.xlsx" TargetMode="External"/><Relationship Id="rId10" Type="http://schemas.openxmlformats.org/officeDocument/2006/relationships/hyperlink" Target="Z150305_08_013_03.xlsx" TargetMode="External"/><Relationship Id="rId4" Type="http://schemas.openxmlformats.org/officeDocument/2006/relationships/settings" Target="settings.xml"/><Relationship Id="rId9" Type="http://schemas.openxmlformats.org/officeDocument/2006/relationships/hyperlink" Target="Z150305_08_013_02.xlsx" TargetMode="External"/><Relationship Id="rId14" Type="http://schemas.openxmlformats.org/officeDocument/2006/relationships/hyperlink" Target="Z150305_08_013_02.xls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1325</Words>
  <Characters>7822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Strakoš Petr</dc:creator>
  <cp:lastModifiedBy>Kempná Jana</cp:lastModifiedBy>
  <cp:revision>9</cp:revision>
  <cp:lastPrinted>2015-02-18T07:59:00Z</cp:lastPrinted>
  <dcterms:created xsi:type="dcterms:W3CDTF">2015-02-13T10:18:00Z</dcterms:created>
  <dcterms:modified xsi:type="dcterms:W3CDTF">2015-02-18T11:27:00Z</dcterms:modified>
</cp:coreProperties>
</file>