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2" w:rsidRPr="00A26DCC" w:rsidRDefault="00521C12" w:rsidP="00FC083E">
      <w:pPr>
        <w:pStyle w:val="Zhlav"/>
        <w:rPr>
          <w:rFonts w:ascii="Tahoma" w:hAnsi="Tahoma" w:cs="Tahoma"/>
          <w:b/>
          <w:bCs/>
        </w:rPr>
      </w:pPr>
      <w:r w:rsidRPr="00A26DCC">
        <w:rPr>
          <w:rFonts w:ascii="Tahoma" w:hAnsi="Tahoma" w:cs="Tahoma"/>
          <w:b/>
          <w:bCs/>
        </w:rPr>
        <w:t xml:space="preserve">Příloha č.: </w:t>
      </w:r>
      <w:r w:rsidR="00865A66">
        <w:rPr>
          <w:rFonts w:ascii="Tahoma" w:hAnsi="Tahoma" w:cs="Tahoma"/>
          <w:b/>
          <w:bCs/>
        </w:rPr>
        <w:t>2</w:t>
      </w:r>
      <w:r w:rsidRPr="00A26DCC">
        <w:rPr>
          <w:rFonts w:ascii="Tahoma" w:hAnsi="Tahoma" w:cs="Tahoma"/>
          <w:b/>
          <w:bCs/>
        </w:rPr>
        <w:t xml:space="preserve"> k materiálu č.: </w:t>
      </w:r>
      <w:r w:rsidR="00EB53C0">
        <w:rPr>
          <w:rFonts w:ascii="Tahoma" w:hAnsi="Tahoma" w:cs="Tahoma"/>
          <w:b/>
          <w:bCs/>
        </w:rPr>
        <w:t>8/</w:t>
      </w:r>
      <w:r w:rsidR="005F0DFD">
        <w:rPr>
          <w:rFonts w:ascii="Tahoma" w:hAnsi="Tahoma" w:cs="Tahoma"/>
          <w:b/>
          <w:bCs/>
        </w:rPr>
        <w:t>4</w:t>
      </w:r>
      <w:bookmarkStart w:id="0" w:name="_GoBack"/>
      <w:bookmarkEnd w:id="0"/>
    </w:p>
    <w:p w:rsidR="00521C12" w:rsidRPr="008F1628" w:rsidRDefault="00521C12" w:rsidP="00FC083E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0F2076">
        <w:rPr>
          <w:rFonts w:ascii="Tahoma" w:hAnsi="Tahoma" w:cs="Tahoma"/>
        </w:rPr>
        <w:t>3</w:t>
      </w:r>
    </w:p>
    <w:p w:rsidR="00512706" w:rsidRDefault="00512706">
      <w:pPr>
        <w:pStyle w:val="Zkladntext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F2076" w:rsidRDefault="000F2076" w:rsidP="000F2076">
      <w:pPr>
        <w:pStyle w:val="Nzev"/>
        <w:spacing w:after="120"/>
        <w:rPr>
          <w:rFonts w:ascii="Tahoma" w:hAnsi="Tahoma" w:cs="Tahoma"/>
        </w:rPr>
      </w:pPr>
      <w:r>
        <w:rPr>
          <w:rFonts w:ascii="Tahoma" w:hAnsi="Tahoma" w:cs="Tahoma"/>
          <w:caps w:val="0"/>
        </w:rPr>
        <w:t>DODATEK č. 1</w:t>
      </w:r>
    </w:p>
    <w:p w:rsidR="000F2076" w:rsidRDefault="000F2076" w:rsidP="000F2076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 smlouvě</w:t>
      </w:r>
      <w:r>
        <w:rPr>
          <w:rFonts w:ascii="Tahoma" w:hAnsi="Tahoma" w:cs="Tahoma"/>
          <w:b/>
          <w:caps/>
        </w:rPr>
        <w:t xml:space="preserve"> </w:t>
      </w:r>
      <w:r>
        <w:rPr>
          <w:rFonts w:ascii="Tahoma" w:hAnsi="Tahoma" w:cs="Tahoma"/>
          <w:b/>
        </w:rPr>
        <w:t>o poskytnutí dotace z rozpočtu Moravskoslezského kraje</w:t>
      </w:r>
      <w:r>
        <w:rPr>
          <w:rFonts w:ascii="Tahoma" w:hAnsi="Tahoma" w:cs="Tahoma"/>
          <w:b/>
          <w:caps/>
        </w:rPr>
        <w:t xml:space="preserve"> </w:t>
      </w:r>
      <w:r>
        <w:rPr>
          <w:rFonts w:ascii="Tahoma" w:hAnsi="Tahoma" w:cs="Tahoma"/>
          <w:b/>
        </w:rPr>
        <w:t xml:space="preserve">číslo: </w:t>
      </w:r>
    </w:p>
    <w:p w:rsidR="000F2076" w:rsidRDefault="000F2076" w:rsidP="000F2076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FD0E14">
        <w:rPr>
          <w:rFonts w:ascii="Tahoma" w:hAnsi="Tahoma" w:cs="Tahoma"/>
          <w:b/>
        </w:rPr>
        <w:t>00</w:t>
      </w:r>
      <w:r>
        <w:rPr>
          <w:rFonts w:ascii="Tahoma" w:hAnsi="Tahoma" w:cs="Tahoma"/>
          <w:b/>
        </w:rPr>
        <w:t>652/2013/DSH</w:t>
      </w:r>
    </w:p>
    <w:p w:rsidR="000F2076" w:rsidRDefault="000F2076" w:rsidP="000F2076">
      <w:pPr>
        <w:tabs>
          <w:tab w:val="left" w:pos="3465"/>
          <w:tab w:val="center" w:pos="452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/dále jen „dodatek“/</w:t>
      </w:r>
    </w:p>
    <w:p w:rsidR="000F2076" w:rsidRDefault="000F2076" w:rsidP="000F2076">
      <w:pPr>
        <w:jc w:val="center"/>
        <w:rPr>
          <w:rFonts w:ascii="Tahoma" w:hAnsi="Tahoma" w:cs="Tahoma"/>
          <w:b/>
          <w:caps/>
        </w:rPr>
      </w:pPr>
    </w:p>
    <w:p w:rsidR="000F2076" w:rsidRDefault="000F2076" w:rsidP="000F2076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0F2076" w:rsidRDefault="000F2076" w:rsidP="000F2076">
      <w:pPr>
        <w:suppressAutoHyphens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strany</w:t>
      </w:r>
    </w:p>
    <w:p w:rsidR="000F2076" w:rsidRDefault="000F2076" w:rsidP="000F2076">
      <w:pPr>
        <w:suppressAutoHyphens/>
        <w:rPr>
          <w:rFonts w:ascii="Tahoma" w:hAnsi="Tahoma" w:cs="Tahoma"/>
          <w:sz w:val="20"/>
        </w:rPr>
      </w:pPr>
    </w:p>
    <w:p w:rsidR="000F2076" w:rsidRPr="00F65EB8" w:rsidRDefault="000F2076" w:rsidP="000F2076">
      <w:pPr>
        <w:pStyle w:val="Nadpis1"/>
        <w:numPr>
          <w:ilvl w:val="0"/>
          <w:numId w:val="11"/>
        </w:numPr>
        <w:spacing w:before="120"/>
        <w:jc w:val="both"/>
        <w:rPr>
          <w:rFonts w:ascii="Tahoma" w:hAnsi="Tahoma" w:cs="Tahoma"/>
          <w:caps w:val="0"/>
          <w:smallCaps/>
          <w:sz w:val="20"/>
        </w:rPr>
      </w:pPr>
      <w:r w:rsidRPr="00F65EB8">
        <w:rPr>
          <w:rFonts w:ascii="Tahoma" w:hAnsi="Tahoma" w:cs="Tahoma"/>
          <w:caps w:val="0"/>
          <w:smallCaps/>
          <w:sz w:val="20"/>
        </w:rPr>
        <w:t>Moravskoslezský kraj</w:t>
      </w:r>
    </w:p>
    <w:p w:rsidR="000F2076" w:rsidRDefault="000F2076" w:rsidP="000F207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0F2076" w:rsidRDefault="000F2076" w:rsidP="000F207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D0E14" w:rsidRDefault="00FD0E14" w:rsidP="000F2076">
      <w:pPr>
        <w:ind w:left="360"/>
        <w:jc w:val="both"/>
        <w:rPr>
          <w:rFonts w:ascii="Tahoma" w:hAnsi="Tahoma" w:cs="Tahoma"/>
          <w:sz w:val="20"/>
        </w:rPr>
      </w:pPr>
    </w:p>
    <w:p w:rsidR="00FD0E14" w:rsidRDefault="00FD0E14" w:rsidP="000F2076">
      <w:pPr>
        <w:ind w:left="360"/>
        <w:jc w:val="both"/>
        <w:rPr>
          <w:rFonts w:ascii="Tahoma" w:hAnsi="Tahoma" w:cs="Tahoma"/>
          <w:sz w:val="20"/>
        </w:rPr>
      </w:pPr>
    </w:p>
    <w:p w:rsidR="000F2076" w:rsidRDefault="000F2076" w:rsidP="000F207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0F2076" w:rsidRDefault="000F2076" w:rsidP="000F207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D0E1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CZ70890692 </w:t>
      </w:r>
    </w:p>
    <w:p w:rsidR="000F2076" w:rsidRDefault="000F2076" w:rsidP="000F207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a.s., č. ú. 1650676349/0800</w:t>
      </w:r>
    </w:p>
    <w:p w:rsidR="000F2076" w:rsidRDefault="000F2076" w:rsidP="000F2076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0F2076" w:rsidRDefault="000F2076" w:rsidP="000F2076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0F2076" w:rsidRPr="00F65EB8" w:rsidRDefault="000F2076" w:rsidP="000F2076">
      <w:pPr>
        <w:pStyle w:val="Nadpis1"/>
        <w:numPr>
          <w:ilvl w:val="0"/>
          <w:numId w:val="11"/>
        </w:numPr>
        <w:spacing w:before="120"/>
        <w:jc w:val="both"/>
        <w:rPr>
          <w:rFonts w:ascii="Tahoma" w:hAnsi="Tahoma" w:cs="Tahoma"/>
          <w:caps w:val="0"/>
          <w:smallCaps/>
          <w:sz w:val="20"/>
        </w:rPr>
      </w:pPr>
      <w:r w:rsidRPr="00F65EB8">
        <w:rPr>
          <w:rFonts w:ascii="Tahoma" w:hAnsi="Tahoma" w:cs="Tahoma"/>
          <w:caps w:val="0"/>
          <w:smallCaps/>
          <w:sz w:val="20"/>
        </w:rPr>
        <w:t>Koordinátor ODIS s.r.o.</w:t>
      </w:r>
    </w:p>
    <w:p w:rsidR="000F2076" w:rsidRPr="007E1D0F" w:rsidRDefault="000F2076" w:rsidP="000F207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E1D0F">
        <w:rPr>
          <w:rFonts w:ascii="Tahoma" w:hAnsi="Tahoma" w:cs="Tahoma"/>
          <w:iCs/>
          <w:sz w:val="20"/>
        </w:rPr>
        <w:t>Na Hradbách 1440/16, 702 00 Ostrava – Moravská Ostrava</w:t>
      </w:r>
    </w:p>
    <w:p w:rsidR="000F2076" w:rsidRPr="007E1D0F" w:rsidRDefault="000F2076" w:rsidP="000F2076">
      <w:pPr>
        <w:ind w:left="360"/>
        <w:jc w:val="both"/>
        <w:rPr>
          <w:rFonts w:ascii="Tahoma" w:hAnsi="Tahoma" w:cs="Tahoma"/>
          <w:iCs/>
          <w:sz w:val="20"/>
        </w:rPr>
      </w:pPr>
      <w:r w:rsidRPr="007E1D0F">
        <w:rPr>
          <w:rFonts w:ascii="Tahoma" w:hAnsi="Tahoma" w:cs="Tahoma"/>
          <w:sz w:val="20"/>
        </w:rPr>
        <w:t>zastoupen:</w:t>
      </w:r>
      <w:r w:rsidRPr="007E1D0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E1D0F">
        <w:rPr>
          <w:rFonts w:ascii="Tahoma" w:hAnsi="Tahoma" w:cs="Tahoma"/>
          <w:iCs/>
          <w:sz w:val="20"/>
        </w:rPr>
        <w:t>Ing. Alešem Stejskalem, jednatelem společnosti</w:t>
      </w:r>
    </w:p>
    <w:p w:rsidR="000F2076" w:rsidRDefault="000F2076" w:rsidP="000F207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64613895</w:t>
        </w:r>
      </w:smartTag>
    </w:p>
    <w:p w:rsidR="000F2076" w:rsidRDefault="000F2076" w:rsidP="000F207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70C1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CZ64613895</w:t>
      </w:r>
    </w:p>
    <w:p w:rsidR="000F2076" w:rsidRDefault="000F2076" w:rsidP="000F207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>Česká spořitelna, a.s., č. ú. 1651582379/0800</w:t>
      </w:r>
    </w:p>
    <w:p w:rsidR="000F2076" w:rsidRDefault="000F2076" w:rsidP="000F207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 v obchodním rejstříku vedeném Krajským soudem v Ostravě, oddíl C, vložka 8979</w:t>
      </w:r>
    </w:p>
    <w:p w:rsidR="000F2076" w:rsidRDefault="000F2076" w:rsidP="000F2076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0F2076" w:rsidRDefault="000F2076" w:rsidP="000F2076">
      <w:pPr>
        <w:rPr>
          <w:rFonts w:ascii="Tahoma" w:hAnsi="Tahoma" w:cs="Tahoma"/>
          <w:sz w:val="20"/>
        </w:rPr>
      </w:pPr>
    </w:p>
    <w:p w:rsidR="000F2076" w:rsidRDefault="000F2076" w:rsidP="000F2076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0F2076" w:rsidRDefault="000F2076" w:rsidP="000F2076">
      <w:pPr>
        <w:jc w:val="center"/>
        <w:rPr>
          <w:rFonts w:ascii="Tahoma" w:hAnsi="Tahoma" w:cs="Tahoma"/>
          <w:b/>
          <w:bCs/>
          <w:sz w:val="20"/>
        </w:rPr>
      </w:pPr>
    </w:p>
    <w:p w:rsidR="000F2076" w:rsidRPr="00BF2B7F" w:rsidRDefault="000F2076" w:rsidP="000F2076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prohlašují, že dne 8. 4. 2013 uzavřely smlouvu o poskytnutí dotace z rozpočtu Moravskoslezského kraje vedenou u poskytovatele pod evidenčním číslem </w:t>
      </w:r>
      <w:r w:rsidR="00A70C1C" w:rsidRPr="00F84533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652/2013/DSH, a to za účelem poskytnutí účelové dotace na úhradu nákladů prokazatelně </w:t>
      </w:r>
      <w:r w:rsidRPr="00BF2B7F">
        <w:rPr>
          <w:rFonts w:ascii="Tahoma" w:hAnsi="Tahoma" w:cs="Tahoma"/>
          <w:sz w:val="20"/>
        </w:rPr>
        <w:t xml:space="preserve">spojených </w:t>
      </w:r>
      <w:r w:rsidRPr="00BF2B7F">
        <w:rPr>
          <w:rFonts w:ascii="Tahoma" w:hAnsi="Tahoma" w:cs="Tahoma"/>
          <w:bCs/>
          <w:sz w:val="20"/>
        </w:rPr>
        <w:t>s realizací vybraných záměrů v integrované dopravě – Informační tabla s on-line informacemi o odjezdech spojů v přestupních uzlech</w:t>
      </w:r>
      <w:r w:rsidRPr="00BF2B7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(dále jen „smlouva“).</w:t>
      </w:r>
    </w:p>
    <w:p w:rsidR="000F2076" w:rsidRDefault="000F2076" w:rsidP="000F2076">
      <w:pPr>
        <w:pStyle w:val="Zkladntext"/>
        <w:rPr>
          <w:rFonts w:ascii="Tahoma" w:hAnsi="Tahoma" w:cs="Tahoma"/>
          <w:sz w:val="20"/>
        </w:rPr>
      </w:pPr>
    </w:p>
    <w:p w:rsidR="000F2076" w:rsidRPr="00BF2B7F" w:rsidRDefault="000F2076" w:rsidP="000F2076">
      <w:pPr>
        <w:pStyle w:val="Zkladntext"/>
        <w:rPr>
          <w:rFonts w:ascii="Tahoma" w:hAnsi="Tahoma" w:cs="Tahoma"/>
          <w:bCs/>
          <w:sz w:val="20"/>
        </w:rPr>
      </w:pPr>
      <w:r w:rsidRPr="00BF2B7F">
        <w:rPr>
          <w:rFonts w:ascii="Tahoma" w:hAnsi="Tahoma" w:cs="Tahoma"/>
          <w:bCs/>
          <w:sz w:val="20"/>
        </w:rPr>
        <w:t>Na základě článku IV. odst. 1 smlouvy poskytovatel poskytne příjemci ze svého rozpočtu účelovou dotaci v maximální výši 1.300.000,--Kč (slovy: milióntřistatisíc korun českých) účelově určenou k úhradě uznatelných nákladů prokazatelně spojených s realizací vybraných záměrů v integrované dopravě – Informační tabla s on-line informacemi o odjezdech spojů v přestupních uzlech. Předmětem tohoto dodatku není dodatečné finanční plnění ze strany poskytovatele.</w:t>
      </w:r>
    </w:p>
    <w:p w:rsidR="000F2076" w:rsidRDefault="000F2076" w:rsidP="000F2076">
      <w:pPr>
        <w:pStyle w:val="Zkladntext"/>
        <w:jc w:val="left"/>
        <w:rPr>
          <w:rFonts w:ascii="Tahoma" w:hAnsi="Tahoma" w:cs="Tahoma"/>
          <w:b/>
          <w:sz w:val="20"/>
        </w:rPr>
      </w:pPr>
    </w:p>
    <w:p w:rsidR="000F2076" w:rsidRDefault="000F2076" w:rsidP="000F2076">
      <w:pPr>
        <w:pStyle w:val="Zkladntex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Smluvní strany se dohodly na následujících změnách smlouvy:</w:t>
      </w:r>
    </w:p>
    <w:p w:rsidR="000F2076" w:rsidRDefault="000F2076" w:rsidP="000F2076">
      <w:pPr>
        <w:pStyle w:val="Zkladntext"/>
        <w:jc w:val="left"/>
        <w:rPr>
          <w:rFonts w:ascii="Tahoma" w:hAnsi="Tahoma" w:cs="Tahoma"/>
          <w:b/>
          <w:sz w:val="20"/>
        </w:rPr>
      </w:pPr>
    </w:p>
    <w:p w:rsidR="000F2076" w:rsidRDefault="000F2076" w:rsidP="000F2076">
      <w:pPr>
        <w:pStyle w:val="Zkladntext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Článek IV. odst. 1 smlouvy se nahrazuje takto:</w:t>
      </w:r>
    </w:p>
    <w:p w:rsidR="000F2076" w:rsidRPr="003D3198" w:rsidRDefault="000F2076" w:rsidP="000F2076">
      <w:pPr>
        <w:pStyle w:val="Zkladntext"/>
        <w:spacing w:before="120"/>
        <w:ind w:left="993" w:hanging="284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1. </w:t>
      </w:r>
      <w:r w:rsidRPr="003D3198">
        <w:rPr>
          <w:rFonts w:ascii="Tahoma" w:hAnsi="Tahoma" w:cs="Tahoma"/>
          <w:bCs/>
          <w:sz w:val="20"/>
        </w:rPr>
        <w:t>Poskytovatel podle této smlouvy poskytne příjemci účelovou dotaci v maximální výši 1.300.000,--Kč (slovy: milióntřistatisíc korun českých) účelově určenou k úhradě uznatelných nákladů prokazatelně spojených s realizací vybraných záměrů v integrované dopravě – Informační tabla s on-line informacemi o odjezdech spojů v přestupních uzlech (dále jen „projekt“), takto:</w:t>
      </w:r>
    </w:p>
    <w:p w:rsidR="000F2076" w:rsidRPr="003D3198" w:rsidRDefault="000F2076" w:rsidP="000F2076">
      <w:pPr>
        <w:pStyle w:val="Zkladntext"/>
        <w:numPr>
          <w:ilvl w:val="1"/>
          <w:numId w:val="12"/>
        </w:numPr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 w:val="20"/>
        </w:rPr>
      </w:pPr>
      <w:r w:rsidRPr="003D3198">
        <w:rPr>
          <w:rFonts w:ascii="Tahoma" w:hAnsi="Tahoma" w:cs="Tahoma"/>
          <w:bCs/>
          <w:sz w:val="20"/>
        </w:rPr>
        <w:lastRenderedPageBreak/>
        <w:t xml:space="preserve">částka v maximální výši </w:t>
      </w:r>
      <w:r w:rsidRPr="00BA0B77">
        <w:rPr>
          <w:rFonts w:ascii="Tahoma" w:hAnsi="Tahoma" w:cs="Tahoma"/>
          <w:b/>
          <w:bCs/>
          <w:sz w:val="20"/>
        </w:rPr>
        <w:t>25</w:t>
      </w:r>
      <w:r w:rsidRPr="003D3198">
        <w:rPr>
          <w:rFonts w:ascii="Tahoma" w:hAnsi="Tahoma" w:cs="Tahoma"/>
          <w:b/>
          <w:bCs/>
          <w:sz w:val="20"/>
        </w:rPr>
        <w:t>0.000,-- Kč</w:t>
      </w:r>
      <w:r w:rsidRPr="003D3198">
        <w:rPr>
          <w:rFonts w:ascii="Tahoma" w:hAnsi="Tahoma" w:cs="Tahoma"/>
          <w:bCs/>
          <w:sz w:val="20"/>
        </w:rPr>
        <w:t xml:space="preserve"> (slovy: </w:t>
      </w:r>
      <w:r>
        <w:rPr>
          <w:rFonts w:ascii="Tahoma" w:hAnsi="Tahoma" w:cs="Tahoma"/>
          <w:bCs/>
          <w:sz w:val="20"/>
        </w:rPr>
        <w:t>dvěstěpadesáttisíc</w:t>
      </w:r>
      <w:r w:rsidRPr="003D3198">
        <w:rPr>
          <w:rFonts w:ascii="Tahoma" w:hAnsi="Tahoma" w:cs="Tahoma"/>
          <w:bCs/>
          <w:sz w:val="20"/>
        </w:rPr>
        <w:t xml:space="preserve"> korun českých) je určena jako </w:t>
      </w:r>
      <w:r w:rsidRPr="003D3198">
        <w:rPr>
          <w:rFonts w:ascii="Tahoma" w:hAnsi="Tahoma" w:cs="Tahoma"/>
          <w:b/>
          <w:bCs/>
          <w:sz w:val="20"/>
        </w:rPr>
        <w:t>neinvestiční dotace výhradně na úhradu</w:t>
      </w:r>
      <w:r w:rsidRPr="003D3198">
        <w:rPr>
          <w:rFonts w:ascii="Tahoma" w:hAnsi="Tahoma" w:cs="Tahoma"/>
          <w:bCs/>
          <w:sz w:val="20"/>
        </w:rPr>
        <w:t>:</w:t>
      </w:r>
    </w:p>
    <w:p w:rsidR="000F2076" w:rsidRPr="003D3198" w:rsidRDefault="000F2076" w:rsidP="000F2076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60"/>
        <w:ind w:left="1786" w:hanging="357"/>
        <w:textAlignment w:val="auto"/>
        <w:rPr>
          <w:rFonts w:ascii="Tahoma" w:hAnsi="Tahoma" w:cs="Tahoma"/>
          <w:bCs/>
          <w:sz w:val="20"/>
        </w:rPr>
      </w:pPr>
      <w:r w:rsidRPr="003D3198">
        <w:rPr>
          <w:rFonts w:ascii="Tahoma" w:hAnsi="Tahoma" w:cs="Tahoma"/>
          <w:bCs/>
          <w:sz w:val="20"/>
        </w:rPr>
        <w:t>nákladů vynaložených na poradenství - finanční, ekonomické, právní, technické zajištění,</w:t>
      </w:r>
    </w:p>
    <w:p w:rsidR="000F2076" w:rsidRDefault="000F2076" w:rsidP="000F2076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60"/>
        <w:ind w:left="1786" w:hanging="357"/>
        <w:textAlignment w:val="auto"/>
        <w:rPr>
          <w:rFonts w:ascii="Tahoma" w:hAnsi="Tahoma" w:cs="Tahoma"/>
          <w:bCs/>
          <w:sz w:val="20"/>
        </w:rPr>
      </w:pPr>
      <w:r w:rsidRPr="003D3198">
        <w:rPr>
          <w:rFonts w:ascii="Tahoma" w:hAnsi="Tahoma" w:cs="Tahoma"/>
          <w:bCs/>
          <w:sz w:val="20"/>
        </w:rPr>
        <w:t>nákladů na publicitu</w:t>
      </w:r>
      <w:r>
        <w:rPr>
          <w:rFonts w:ascii="Tahoma" w:hAnsi="Tahoma" w:cs="Tahoma"/>
          <w:bCs/>
          <w:sz w:val="20"/>
        </w:rPr>
        <w:t>,</w:t>
      </w:r>
    </w:p>
    <w:p w:rsidR="000F2076" w:rsidRPr="00BA0B77" w:rsidRDefault="000F2076" w:rsidP="000F2076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60"/>
        <w:ind w:left="1786" w:hanging="357"/>
        <w:textAlignment w:val="auto"/>
        <w:rPr>
          <w:rFonts w:ascii="Tahoma" w:hAnsi="Tahoma" w:cs="Tahoma"/>
          <w:bCs/>
          <w:sz w:val="20"/>
        </w:rPr>
      </w:pPr>
      <w:r w:rsidRPr="00BA0B77">
        <w:rPr>
          <w:rFonts w:ascii="Tahoma" w:hAnsi="Tahoma" w:cs="Tahoma"/>
          <w:bCs/>
          <w:sz w:val="20"/>
          <w:szCs w:val="20"/>
        </w:rPr>
        <w:t>osobních nákladů projektového týmu (projektového managera)</w:t>
      </w:r>
      <w:r>
        <w:rPr>
          <w:rFonts w:ascii="Tahoma" w:hAnsi="Tahoma" w:cs="Tahoma"/>
          <w:bCs/>
          <w:sz w:val="20"/>
          <w:szCs w:val="20"/>
        </w:rPr>
        <w:t>,</w:t>
      </w:r>
    </w:p>
    <w:p w:rsidR="000F2076" w:rsidRPr="003E7F10" w:rsidRDefault="000F2076" w:rsidP="000F2076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60"/>
        <w:ind w:left="1786" w:hanging="357"/>
        <w:textAlignment w:val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dodávky elektrické energie</w:t>
      </w:r>
      <w:r w:rsidRPr="003E7F10">
        <w:rPr>
          <w:rFonts w:ascii="Tahoma" w:hAnsi="Tahoma" w:cs="Tahoma"/>
          <w:bCs/>
          <w:sz w:val="20"/>
          <w:szCs w:val="20"/>
        </w:rPr>
        <w:t xml:space="preserve"> pro napájení informačních tabel</w:t>
      </w:r>
      <w:r>
        <w:rPr>
          <w:rFonts w:ascii="Tahoma" w:hAnsi="Tahoma" w:cs="Tahoma"/>
          <w:bCs/>
          <w:sz w:val="20"/>
          <w:szCs w:val="20"/>
        </w:rPr>
        <w:t>,</w:t>
      </w:r>
    </w:p>
    <w:p w:rsidR="000F2076" w:rsidRPr="003D3198" w:rsidRDefault="000F2076" w:rsidP="000F2076">
      <w:pPr>
        <w:pStyle w:val="Zkladntext"/>
        <w:numPr>
          <w:ilvl w:val="1"/>
          <w:numId w:val="12"/>
        </w:numPr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 w:val="20"/>
        </w:rPr>
      </w:pPr>
      <w:r w:rsidRPr="003D3198">
        <w:rPr>
          <w:rFonts w:ascii="Tahoma" w:hAnsi="Tahoma" w:cs="Tahoma"/>
          <w:bCs/>
          <w:sz w:val="20"/>
        </w:rPr>
        <w:t xml:space="preserve">částka v maximální výši </w:t>
      </w:r>
      <w:r w:rsidRPr="003D3198">
        <w:rPr>
          <w:rFonts w:ascii="Tahoma" w:hAnsi="Tahoma" w:cs="Tahoma"/>
          <w:b/>
          <w:bCs/>
          <w:sz w:val="20"/>
        </w:rPr>
        <w:t>1.</w:t>
      </w:r>
      <w:r>
        <w:rPr>
          <w:rFonts w:ascii="Tahoma" w:hAnsi="Tahoma" w:cs="Tahoma"/>
          <w:b/>
          <w:bCs/>
          <w:sz w:val="20"/>
        </w:rPr>
        <w:t>05</w:t>
      </w:r>
      <w:r w:rsidRPr="003D3198">
        <w:rPr>
          <w:rFonts w:ascii="Tahoma" w:hAnsi="Tahoma" w:cs="Tahoma"/>
          <w:b/>
          <w:bCs/>
          <w:sz w:val="20"/>
        </w:rPr>
        <w:t>0.000,-- Kč</w:t>
      </w:r>
      <w:r w:rsidRPr="003D3198">
        <w:rPr>
          <w:rFonts w:ascii="Tahoma" w:hAnsi="Tahoma" w:cs="Tahoma"/>
          <w:bCs/>
          <w:sz w:val="20"/>
        </w:rPr>
        <w:t xml:space="preserve"> (slovy: jedenmilión</w:t>
      </w:r>
      <w:r>
        <w:rPr>
          <w:rFonts w:ascii="Tahoma" w:hAnsi="Tahoma" w:cs="Tahoma"/>
          <w:bCs/>
          <w:sz w:val="20"/>
        </w:rPr>
        <w:t>padesát</w:t>
      </w:r>
      <w:r w:rsidRPr="003D3198">
        <w:rPr>
          <w:rFonts w:ascii="Tahoma" w:hAnsi="Tahoma" w:cs="Tahoma"/>
          <w:bCs/>
          <w:sz w:val="20"/>
        </w:rPr>
        <w:t xml:space="preserve">tisíc korun českých) je určena jako </w:t>
      </w:r>
      <w:r w:rsidRPr="003D3198">
        <w:rPr>
          <w:rFonts w:ascii="Tahoma" w:hAnsi="Tahoma" w:cs="Tahoma"/>
          <w:b/>
          <w:bCs/>
          <w:sz w:val="20"/>
        </w:rPr>
        <w:t>investiční dotace výhradně na úhradu</w:t>
      </w:r>
      <w:r w:rsidRPr="003D3198">
        <w:rPr>
          <w:rFonts w:ascii="Tahoma" w:hAnsi="Tahoma" w:cs="Tahoma"/>
          <w:bCs/>
          <w:sz w:val="20"/>
        </w:rPr>
        <w:t xml:space="preserve">: </w:t>
      </w:r>
    </w:p>
    <w:p w:rsidR="000F2076" w:rsidRPr="003D3198" w:rsidRDefault="000F2076" w:rsidP="000F2076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120"/>
        <w:ind w:left="1786" w:hanging="357"/>
        <w:textAlignment w:val="auto"/>
        <w:rPr>
          <w:rFonts w:ascii="Tahoma" w:hAnsi="Tahoma" w:cs="Tahoma"/>
          <w:bCs/>
          <w:sz w:val="20"/>
        </w:rPr>
      </w:pPr>
      <w:r w:rsidRPr="003D3198">
        <w:rPr>
          <w:rFonts w:ascii="Tahoma" w:hAnsi="Tahoma" w:cs="Tahoma"/>
          <w:bCs/>
          <w:sz w:val="20"/>
        </w:rPr>
        <w:t>nákladů na dokumentaci pro stavební části projektu,</w:t>
      </w:r>
    </w:p>
    <w:p w:rsidR="000F2076" w:rsidRPr="003D3198" w:rsidRDefault="000F2076" w:rsidP="000F2076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120"/>
        <w:ind w:left="1786" w:hanging="357"/>
        <w:textAlignment w:val="auto"/>
        <w:rPr>
          <w:rFonts w:ascii="Tahoma" w:hAnsi="Tahoma" w:cs="Tahoma"/>
          <w:bCs/>
          <w:sz w:val="20"/>
        </w:rPr>
      </w:pPr>
      <w:r w:rsidRPr="003D3198">
        <w:rPr>
          <w:rFonts w:ascii="Tahoma" w:hAnsi="Tahoma" w:cs="Tahoma"/>
          <w:bCs/>
          <w:sz w:val="20"/>
        </w:rPr>
        <w:t>nákladů na organizaci výběrového řízení,</w:t>
      </w:r>
    </w:p>
    <w:p w:rsidR="000F2076" w:rsidRPr="003D3198" w:rsidRDefault="000F2076" w:rsidP="000F2076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120"/>
        <w:ind w:left="1786" w:hanging="357"/>
        <w:textAlignment w:val="auto"/>
        <w:rPr>
          <w:rFonts w:ascii="Tahoma" w:hAnsi="Tahoma" w:cs="Tahoma"/>
          <w:bCs/>
          <w:sz w:val="20"/>
        </w:rPr>
      </w:pPr>
      <w:r w:rsidRPr="003D3198">
        <w:rPr>
          <w:rFonts w:ascii="Tahoma" w:hAnsi="Tahoma" w:cs="Tahoma"/>
          <w:bCs/>
          <w:sz w:val="20"/>
        </w:rPr>
        <w:t>nákupu dlouhodobého hmotného a nehmotného majetku v podobě informačních tabel s aplikací pro správu všech tabel. Tabla budou umístěna v 18 významných dopravních uzlech, resp. nádražích, ústředních zastávkách - Bílovec, Bohumín, Český Těšín, Frenštát pod Radhoštěm, Frýdek-Místek, Frýdlant nad Ostravicí, Havířov (2x), Kopřivnice (2x), Krnov, Návsí, Nový Jičín, Odry, Opava, Orlová, Ostrava-Svinov (2x), Rýmařov, Třinec (2x), Vítkov.</w:t>
      </w:r>
    </w:p>
    <w:p w:rsidR="000F2076" w:rsidRDefault="000F2076" w:rsidP="000F2076">
      <w:pPr>
        <w:pStyle w:val="Zkladntext"/>
        <w:tabs>
          <w:tab w:val="num" w:pos="1440"/>
        </w:tabs>
        <w:ind w:left="1440" w:hanging="180"/>
        <w:rPr>
          <w:rFonts w:ascii="Tahoma" w:hAnsi="Tahoma" w:cs="Tahoma"/>
          <w:sz w:val="20"/>
        </w:rPr>
      </w:pPr>
    </w:p>
    <w:p w:rsidR="000F2076" w:rsidRPr="0028762E" w:rsidRDefault="000F2076" w:rsidP="000F2076">
      <w:pPr>
        <w:pStyle w:val="Zkladntext"/>
        <w:numPr>
          <w:ilvl w:val="0"/>
          <w:numId w:val="10"/>
        </w:numPr>
        <w:overflowPunct/>
        <w:autoSpaceDE/>
        <w:autoSpaceDN/>
        <w:adjustRightInd/>
        <w:spacing w:before="60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Článek V. odst. 1 písm. a) smlouvy se mění takto:</w:t>
      </w:r>
    </w:p>
    <w:p w:rsidR="000F2076" w:rsidRPr="003509CF" w:rsidRDefault="000F2076" w:rsidP="000F2076">
      <w:pPr>
        <w:pStyle w:val="Zkladntext"/>
        <w:spacing w:before="120"/>
        <w:ind w:left="1418" w:hanging="425"/>
        <w:rPr>
          <w:rFonts w:ascii="Tahoma" w:hAnsi="Tahoma" w:cs="Tahoma"/>
          <w:bCs/>
          <w:color w:val="000000"/>
          <w:sz w:val="20"/>
        </w:rPr>
      </w:pPr>
      <w:r w:rsidRPr="003509CF">
        <w:rPr>
          <w:rFonts w:ascii="Tahoma" w:hAnsi="Tahoma" w:cs="Tahoma"/>
          <w:bCs/>
          <w:color w:val="000000"/>
          <w:sz w:val="20"/>
        </w:rPr>
        <w:t xml:space="preserve">„a) </w:t>
      </w:r>
      <w:r>
        <w:rPr>
          <w:rFonts w:ascii="Tahoma" w:hAnsi="Tahoma" w:cs="Tahoma"/>
          <w:bCs/>
          <w:color w:val="000000"/>
          <w:sz w:val="20"/>
        </w:rPr>
        <w:tab/>
      </w:r>
      <w:r w:rsidRPr="003509CF">
        <w:rPr>
          <w:rFonts w:ascii="Tahoma" w:hAnsi="Tahoma" w:cs="Tahoma"/>
          <w:bCs/>
          <w:color w:val="000000"/>
          <w:sz w:val="20"/>
        </w:rPr>
        <w:t>finanční prostředky odpovídající neinvestiční části dotace (viz čl. IV</w:t>
      </w:r>
      <w:r w:rsidR="00005C16">
        <w:rPr>
          <w:rFonts w:ascii="Tahoma" w:hAnsi="Tahoma" w:cs="Tahoma"/>
          <w:bCs/>
          <w:color w:val="000000"/>
          <w:sz w:val="20"/>
        </w:rPr>
        <w:t>.</w:t>
      </w:r>
      <w:r w:rsidRPr="003509CF">
        <w:rPr>
          <w:rFonts w:ascii="Tahoma" w:hAnsi="Tahoma" w:cs="Tahoma"/>
          <w:bCs/>
          <w:color w:val="000000"/>
          <w:sz w:val="20"/>
        </w:rPr>
        <w:t xml:space="preserve"> odst. 1 písm. a) této smlouvy) budou na účet příjemce převedeny ve dvou splátkách. Pr</w:t>
      </w:r>
      <w:r>
        <w:rPr>
          <w:rFonts w:ascii="Tahoma" w:hAnsi="Tahoma" w:cs="Tahoma"/>
          <w:bCs/>
          <w:color w:val="000000"/>
          <w:sz w:val="20"/>
        </w:rPr>
        <w:t>vní splátka ve výši Kč 100</w:t>
      </w:r>
      <w:r w:rsidRPr="003509CF">
        <w:rPr>
          <w:rFonts w:ascii="Tahoma" w:hAnsi="Tahoma" w:cs="Tahoma"/>
          <w:bCs/>
          <w:color w:val="000000"/>
          <w:sz w:val="20"/>
        </w:rPr>
        <w:t>.000,-- bude na účet příjemce převedena do 30 dnů od nabytí účinnosti této smlouvy, druhá splátka ve výši Kč 15</w:t>
      </w:r>
      <w:r>
        <w:rPr>
          <w:rFonts w:ascii="Tahoma" w:hAnsi="Tahoma" w:cs="Tahoma"/>
          <w:bCs/>
          <w:color w:val="000000"/>
          <w:sz w:val="20"/>
        </w:rPr>
        <w:t>0</w:t>
      </w:r>
      <w:r w:rsidRPr="003509CF">
        <w:rPr>
          <w:rFonts w:ascii="Tahoma" w:hAnsi="Tahoma" w:cs="Tahoma"/>
          <w:bCs/>
          <w:color w:val="000000"/>
          <w:sz w:val="20"/>
        </w:rPr>
        <w:t>.000,-- bude na účet příjemce převedena do 30. 6. 2014.</w:t>
      </w:r>
      <w:r>
        <w:rPr>
          <w:rFonts w:ascii="Tahoma" w:hAnsi="Tahoma" w:cs="Tahoma"/>
          <w:bCs/>
          <w:color w:val="000000"/>
          <w:sz w:val="20"/>
        </w:rPr>
        <w:t>“</w:t>
      </w:r>
    </w:p>
    <w:p w:rsidR="000F2076" w:rsidRDefault="000F2076" w:rsidP="000F2076">
      <w:pPr>
        <w:pStyle w:val="Zkladntext"/>
        <w:tabs>
          <w:tab w:val="num" w:pos="1440"/>
        </w:tabs>
        <w:ind w:left="1440" w:hanging="180"/>
        <w:rPr>
          <w:rFonts w:ascii="Tahoma" w:hAnsi="Tahoma" w:cs="Tahoma"/>
          <w:sz w:val="20"/>
        </w:rPr>
      </w:pPr>
    </w:p>
    <w:p w:rsidR="000F2076" w:rsidRPr="00963E4A" w:rsidRDefault="000F2076" w:rsidP="000F2076">
      <w:pPr>
        <w:pStyle w:val="Zkladntext"/>
        <w:numPr>
          <w:ilvl w:val="0"/>
          <w:numId w:val="10"/>
        </w:numPr>
        <w:overflowPunct/>
        <w:autoSpaceDE/>
        <w:autoSpaceDN/>
        <w:adjustRightInd/>
        <w:jc w:val="left"/>
        <w:textAlignment w:val="auto"/>
        <w:rPr>
          <w:rFonts w:ascii="Tahoma" w:hAnsi="Tahoma" w:cs="Tahoma"/>
          <w:sz w:val="20"/>
          <w:szCs w:val="20"/>
        </w:rPr>
      </w:pPr>
      <w:r w:rsidRPr="00963E4A">
        <w:rPr>
          <w:rFonts w:ascii="Tahoma" w:hAnsi="Tahoma" w:cs="Tahoma"/>
          <w:sz w:val="20"/>
          <w:szCs w:val="20"/>
        </w:rPr>
        <w:t>Čl</w:t>
      </w:r>
      <w:r>
        <w:rPr>
          <w:rFonts w:ascii="Tahoma" w:hAnsi="Tahoma" w:cs="Tahoma"/>
          <w:sz w:val="20"/>
          <w:szCs w:val="20"/>
        </w:rPr>
        <w:t>ánek</w:t>
      </w:r>
      <w:r w:rsidRPr="00963E4A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.</w:t>
      </w:r>
      <w:r w:rsidRPr="00963E4A">
        <w:rPr>
          <w:rFonts w:ascii="Tahoma" w:hAnsi="Tahoma" w:cs="Tahoma"/>
          <w:sz w:val="20"/>
          <w:szCs w:val="20"/>
        </w:rPr>
        <w:t xml:space="preserve"> odst. 2 písm. </w:t>
      </w:r>
      <w:r>
        <w:rPr>
          <w:rFonts w:ascii="Tahoma" w:hAnsi="Tahoma" w:cs="Tahoma"/>
          <w:sz w:val="20"/>
          <w:szCs w:val="20"/>
        </w:rPr>
        <w:t>d</w:t>
      </w:r>
      <w:r w:rsidRPr="00963E4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D1799D">
        <w:rPr>
          <w:rFonts w:ascii="Tahoma" w:hAnsi="Tahoma" w:cs="Tahoma"/>
          <w:sz w:val="20"/>
          <w:szCs w:val="20"/>
        </w:rPr>
        <w:t xml:space="preserve">smlouvy </w:t>
      </w:r>
      <w:r w:rsidRPr="00963E4A">
        <w:rPr>
          <w:rFonts w:ascii="Tahoma" w:hAnsi="Tahoma" w:cs="Tahoma"/>
          <w:sz w:val="20"/>
          <w:szCs w:val="20"/>
        </w:rPr>
        <w:t>se mění takto:</w:t>
      </w:r>
    </w:p>
    <w:p w:rsidR="000F2076" w:rsidRDefault="000F2076" w:rsidP="000F2076">
      <w:pPr>
        <w:pStyle w:val="Zkladntext"/>
        <w:spacing w:before="120"/>
        <w:ind w:left="357" w:firstLine="351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Pr="00963E4A">
        <w:rPr>
          <w:rFonts w:ascii="Tahoma" w:hAnsi="Tahoma" w:cs="Tahoma"/>
          <w:sz w:val="20"/>
          <w:szCs w:val="20"/>
        </w:rPr>
        <w:t xml:space="preserve">) ukončit realizaci projektu nejpozději do </w:t>
      </w:r>
      <w:r>
        <w:rPr>
          <w:rFonts w:ascii="Tahoma" w:hAnsi="Tahoma" w:cs="Tahoma"/>
          <w:sz w:val="20"/>
          <w:szCs w:val="20"/>
        </w:rPr>
        <w:t>31. 3. 2015,“</w:t>
      </w:r>
    </w:p>
    <w:p w:rsidR="000F2076" w:rsidRDefault="000F2076" w:rsidP="000F2076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F2076" w:rsidRDefault="000F2076" w:rsidP="000F2076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  <w:szCs w:val="20"/>
        </w:rPr>
      </w:pPr>
      <w:r w:rsidRPr="00963E4A">
        <w:rPr>
          <w:rFonts w:ascii="Tahoma" w:hAnsi="Tahoma" w:cs="Tahoma"/>
          <w:sz w:val="20"/>
          <w:szCs w:val="20"/>
        </w:rPr>
        <w:t>Čl</w:t>
      </w:r>
      <w:r>
        <w:rPr>
          <w:rFonts w:ascii="Tahoma" w:hAnsi="Tahoma" w:cs="Tahoma"/>
          <w:sz w:val="20"/>
          <w:szCs w:val="20"/>
        </w:rPr>
        <w:t>ánek</w:t>
      </w:r>
      <w:r w:rsidRPr="00963E4A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.</w:t>
      </w:r>
      <w:r w:rsidRPr="00963E4A">
        <w:rPr>
          <w:rFonts w:ascii="Tahoma" w:hAnsi="Tahoma" w:cs="Tahoma"/>
          <w:sz w:val="20"/>
          <w:szCs w:val="20"/>
        </w:rPr>
        <w:t xml:space="preserve"> odst. 2 písm. </w:t>
      </w:r>
      <w:r>
        <w:rPr>
          <w:rFonts w:ascii="Tahoma" w:hAnsi="Tahoma" w:cs="Tahoma"/>
          <w:sz w:val="20"/>
          <w:szCs w:val="20"/>
        </w:rPr>
        <w:t>h</w:t>
      </w:r>
      <w:r w:rsidRPr="00963E4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D1799D">
        <w:rPr>
          <w:rFonts w:ascii="Tahoma" w:hAnsi="Tahoma" w:cs="Tahoma"/>
          <w:sz w:val="20"/>
          <w:szCs w:val="20"/>
        </w:rPr>
        <w:t xml:space="preserve">smlouvy </w:t>
      </w:r>
      <w:r w:rsidRPr="00963E4A">
        <w:rPr>
          <w:rFonts w:ascii="Tahoma" w:hAnsi="Tahoma" w:cs="Tahoma"/>
          <w:sz w:val="20"/>
          <w:szCs w:val="20"/>
        </w:rPr>
        <w:t>se mění takto</w:t>
      </w:r>
      <w:r>
        <w:rPr>
          <w:rFonts w:ascii="Tahoma" w:hAnsi="Tahoma" w:cs="Tahoma"/>
          <w:sz w:val="20"/>
          <w:szCs w:val="20"/>
        </w:rPr>
        <w:t>:</w:t>
      </w:r>
    </w:p>
    <w:p w:rsidR="000F2076" w:rsidRDefault="000F2076" w:rsidP="000F2076">
      <w:pPr>
        <w:pStyle w:val="Zkladntext"/>
        <w:spacing w:before="12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 xml:space="preserve">„h) </w:t>
      </w:r>
      <w:r w:rsidRPr="00154A8B">
        <w:rPr>
          <w:rFonts w:ascii="Tahoma" w:hAnsi="Tahoma" w:cs="Tahoma"/>
          <w:color w:val="000000"/>
          <w:sz w:val="20"/>
        </w:rPr>
        <w:t xml:space="preserve">zpracovat </w:t>
      </w:r>
      <w:r w:rsidRPr="000E1BF8">
        <w:rPr>
          <w:rFonts w:ascii="Tahoma" w:hAnsi="Tahoma" w:cs="Tahoma"/>
          <w:b/>
          <w:color w:val="000000"/>
          <w:sz w:val="20"/>
        </w:rPr>
        <w:t xml:space="preserve">k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3"/>
        </w:smartTagPr>
        <w:r w:rsidRPr="000E1BF8">
          <w:rPr>
            <w:rFonts w:ascii="Tahoma" w:hAnsi="Tahoma" w:cs="Tahoma"/>
            <w:b/>
            <w:color w:val="000000"/>
            <w:sz w:val="20"/>
          </w:rPr>
          <w:t>31. 12. 2013</w:t>
        </w:r>
      </w:smartTag>
      <w:r w:rsidRPr="000E1BF8">
        <w:rPr>
          <w:rFonts w:ascii="Tahoma" w:hAnsi="Tahoma" w:cs="Tahoma"/>
          <w:b/>
          <w:color w:val="000000"/>
          <w:sz w:val="20"/>
        </w:rPr>
        <w:t xml:space="preserve"> a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4"/>
        </w:smartTagPr>
        <w:r w:rsidRPr="000E1BF8">
          <w:rPr>
            <w:rFonts w:ascii="Tahoma" w:hAnsi="Tahoma" w:cs="Tahoma"/>
            <w:b/>
            <w:color w:val="000000"/>
            <w:sz w:val="20"/>
          </w:rPr>
          <w:t>31. 12. 2014</w:t>
        </w:r>
      </w:smartTag>
      <w:r w:rsidRPr="00154A8B">
        <w:rPr>
          <w:rFonts w:ascii="Tahoma" w:hAnsi="Tahoma" w:cs="Tahoma"/>
          <w:color w:val="000000"/>
          <w:sz w:val="20"/>
        </w:rPr>
        <w:t xml:space="preserve"> </w:t>
      </w:r>
      <w:r w:rsidRPr="00154A8B">
        <w:rPr>
          <w:rFonts w:ascii="Tahoma" w:hAnsi="Tahoma" w:cs="Tahoma"/>
          <w:b/>
          <w:color w:val="000000"/>
          <w:sz w:val="20"/>
        </w:rPr>
        <w:t>průběžné vyúčtování</w:t>
      </w:r>
      <w:r w:rsidRPr="00154A8B">
        <w:rPr>
          <w:rFonts w:ascii="Tahoma" w:hAnsi="Tahoma" w:cs="Tahoma"/>
          <w:color w:val="000000"/>
          <w:sz w:val="20"/>
        </w:rPr>
        <w:t xml:space="preserve"> realizace projektu a předložit je spolu s kopiemi účetních dokladů vztahujících se k uznatelným nákladům projektu a týkajících se dotace, včetně dokladů o jejich úhradě poskytovateli nejpozději </w:t>
      </w:r>
      <w:r>
        <w:rPr>
          <w:rFonts w:ascii="Tahoma" w:hAnsi="Tahoma" w:cs="Tahoma"/>
          <w:b/>
          <w:color w:val="000000"/>
          <w:sz w:val="20"/>
        </w:rPr>
        <w:t>do </w:t>
      </w:r>
      <w:r w:rsidRPr="00154A8B">
        <w:rPr>
          <w:rFonts w:ascii="Tahoma" w:hAnsi="Tahoma" w:cs="Tahoma"/>
          <w:b/>
          <w:color w:val="000000"/>
          <w:sz w:val="20"/>
        </w:rPr>
        <w:t>15. 1. </w:t>
      </w:r>
      <w:r>
        <w:rPr>
          <w:rFonts w:ascii="Tahoma" w:hAnsi="Tahoma" w:cs="Tahoma"/>
          <w:b/>
          <w:color w:val="000000"/>
          <w:sz w:val="20"/>
        </w:rPr>
        <w:t>následujícího kalendářního roku</w:t>
      </w:r>
      <w:r w:rsidRPr="00154A8B">
        <w:rPr>
          <w:rFonts w:ascii="Tahoma" w:hAnsi="Tahoma" w:cs="Tahoma"/>
          <w:color w:val="000000"/>
          <w:sz w:val="20"/>
        </w:rPr>
        <w:t>; průběžné vyúčtování musí obsahovat popis postupu prací na projektu, průběžného naplňování</w:t>
      </w:r>
      <w:r>
        <w:rPr>
          <w:rFonts w:ascii="Tahoma" w:hAnsi="Tahoma" w:cs="Tahoma"/>
          <w:sz w:val="20"/>
        </w:rPr>
        <w:t xml:space="preserve"> účelového určení a zhodnocení dodržování závazných ukazatelů. Průběžné vyúčtování se považuje za předložené poskytovateli dnem jeho předání k přepravě provozovateli poštovních služeb nebo podáním na podatelně krajského úřadu. V rámci Závěrečného vyúčtování již příjemce není povinen předložit kopie účetních dokladů a dokladů o jejich úhradě, které předložil v rámci průběžného vyúčtování,“</w:t>
      </w:r>
    </w:p>
    <w:p w:rsidR="000F2076" w:rsidRDefault="000F2076" w:rsidP="000F2076">
      <w:pPr>
        <w:pStyle w:val="Zkladntext"/>
        <w:ind w:left="720"/>
        <w:rPr>
          <w:rFonts w:ascii="Tahoma" w:hAnsi="Tahoma" w:cs="Tahoma"/>
          <w:sz w:val="20"/>
          <w:szCs w:val="20"/>
        </w:rPr>
      </w:pPr>
    </w:p>
    <w:p w:rsidR="000F2076" w:rsidRDefault="000F2076" w:rsidP="000F2076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č</w:t>
      </w:r>
      <w:r w:rsidRPr="00963E4A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ánku</w:t>
      </w:r>
      <w:r w:rsidRPr="00963E4A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.</w:t>
      </w:r>
      <w:r w:rsidRPr="00963E4A">
        <w:rPr>
          <w:rFonts w:ascii="Tahoma" w:hAnsi="Tahoma" w:cs="Tahoma"/>
          <w:sz w:val="20"/>
          <w:szCs w:val="20"/>
        </w:rPr>
        <w:t xml:space="preserve"> odst. 2 </w:t>
      </w:r>
      <w:r w:rsidR="00D1799D">
        <w:rPr>
          <w:rFonts w:ascii="Tahoma" w:hAnsi="Tahoma" w:cs="Tahoma"/>
          <w:sz w:val="20"/>
          <w:szCs w:val="20"/>
        </w:rPr>
        <w:t xml:space="preserve">smlouvy </w:t>
      </w:r>
      <w:r>
        <w:rPr>
          <w:rFonts w:ascii="Tahoma" w:hAnsi="Tahoma" w:cs="Tahoma"/>
          <w:sz w:val="20"/>
          <w:szCs w:val="20"/>
        </w:rPr>
        <w:t>se v písm. i)</w:t>
      </w:r>
      <w:r w:rsidRPr="00963E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text</w:t>
      </w:r>
      <w:r w:rsidRPr="00D17564">
        <w:rPr>
          <w:rFonts w:ascii="Tahoma" w:hAnsi="Tahoma" w:cs="Tahoma"/>
          <w:sz w:val="20"/>
          <w:szCs w:val="20"/>
        </w:rPr>
        <w:t xml:space="preserve"> „</w:t>
      </w:r>
      <w:r w:rsidRPr="007D18B3">
        <w:rPr>
          <w:rFonts w:ascii="Tahoma" w:hAnsi="Tahoma" w:cs="Tahoma"/>
          <w:sz w:val="20"/>
          <w:szCs w:val="20"/>
        </w:rPr>
        <w:t xml:space="preserve">nejpozději </w:t>
      </w:r>
      <w:r w:rsidRPr="00D17564">
        <w:rPr>
          <w:rFonts w:ascii="Tahoma" w:hAnsi="Tahoma" w:cs="Tahoma"/>
          <w:sz w:val="20"/>
          <w:szCs w:val="20"/>
        </w:rPr>
        <w:t>do 31. 7. 201</w:t>
      </w:r>
      <w:r>
        <w:rPr>
          <w:rFonts w:ascii="Tahoma" w:hAnsi="Tahoma" w:cs="Tahoma"/>
          <w:sz w:val="20"/>
          <w:szCs w:val="20"/>
        </w:rPr>
        <w:t>4</w:t>
      </w:r>
      <w:r w:rsidRPr="00D17564">
        <w:rPr>
          <w:rFonts w:ascii="Tahoma" w:hAnsi="Tahoma" w:cs="Tahoma"/>
          <w:sz w:val="20"/>
          <w:szCs w:val="20"/>
        </w:rPr>
        <w:t xml:space="preserve">“ nahrazuje </w:t>
      </w:r>
      <w:r>
        <w:rPr>
          <w:rFonts w:ascii="Tahoma" w:hAnsi="Tahoma" w:cs="Tahoma"/>
          <w:sz w:val="20"/>
          <w:szCs w:val="20"/>
        </w:rPr>
        <w:t>textem</w:t>
      </w:r>
      <w:r w:rsidRPr="00D1756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Pr="007D18B3">
        <w:rPr>
          <w:rFonts w:ascii="Tahoma" w:hAnsi="Tahoma" w:cs="Tahoma"/>
          <w:sz w:val="20"/>
          <w:szCs w:val="20"/>
        </w:rPr>
        <w:t xml:space="preserve">nejpozději </w:t>
      </w:r>
      <w:r w:rsidRPr="00D17564">
        <w:rPr>
          <w:rFonts w:ascii="Tahoma" w:hAnsi="Tahoma" w:cs="Tahoma"/>
          <w:sz w:val="20"/>
          <w:szCs w:val="20"/>
        </w:rPr>
        <w:t>do 3</w:t>
      </w:r>
      <w:r>
        <w:rPr>
          <w:rFonts w:ascii="Tahoma" w:hAnsi="Tahoma" w:cs="Tahoma"/>
          <w:sz w:val="20"/>
          <w:szCs w:val="20"/>
        </w:rPr>
        <w:t>0</w:t>
      </w:r>
      <w:r w:rsidRPr="00D1756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4</w:t>
      </w:r>
      <w:r w:rsidRPr="00D17564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5</w:t>
      </w:r>
      <w:r w:rsidRPr="00D17564">
        <w:rPr>
          <w:rFonts w:ascii="Tahoma" w:hAnsi="Tahoma" w:cs="Tahoma"/>
          <w:sz w:val="20"/>
          <w:szCs w:val="20"/>
        </w:rPr>
        <w:t>“.</w:t>
      </w:r>
    </w:p>
    <w:p w:rsidR="000F2076" w:rsidRDefault="000F2076" w:rsidP="000F2076">
      <w:pPr>
        <w:pStyle w:val="Zkladntext"/>
        <w:ind w:left="720"/>
        <w:rPr>
          <w:rFonts w:ascii="Tahoma" w:hAnsi="Tahoma" w:cs="Tahoma"/>
          <w:sz w:val="20"/>
          <w:szCs w:val="20"/>
        </w:rPr>
      </w:pPr>
    </w:p>
    <w:p w:rsidR="000F2076" w:rsidRDefault="000F2076" w:rsidP="000F2076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č</w:t>
      </w:r>
      <w:r w:rsidRPr="00963E4A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ánku</w:t>
      </w:r>
      <w:r w:rsidRPr="00963E4A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.</w:t>
      </w:r>
      <w:r w:rsidRPr="00963E4A">
        <w:rPr>
          <w:rFonts w:ascii="Tahoma" w:hAnsi="Tahoma" w:cs="Tahoma"/>
          <w:sz w:val="20"/>
          <w:szCs w:val="20"/>
        </w:rPr>
        <w:t xml:space="preserve"> odst. 2 </w:t>
      </w:r>
      <w:r w:rsidR="00D1799D">
        <w:rPr>
          <w:rFonts w:ascii="Tahoma" w:hAnsi="Tahoma" w:cs="Tahoma"/>
          <w:sz w:val="20"/>
          <w:szCs w:val="20"/>
        </w:rPr>
        <w:t xml:space="preserve">smlouvy </w:t>
      </w:r>
      <w:r>
        <w:rPr>
          <w:rFonts w:ascii="Tahoma" w:hAnsi="Tahoma" w:cs="Tahoma"/>
          <w:sz w:val="20"/>
          <w:szCs w:val="20"/>
        </w:rPr>
        <w:t>se v písm. j)</w:t>
      </w:r>
      <w:r w:rsidRPr="00963E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text</w:t>
      </w:r>
      <w:r w:rsidRPr="00D17564">
        <w:rPr>
          <w:rFonts w:ascii="Tahoma" w:hAnsi="Tahoma" w:cs="Tahoma"/>
          <w:sz w:val="20"/>
          <w:szCs w:val="20"/>
        </w:rPr>
        <w:t xml:space="preserve"> „</w:t>
      </w:r>
      <w:r>
        <w:rPr>
          <w:rFonts w:ascii="Tahoma" w:hAnsi="Tahoma" w:cs="Tahoma"/>
          <w:sz w:val="20"/>
          <w:szCs w:val="20"/>
        </w:rPr>
        <w:t>a to</w:t>
      </w:r>
      <w:r w:rsidRPr="007D18B3">
        <w:rPr>
          <w:rFonts w:ascii="Tahoma" w:hAnsi="Tahoma" w:cs="Tahoma"/>
          <w:sz w:val="20"/>
          <w:szCs w:val="20"/>
        </w:rPr>
        <w:t xml:space="preserve"> </w:t>
      </w:r>
      <w:r w:rsidRPr="00D17564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7</w:t>
      </w:r>
      <w:r w:rsidRPr="00D1756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D17564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4</w:t>
      </w:r>
      <w:r w:rsidRPr="00D17564">
        <w:rPr>
          <w:rFonts w:ascii="Tahoma" w:hAnsi="Tahoma" w:cs="Tahoma"/>
          <w:sz w:val="20"/>
          <w:szCs w:val="20"/>
        </w:rPr>
        <w:t xml:space="preserve">“ nahrazuje </w:t>
      </w:r>
      <w:r>
        <w:rPr>
          <w:rFonts w:ascii="Tahoma" w:hAnsi="Tahoma" w:cs="Tahoma"/>
          <w:sz w:val="20"/>
          <w:szCs w:val="20"/>
        </w:rPr>
        <w:t>textem</w:t>
      </w:r>
      <w:r w:rsidRPr="00D1756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„a to </w:t>
      </w:r>
      <w:r w:rsidRPr="00D17564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7</w:t>
      </w:r>
      <w:r w:rsidRPr="00D1756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5</w:t>
      </w:r>
      <w:r w:rsidRPr="00D17564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5</w:t>
      </w:r>
      <w:r w:rsidRPr="00D17564">
        <w:rPr>
          <w:rFonts w:ascii="Tahoma" w:hAnsi="Tahoma" w:cs="Tahoma"/>
          <w:sz w:val="20"/>
          <w:szCs w:val="20"/>
        </w:rPr>
        <w:t>“.</w:t>
      </w:r>
    </w:p>
    <w:p w:rsidR="000F2076" w:rsidRPr="0001719F" w:rsidRDefault="000F2076" w:rsidP="000F2076">
      <w:pPr>
        <w:pStyle w:val="Zkladntext"/>
        <w:rPr>
          <w:rFonts w:ascii="Tahoma" w:hAnsi="Tahoma" w:cs="Tahoma"/>
          <w:sz w:val="20"/>
          <w:szCs w:val="20"/>
        </w:rPr>
      </w:pPr>
    </w:p>
    <w:p w:rsidR="000F2076" w:rsidRPr="00963E4A" w:rsidRDefault="000F2076" w:rsidP="001164E5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  <w:szCs w:val="20"/>
        </w:rPr>
      </w:pPr>
      <w:r w:rsidRPr="00963E4A">
        <w:rPr>
          <w:rFonts w:ascii="Tahoma" w:hAnsi="Tahoma" w:cs="Tahoma"/>
          <w:sz w:val="20"/>
          <w:szCs w:val="20"/>
        </w:rPr>
        <w:t>Čl</w:t>
      </w:r>
      <w:r>
        <w:rPr>
          <w:rFonts w:ascii="Tahoma" w:hAnsi="Tahoma" w:cs="Tahoma"/>
          <w:sz w:val="20"/>
          <w:szCs w:val="20"/>
        </w:rPr>
        <w:t>ánek</w:t>
      </w:r>
      <w:r w:rsidRPr="00963E4A">
        <w:rPr>
          <w:rFonts w:ascii="Tahoma" w:hAnsi="Tahoma" w:cs="Tahoma"/>
          <w:sz w:val="20"/>
          <w:szCs w:val="20"/>
        </w:rPr>
        <w:t xml:space="preserve"> VI. odst. 1 písm. a) </w:t>
      </w:r>
      <w:r w:rsidR="00D1799D">
        <w:rPr>
          <w:rFonts w:ascii="Tahoma" w:hAnsi="Tahoma" w:cs="Tahoma"/>
          <w:sz w:val="20"/>
          <w:szCs w:val="20"/>
        </w:rPr>
        <w:t xml:space="preserve">smlouvy </w:t>
      </w:r>
      <w:r w:rsidRPr="00963E4A">
        <w:rPr>
          <w:rFonts w:ascii="Tahoma" w:hAnsi="Tahoma" w:cs="Tahoma"/>
          <w:sz w:val="20"/>
          <w:szCs w:val="20"/>
        </w:rPr>
        <w:t xml:space="preserve">se mění takto: </w:t>
      </w:r>
    </w:p>
    <w:p w:rsidR="000F2076" w:rsidRPr="00094B24" w:rsidRDefault="000F2076" w:rsidP="001164E5">
      <w:pPr>
        <w:pStyle w:val="Zkladntext"/>
        <w:spacing w:before="120"/>
        <w:ind w:left="709" w:hang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963E4A"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b/>
          <w:sz w:val="20"/>
        </w:rPr>
        <w:t>vznikl a byl příjemcem uhrazen v období</w:t>
      </w:r>
      <w:r>
        <w:rPr>
          <w:rFonts w:ascii="Tahoma" w:hAnsi="Tahoma" w:cs="Tahoma"/>
          <w:sz w:val="20"/>
        </w:rPr>
        <w:t xml:space="preserve"> realizace projektu, tj. v období </w:t>
      </w:r>
      <w:r>
        <w:rPr>
          <w:rFonts w:ascii="Tahoma" w:hAnsi="Tahoma" w:cs="Tahoma"/>
          <w:b/>
          <w:sz w:val="20"/>
        </w:rPr>
        <w:t>od 1. 1. 2013 do 31. 3. 2015</w:t>
      </w:r>
      <w:r>
        <w:rPr>
          <w:rFonts w:ascii="Tahoma" w:hAnsi="Tahoma" w:cs="Tahoma"/>
          <w:sz w:val="20"/>
        </w:rPr>
        <w:t>,“</w:t>
      </w:r>
    </w:p>
    <w:p w:rsidR="000F2076" w:rsidRDefault="000F2076" w:rsidP="000F2076">
      <w:pPr>
        <w:pStyle w:val="Zkladntext"/>
        <w:tabs>
          <w:tab w:val="num" w:pos="1440"/>
        </w:tabs>
        <w:ind w:left="1440" w:hanging="180"/>
        <w:rPr>
          <w:rFonts w:ascii="Tahoma" w:hAnsi="Tahoma" w:cs="Tahoma"/>
          <w:sz w:val="20"/>
        </w:rPr>
      </w:pPr>
    </w:p>
    <w:p w:rsidR="000F2076" w:rsidRDefault="000F2076" w:rsidP="000F2076">
      <w:pPr>
        <w:pStyle w:val="Zkladntext"/>
        <w:ind w:left="357" w:hanging="357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III.</w:t>
      </w:r>
    </w:p>
    <w:p w:rsidR="000F2076" w:rsidRDefault="000F2076" w:rsidP="000F2076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Závěrečná ustanovení</w:t>
      </w:r>
    </w:p>
    <w:p w:rsidR="000F2076" w:rsidRDefault="000F2076" w:rsidP="000F2076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0"/>
        </w:rPr>
      </w:pPr>
    </w:p>
    <w:p w:rsidR="000F2076" w:rsidRDefault="000F2076" w:rsidP="000F2076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Ustanovení smlouvy tímto dodatkem neupravená zůstávají v platnosti beze změny.</w:t>
      </w:r>
    </w:p>
    <w:p w:rsidR="000F2076" w:rsidRDefault="000F2076" w:rsidP="000F2076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Tento dodatek je vyhotoven ve čtyřech stejnopisech s platností originálu, podepsaných oprávněnými zástupci smluvních stran, přičemž poskytovatel obdrží tři a příjemce jedno jeho vyhotovení. </w:t>
      </w:r>
    </w:p>
    <w:p w:rsidR="000F2076" w:rsidRDefault="000F2076" w:rsidP="000F2076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 nabývá platnosti dnem jeho podpisu oběma smluvními stranami a účinnosti dnem, kdy vyjádření souhlasu s obsahem návrhu tohoto dodatku dojde druhé smluvní straně.</w:t>
      </w:r>
    </w:p>
    <w:p w:rsidR="000F2076" w:rsidRDefault="000F2076" w:rsidP="000F2076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A232A3">
        <w:rPr>
          <w:rFonts w:ascii="Tahoma" w:hAnsi="Tahoma" w:cs="Tahoma"/>
          <w:sz w:val="20"/>
        </w:rPr>
        <w:t>jednání</w:t>
      </w:r>
      <w:r>
        <w:rPr>
          <w:rFonts w:ascii="Tahoma" w:hAnsi="Tahoma" w:cs="Tahoma"/>
          <w:sz w:val="20"/>
        </w:rPr>
        <w:t xml:space="preserve"> dle § 23 zákona č. 129/2000 Sb., o krajích (krajské zřízení), ve znění pozdějších předpisů:</w:t>
      </w:r>
    </w:p>
    <w:p w:rsidR="000F2076" w:rsidRDefault="000F2076" w:rsidP="000F2076">
      <w:pPr>
        <w:pStyle w:val="Zkladntextodsazen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 uzavření tohoto dodatku má Moravskoslezský kraj souhlas zastupitelstva kraje udělený usnesením č. …/…… ze dne 12. 6. 2014.</w:t>
      </w:r>
    </w:p>
    <w:p w:rsidR="000F2076" w:rsidRDefault="000F2076" w:rsidP="000F2076">
      <w:pPr>
        <w:pStyle w:val="Zkladntext"/>
        <w:ind w:left="357" w:hanging="357"/>
        <w:jc w:val="center"/>
        <w:rPr>
          <w:rFonts w:ascii="Tahoma" w:hAnsi="Tahoma" w:cs="Tahoma"/>
          <w:sz w:val="20"/>
        </w:rPr>
      </w:pP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3960"/>
      </w:tblGrid>
      <w:tr w:rsidR="000F2076" w:rsidTr="00FD0E14">
        <w:tc>
          <w:tcPr>
            <w:tcW w:w="3780" w:type="dxa"/>
          </w:tcPr>
          <w:p w:rsidR="000F2076" w:rsidRDefault="000F2076" w:rsidP="00FD0E1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900" w:type="dxa"/>
          </w:tcPr>
          <w:p w:rsidR="000F2076" w:rsidRDefault="000F2076" w:rsidP="00FD0E1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</w:tcPr>
          <w:p w:rsidR="000F2076" w:rsidRDefault="000F2076" w:rsidP="00FD0E1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Ostravě dne: </w:t>
            </w:r>
          </w:p>
        </w:tc>
      </w:tr>
      <w:tr w:rsidR="000F2076" w:rsidTr="00FD0E14">
        <w:trPr>
          <w:trHeight w:val="700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F2076" w:rsidRDefault="000F2076" w:rsidP="00FD0E1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0F2076" w:rsidRDefault="000F2076" w:rsidP="00FD0E1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F2076" w:rsidRDefault="000F2076" w:rsidP="00FD0E14">
            <w:pPr>
              <w:rPr>
                <w:rFonts w:ascii="Tahoma" w:hAnsi="Tahoma" w:cs="Tahoma"/>
                <w:sz w:val="20"/>
              </w:rPr>
            </w:pPr>
          </w:p>
        </w:tc>
      </w:tr>
      <w:tr w:rsidR="000F2076" w:rsidTr="00FD0E14">
        <w:trPr>
          <w:trHeight w:val="70"/>
        </w:trPr>
        <w:tc>
          <w:tcPr>
            <w:tcW w:w="3780" w:type="dxa"/>
            <w:tcBorders>
              <w:top w:val="single" w:sz="4" w:space="0" w:color="auto"/>
            </w:tcBorders>
          </w:tcPr>
          <w:p w:rsidR="000F2076" w:rsidRDefault="000F2076" w:rsidP="00FD0E1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:rsidR="000F2076" w:rsidRDefault="000F2076" w:rsidP="00FD0E1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0F2076" w:rsidRDefault="000F2076" w:rsidP="00FD0E1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F2076" w:rsidRDefault="000F2076" w:rsidP="00FD0E1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:rsidR="000F2076" w:rsidRDefault="000F2076" w:rsidP="00FD0E14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0F2076" w:rsidRPr="00445C8E" w:rsidRDefault="000F2076" w:rsidP="00FD0E1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0F2076" w:rsidRDefault="000F2076" w:rsidP="000F2076">
      <w:pPr>
        <w:pStyle w:val="Zkladntext"/>
        <w:rPr>
          <w:rFonts w:ascii="Tahoma" w:hAnsi="Tahoma" w:cs="Tahoma"/>
          <w:sz w:val="20"/>
        </w:rPr>
      </w:pPr>
    </w:p>
    <w:p w:rsidR="000F2076" w:rsidRDefault="000F2076" w:rsidP="000F2076">
      <w:pPr>
        <w:pStyle w:val="Zkladntext"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0F2076" w:rsidRDefault="000F2076" w:rsidP="000F2076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sectPr w:rsidR="000F2076" w:rsidSect="00824D0A">
      <w:footerReference w:type="even" r:id="rId8"/>
      <w:footerReference w:type="default" r:id="rId9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FF" w:rsidRDefault="00394DFF">
      <w:r>
        <w:separator/>
      </w:r>
    </w:p>
  </w:endnote>
  <w:endnote w:type="continuationSeparator" w:id="0">
    <w:p w:rsidR="00394DFF" w:rsidRDefault="0039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CA" w:rsidRDefault="001A3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39CA" w:rsidRDefault="001A39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CA" w:rsidRDefault="001A39CA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5F0DFD">
      <w:rPr>
        <w:rStyle w:val="slostrnky"/>
        <w:rFonts w:ascii="Tahoma" w:hAnsi="Tahoma" w:cs="Tahoma"/>
        <w:noProof/>
      </w:rPr>
      <w:t>3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FF" w:rsidRDefault="00394DFF">
      <w:pPr>
        <w:pStyle w:val="Zkladntext"/>
      </w:pPr>
      <w:r>
        <w:separator/>
      </w:r>
    </w:p>
  </w:footnote>
  <w:footnote w:type="continuationSeparator" w:id="0">
    <w:p w:rsidR="00394DFF" w:rsidRDefault="0039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86"/>
    <w:multiLevelType w:val="hybridMultilevel"/>
    <w:tmpl w:val="A92C8D78"/>
    <w:lvl w:ilvl="0" w:tplc="0F3CECFA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8F7B83"/>
    <w:multiLevelType w:val="singleLevel"/>
    <w:tmpl w:val="F78C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3">
    <w:nsid w:val="1AF2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0C1C96"/>
    <w:multiLevelType w:val="singleLevel"/>
    <w:tmpl w:val="A31031D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78C6A16"/>
    <w:multiLevelType w:val="hybridMultilevel"/>
    <w:tmpl w:val="455E8BDC"/>
    <w:lvl w:ilvl="0" w:tplc="200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E05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74626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B545E"/>
    <w:multiLevelType w:val="hybridMultilevel"/>
    <w:tmpl w:val="59A0C2DC"/>
    <w:lvl w:ilvl="0" w:tplc="D5F0DAC6"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86013CC"/>
    <w:multiLevelType w:val="hybridMultilevel"/>
    <w:tmpl w:val="3766D1E2"/>
    <w:lvl w:ilvl="0" w:tplc="F266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5508A"/>
    <w:multiLevelType w:val="multilevel"/>
    <w:tmpl w:val="A94A1E00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B7761F5"/>
    <w:multiLevelType w:val="singleLevel"/>
    <w:tmpl w:val="03BC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0"/>
    <w:rsid w:val="00005C16"/>
    <w:rsid w:val="000171E8"/>
    <w:rsid w:val="00023FC8"/>
    <w:rsid w:val="0003715F"/>
    <w:rsid w:val="0005034D"/>
    <w:rsid w:val="00077F08"/>
    <w:rsid w:val="000E4F32"/>
    <w:rsid w:val="000F2076"/>
    <w:rsid w:val="001164E5"/>
    <w:rsid w:val="001A39CA"/>
    <w:rsid w:val="001C2BD4"/>
    <w:rsid w:val="001F41C7"/>
    <w:rsid w:val="00250292"/>
    <w:rsid w:val="00254329"/>
    <w:rsid w:val="00274DE7"/>
    <w:rsid w:val="0028505A"/>
    <w:rsid w:val="002E1020"/>
    <w:rsid w:val="002E10F4"/>
    <w:rsid w:val="00353B01"/>
    <w:rsid w:val="00394DFF"/>
    <w:rsid w:val="003A35AB"/>
    <w:rsid w:val="003A39AE"/>
    <w:rsid w:val="003C21C8"/>
    <w:rsid w:val="003C6DB0"/>
    <w:rsid w:val="003D06BA"/>
    <w:rsid w:val="003F22FD"/>
    <w:rsid w:val="00405ED5"/>
    <w:rsid w:val="004437FA"/>
    <w:rsid w:val="004E643D"/>
    <w:rsid w:val="00512706"/>
    <w:rsid w:val="00521C12"/>
    <w:rsid w:val="00533DF4"/>
    <w:rsid w:val="0056482A"/>
    <w:rsid w:val="0059119C"/>
    <w:rsid w:val="005F0DFD"/>
    <w:rsid w:val="006053B6"/>
    <w:rsid w:val="00621686"/>
    <w:rsid w:val="006270F7"/>
    <w:rsid w:val="00647985"/>
    <w:rsid w:val="006731A6"/>
    <w:rsid w:val="00674D98"/>
    <w:rsid w:val="006B0677"/>
    <w:rsid w:val="006C25F3"/>
    <w:rsid w:val="006E5243"/>
    <w:rsid w:val="00701FB3"/>
    <w:rsid w:val="00702DCE"/>
    <w:rsid w:val="00724DCC"/>
    <w:rsid w:val="00736109"/>
    <w:rsid w:val="0075120E"/>
    <w:rsid w:val="00763DBA"/>
    <w:rsid w:val="00773F2F"/>
    <w:rsid w:val="007A4A2F"/>
    <w:rsid w:val="00824D0A"/>
    <w:rsid w:val="00865A66"/>
    <w:rsid w:val="00872967"/>
    <w:rsid w:val="008A317D"/>
    <w:rsid w:val="008A74FC"/>
    <w:rsid w:val="008D1EFC"/>
    <w:rsid w:val="008E1490"/>
    <w:rsid w:val="008F1628"/>
    <w:rsid w:val="00925EF8"/>
    <w:rsid w:val="00970693"/>
    <w:rsid w:val="009A3D2F"/>
    <w:rsid w:val="009D7802"/>
    <w:rsid w:val="009F4E02"/>
    <w:rsid w:val="00A02B80"/>
    <w:rsid w:val="00A04370"/>
    <w:rsid w:val="00A232A3"/>
    <w:rsid w:val="00A26DCC"/>
    <w:rsid w:val="00A34D20"/>
    <w:rsid w:val="00A55138"/>
    <w:rsid w:val="00A70C1C"/>
    <w:rsid w:val="00A94C8E"/>
    <w:rsid w:val="00AD0955"/>
    <w:rsid w:val="00AF2402"/>
    <w:rsid w:val="00AF7AED"/>
    <w:rsid w:val="00B40021"/>
    <w:rsid w:val="00B47056"/>
    <w:rsid w:val="00B70428"/>
    <w:rsid w:val="00B7788B"/>
    <w:rsid w:val="00B83936"/>
    <w:rsid w:val="00BA6AB2"/>
    <w:rsid w:val="00BB7A2E"/>
    <w:rsid w:val="00BD0800"/>
    <w:rsid w:val="00BF3668"/>
    <w:rsid w:val="00C00E6E"/>
    <w:rsid w:val="00C037FA"/>
    <w:rsid w:val="00C136D8"/>
    <w:rsid w:val="00C333F1"/>
    <w:rsid w:val="00C44E6B"/>
    <w:rsid w:val="00C5680B"/>
    <w:rsid w:val="00C70F80"/>
    <w:rsid w:val="00C760AA"/>
    <w:rsid w:val="00CD1E01"/>
    <w:rsid w:val="00CE14BB"/>
    <w:rsid w:val="00CF1063"/>
    <w:rsid w:val="00D1799D"/>
    <w:rsid w:val="00D357FE"/>
    <w:rsid w:val="00D946C5"/>
    <w:rsid w:val="00DF69B3"/>
    <w:rsid w:val="00E11FAA"/>
    <w:rsid w:val="00E3182F"/>
    <w:rsid w:val="00E40DE8"/>
    <w:rsid w:val="00E4216E"/>
    <w:rsid w:val="00E64918"/>
    <w:rsid w:val="00EB53C0"/>
    <w:rsid w:val="00F36BF6"/>
    <w:rsid w:val="00F40AB0"/>
    <w:rsid w:val="00F65EB8"/>
    <w:rsid w:val="00F82237"/>
    <w:rsid w:val="00F84533"/>
    <w:rsid w:val="00F90854"/>
    <w:rsid w:val="00F96AA5"/>
    <w:rsid w:val="00FC083E"/>
    <w:rsid w:val="00FC1509"/>
    <w:rsid w:val="00FD0E14"/>
    <w:rsid w:val="00FD3CD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F207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F2076"/>
    <w:rPr>
      <w:sz w:val="16"/>
      <w:szCs w:val="16"/>
    </w:rPr>
  </w:style>
  <w:style w:type="paragraph" w:styleId="Nzev">
    <w:name w:val="Title"/>
    <w:basedOn w:val="Normln"/>
    <w:link w:val="NzevChar"/>
    <w:qFormat/>
    <w:rsid w:val="000F2076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0F2076"/>
    <w:rPr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F207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F2076"/>
    <w:rPr>
      <w:sz w:val="16"/>
      <w:szCs w:val="16"/>
    </w:rPr>
  </w:style>
  <w:style w:type="paragraph" w:styleId="Nzev">
    <w:name w:val="Title"/>
    <w:basedOn w:val="Normln"/>
    <w:link w:val="NzevChar"/>
    <w:qFormat/>
    <w:rsid w:val="000F2076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0F2076"/>
    <w:rPr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</TotalTime>
  <Pages>3</Pages>
  <Words>833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Procházka Tomáš</cp:lastModifiedBy>
  <cp:revision>7</cp:revision>
  <cp:lastPrinted>2014-05-19T12:19:00Z</cp:lastPrinted>
  <dcterms:created xsi:type="dcterms:W3CDTF">2014-05-19T12:07:00Z</dcterms:created>
  <dcterms:modified xsi:type="dcterms:W3CDTF">2014-05-28T09:30:00Z</dcterms:modified>
</cp:coreProperties>
</file>