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66B0F" w14:textId="77777777" w:rsidR="00D336F4" w:rsidRPr="008A61DF" w:rsidRDefault="00D336F4" w:rsidP="00D336F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2360F8">
        <w:rPr>
          <w:rFonts w:ascii="Tahoma" w:hAnsi="Tahoma" w:cs="Tahoma"/>
          <w:b/>
          <w:bCs/>
          <w:u w:val="single"/>
        </w:rPr>
        <w:t>Příloha č. 1</w:t>
      </w:r>
      <w:r>
        <w:rPr>
          <w:rFonts w:ascii="Tahoma" w:hAnsi="Tahoma" w:cs="Tahoma"/>
          <w:b/>
          <w:bCs/>
        </w:rPr>
        <w:t>:</w:t>
      </w:r>
    </w:p>
    <w:p w14:paraId="5F85DE49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2DAD8D6F" w14:textId="77777777" w:rsidR="00D336F4" w:rsidRPr="00CC396C" w:rsidRDefault="00D336F4" w:rsidP="00D336F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CC396C">
        <w:rPr>
          <w:rFonts w:ascii="Tahoma" w:hAnsi="Tahoma" w:cs="Tahoma"/>
          <w:b/>
          <w:bCs/>
        </w:rPr>
        <w:t xml:space="preserve">Důvodová zpráva  </w:t>
      </w:r>
    </w:p>
    <w:p w14:paraId="761798EA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2522EB1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Moravskoslezský kraj (dále též jen „</w:t>
      </w:r>
      <w:r w:rsidRPr="00CC396C">
        <w:rPr>
          <w:rFonts w:ascii="Tahoma" w:hAnsi="Tahoma" w:cs="Tahoma"/>
          <w:sz w:val="20"/>
          <w:szCs w:val="20"/>
        </w:rPr>
        <w:t>MSK</w:t>
      </w:r>
      <w:r>
        <w:rPr>
          <w:rFonts w:ascii="Tahoma" w:hAnsi="Tahoma" w:cs="Tahoma"/>
          <w:sz w:val="20"/>
          <w:szCs w:val="20"/>
        </w:rPr>
        <w:t>“)</w:t>
      </w:r>
      <w:r w:rsidRPr="00CC396C">
        <w:rPr>
          <w:rFonts w:ascii="Tahoma" w:hAnsi="Tahoma" w:cs="Tahoma"/>
          <w:sz w:val="20"/>
          <w:szCs w:val="20"/>
        </w:rPr>
        <w:t xml:space="preserve"> deklaroval, spolu s ostatními kraji, nutnost změny nastavení RUD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pro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kraje, které bylo pro kraje zafixováno od roku 2005. Proto se podílel i na analýze výdajů jednotlivých krajů a stanovení kritérií a vah, které by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dynamicky každoročně odrážely ekonomický vývoj v jednotlivých krajích. Tato kritéria a váhy schválila 21.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4.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2022 i Komise pro financování a majetek krajů Rady Asociace krajů ČR (dále jen „Komise Rady AK ČR“).</w:t>
      </w:r>
    </w:p>
    <w:p w14:paraId="25D5DC26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</w:p>
    <w:p w14:paraId="186B58DA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CC396C">
        <w:rPr>
          <w:rFonts w:ascii="Tahoma" w:hAnsi="Tahoma" w:cs="Tahoma"/>
          <w:b/>
          <w:bCs/>
          <w:sz w:val="20"/>
          <w:szCs w:val="20"/>
          <w:u w:val="single"/>
        </w:rPr>
        <w:t>Shrnutí vládního návrhu</w:t>
      </w:r>
    </w:p>
    <w:p w14:paraId="693C72C4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 xml:space="preserve">Předložený vládní návrh novely zákona (vláda schválila usnesením č. 291 dne 7. 5. 2024 a současně jej předložila </w:t>
      </w:r>
      <w:r>
        <w:rPr>
          <w:rFonts w:ascii="Tahoma" w:hAnsi="Tahoma" w:cs="Tahoma"/>
          <w:sz w:val="20"/>
          <w:szCs w:val="20"/>
        </w:rPr>
        <w:t>P</w:t>
      </w:r>
      <w:r w:rsidRPr="00CC396C">
        <w:rPr>
          <w:rFonts w:ascii="Tahoma" w:hAnsi="Tahoma" w:cs="Tahoma"/>
          <w:sz w:val="20"/>
          <w:szCs w:val="20"/>
        </w:rPr>
        <w:t>oslanecké sněmovně-sněmovn</w:t>
      </w:r>
      <w:r>
        <w:rPr>
          <w:rFonts w:ascii="Tahoma" w:hAnsi="Tahoma" w:cs="Tahoma"/>
          <w:sz w:val="20"/>
          <w:szCs w:val="20"/>
        </w:rPr>
        <w:t>í</w:t>
      </w:r>
      <w:r w:rsidRPr="00CC396C">
        <w:rPr>
          <w:rFonts w:ascii="Tahoma" w:hAnsi="Tahoma" w:cs="Tahoma"/>
          <w:sz w:val="20"/>
          <w:szCs w:val="20"/>
        </w:rPr>
        <w:t xml:space="preserve"> tisk 70</w:t>
      </w:r>
      <w:r>
        <w:rPr>
          <w:rFonts w:ascii="Tahoma" w:hAnsi="Tahoma" w:cs="Tahoma"/>
          <w:sz w:val="20"/>
          <w:szCs w:val="20"/>
        </w:rPr>
        <w:t>1</w:t>
      </w:r>
      <w:r w:rsidRPr="00CC396C">
        <w:rPr>
          <w:rFonts w:ascii="Tahoma" w:hAnsi="Tahoma" w:cs="Tahoma"/>
          <w:sz w:val="20"/>
          <w:szCs w:val="20"/>
        </w:rPr>
        <w:t xml:space="preserve">) vychází z varianty schválené Radou AK ČR </w:t>
      </w:r>
      <w:r>
        <w:rPr>
          <w:rFonts w:ascii="Tahoma" w:hAnsi="Tahoma" w:cs="Tahoma"/>
          <w:sz w:val="20"/>
          <w:szCs w:val="20"/>
        </w:rPr>
        <w:t xml:space="preserve">dne </w:t>
      </w:r>
      <w:r w:rsidRPr="00CC396C">
        <w:rPr>
          <w:rFonts w:ascii="Tahoma" w:hAnsi="Tahoma" w:cs="Tahoma"/>
          <w:sz w:val="20"/>
          <w:szCs w:val="20"/>
        </w:rPr>
        <w:t>14. 3. 2024</w:t>
      </w:r>
      <w:r>
        <w:rPr>
          <w:rFonts w:ascii="Tahoma" w:hAnsi="Tahoma" w:cs="Tahoma"/>
          <w:sz w:val="20"/>
          <w:szCs w:val="20"/>
        </w:rPr>
        <w:t>, kdy pro bylo </w:t>
      </w:r>
      <w:r w:rsidRPr="00CC396C">
        <w:rPr>
          <w:rFonts w:ascii="Tahoma" w:hAnsi="Tahoma" w:cs="Tahoma"/>
          <w:sz w:val="20"/>
          <w:szCs w:val="20"/>
        </w:rPr>
        <w:t>11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ze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14 krajů</w:t>
      </w:r>
      <w:r>
        <w:rPr>
          <w:rFonts w:ascii="Tahoma" w:hAnsi="Tahoma" w:cs="Tahoma"/>
          <w:sz w:val="20"/>
          <w:szCs w:val="20"/>
        </w:rPr>
        <w:t xml:space="preserve"> (</w:t>
      </w:r>
      <w:r w:rsidRPr="00CC396C">
        <w:rPr>
          <w:rFonts w:ascii="Tahoma" w:hAnsi="Tahoma" w:cs="Tahoma"/>
          <w:sz w:val="20"/>
          <w:szCs w:val="20"/>
        </w:rPr>
        <w:t>proti</w:t>
      </w:r>
      <w:r>
        <w:rPr>
          <w:rFonts w:ascii="Tahoma" w:hAnsi="Tahoma" w:cs="Tahoma"/>
          <w:sz w:val="20"/>
          <w:szCs w:val="20"/>
        </w:rPr>
        <w:t>:</w:t>
      </w:r>
      <w:r w:rsidRPr="00CC396C">
        <w:rPr>
          <w:rFonts w:ascii="Tahoma" w:hAnsi="Tahoma" w:cs="Tahoma"/>
          <w:sz w:val="20"/>
          <w:szCs w:val="20"/>
        </w:rPr>
        <w:t xml:space="preserve"> hl. město Praha, Ústecký kraj a MSK). Tato varianta vychází z jednání pouze některých hejtmanů</w:t>
      </w:r>
      <w:r>
        <w:rPr>
          <w:rFonts w:ascii="Tahoma" w:hAnsi="Tahoma" w:cs="Tahoma"/>
          <w:sz w:val="20"/>
          <w:szCs w:val="20"/>
        </w:rPr>
        <w:t xml:space="preserve"> v rámci AK ČR</w:t>
      </w:r>
      <w:r w:rsidRPr="00CC396C">
        <w:rPr>
          <w:rFonts w:ascii="Tahoma" w:hAnsi="Tahoma" w:cs="Tahoma"/>
          <w:sz w:val="20"/>
          <w:szCs w:val="20"/>
        </w:rPr>
        <w:t xml:space="preserve">, bez účasti zástupců MSK. MSK podal </w:t>
      </w:r>
      <w:r>
        <w:rPr>
          <w:rFonts w:ascii="Tahoma" w:hAnsi="Tahoma" w:cs="Tahoma"/>
          <w:sz w:val="20"/>
          <w:szCs w:val="20"/>
        </w:rPr>
        <w:t xml:space="preserve">před zasedáním Rady AK ČR </w:t>
      </w:r>
      <w:r w:rsidRPr="00CC396C">
        <w:rPr>
          <w:rFonts w:ascii="Tahoma" w:hAnsi="Tahoma" w:cs="Tahoma"/>
          <w:sz w:val="20"/>
          <w:szCs w:val="20"/>
        </w:rPr>
        <w:t>2 protinávrhy, které by zmírnily negativní dopad na MSK, tyto</w:t>
      </w:r>
      <w:r>
        <w:rPr>
          <w:rFonts w:ascii="Tahoma" w:hAnsi="Tahoma" w:cs="Tahoma"/>
          <w:sz w:val="20"/>
          <w:szCs w:val="20"/>
        </w:rPr>
        <w:t xml:space="preserve"> </w:t>
      </w:r>
      <w:r w:rsidRPr="00CC396C">
        <w:rPr>
          <w:rFonts w:ascii="Tahoma" w:hAnsi="Tahoma" w:cs="Tahoma"/>
          <w:sz w:val="20"/>
          <w:szCs w:val="20"/>
        </w:rPr>
        <w:t>však nebyly Radou AK ČR přijaty.</w:t>
      </w:r>
    </w:p>
    <w:p w14:paraId="4F0BC5A9" w14:textId="77777777" w:rsidR="00D336F4" w:rsidRPr="00684482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9781" w:type="dxa"/>
        <w:tblInd w:w="-5" w:type="dxa"/>
        <w:tblLook w:val="04A0" w:firstRow="1" w:lastRow="0" w:firstColumn="1" w:lastColumn="0" w:noHBand="0" w:noVBand="1"/>
      </w:tblPr>
      <w:tblGrid>
        <w:gridCol w:w="4678"/>
        <w:gridCol w:w="2552"/>
        <w:gridCol w:w="2551"/>
      </w:tblGrid>
      <w:tr w:rsidR="00D336F4" w:rsidRPr="00684482" w14:paraId="5291C07E" w14:textId="77777777" w:rsidTr="00826C0B"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B2EC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b/>
                <w:bCs/>
                <w:sz w:val="20"/>
                <w:szCs w:val="20"/>
              </w:rPr>
              <w:t>Kritéria a váhy založené na dynamickém (každoročním) přehodnocení propočtu podílu krajů na celostátním výnosu daní, obdobně jako u obcí v %: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C8FF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Váha kritéria v %</w:t>
            </w:r>
          </w:p>
        </w:tc>
      </w:tr>
      <w:tr w:rsidR="00D336F4" w:rsidRPr="00684482" w14:paraId="2BFF04C9" w14:textId="77777777" w:rsidTr="00826C0B"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28428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B8F6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VLÁDNÍ NÁVRH (odpovídá schválenému návrhu AK ČR ze 14. 3. 2024 v oblasti kritérií)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8ABAD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Původní návrh schválený      Komisí Rady AK ČR 2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684482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684482">
              <w:rPr>
                <w:rFonts w:cstheme="minorHAnsi"/>
                <w:sz w:val="20"/>
                <w:szCs w:val="20"/>
              </w:rPr>
              <w:t>4.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684482">
              <w:rPr>
                <w:rFonts w:cstheme="minorHAnsi"/>
                <w:sz w:val="20"/>
                <w:szCs w:val="20"/>
              </w:rPr>
              <w:t xml:space="preserve">2022 </w:t>
            </w:r>
          </w:p>
        </w:tc>
      </w:tr>
      <w:tr w:rsidR="00D336F4" w:rsidRPr="00684482" w14:paraId="6D3325AA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674D16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Počet obyvatel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3C6E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C101F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37</w:t>
            </w:r>
          </w:p>
        </w:tc>
      </w:tr>
      <w:tr w:rsidR="00D336F4" w:rsidRPr="00684482" w14:paraId="692087C2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38D1A2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Počet km silnic</w:t>
            </w:r>
            <w:r w:rsidRPr="00684482">
              <w:rPr>
                <w:rFonts w:cstheme="minorHAnsi"/>
                <w:sz w:val="20"/>
                <w:szCs w:val="20"/>
              </w:rPr>
              <w:t xml:space="preserve"> II. a III. tříd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1CD3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1B6D9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D336F4" w:rsidRPr="00684482" w14:paraId="667FCDBB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051105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 xml:space="preserve">Rozloha </w:t>
            </w:r>
            <w:r>
              <w:rPr>
                <w:rFonts w:cstheme="minorHAnsi"/>
                <w:sz w:val="20"/>
                <w:szCs w:val="20"/>
              </w:rPr>
              <w:t xml:space="preserve">území </w:t>
            </w:r>
            <w:r w:rsidRPr="00684482">
              <w:rPr>
                <w:rFonts w:cstheme="minorHAnsi"/>
                <w:sz w:val="20"/>
                <w:szCs w:val="20"/>
              </w:rPr>
              <w:t>kraje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A3BC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868F7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14</w:t>
            </w:r>
          </w:p>
        </w:tc>
      </w:tr>
      <w:tr w:rsidR="00D336F4" w:rsidRPr="00684482" w14:paraId="397776E1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045E77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Struktura (počet obcí/rozloha kraje)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EBC6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9DE07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D336F4" w:rsidRPr="00684482" w14:paraId="2357E5CE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186264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Počet výjezdových základen záchranné služby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6933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9F51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D336F4" w:rsidRPr="00684482" w14:paraId="4C9EDDE5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17E194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 xml:space="preserve">Počet žáků </w:t>
            </w:r>
            <w:r>
              <w:rPr>
                <w:rFonts w:cstheme="minorHAnsi"/>
                <w:sz w:val="20"/>
                <w:szCs w:val="20"/>
              </w:rPr>
              <w:t xml:space="preserve">škol </w:t>
            </w:r>
            <w:r w:rsidRPr="00684482">
              <w:rPr>
                <w:rFonts w:cstheme="minorHAnsi"/>
                <w:sz w:val="20"/>
                <w:szCs w:val="20"/>
              </w:rPr>
              <w:t>zřizovaných krajem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F17C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E12AA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12</w:t>
            </w:r>
          </w:p>
        </w:tc>
      </w:tr>
      <w:tr w:rsidR="00D336F4" w:rsidRPr="00684482" w14:paraId="0B532516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387BE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 xml:space="preserve">Urgentní příjmy </w:t>
            </w:r>
            <w:r>
              <w:rPr>
                <w:rFonts w:cstheme="minorHAnsi"/>
                <w:sz w:val="20"/>
                <w:szCs w:val="20"/>
              </w:rPr>
              <w:t xml:space="preserve">typu </w:t>
            </w:r>
            <w:r w:rsidRPr="00684482">
              <w:rPr>
                <w:rFonts w:cstheme="minorHAnsi"/>
                <w:sz w:val="20"/>
                <w:szCs w:val="20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2691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5866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D336F4" w:rsidRPr="00684482" w14:paraId="1B91D0D7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C28347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Vyrovnávací příspěvek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FCCE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45A7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D336F4" w:rsidRPr="00684482" w14:paraId="31F6FAF3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9249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Dopravní výkony na silnicích II. a III. tříd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CD9E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--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1EABB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D336F4" w:rsidRPr="00684482" w14:paraId="21E60746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60F38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Plocha mostů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DA77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--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02A3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D336F4" w:rsidRPr="00684482" w14:paraId="766DA0C0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1DD07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Výnosy nemocnic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0BCB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--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31B4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D336F4" w:rsidRPr="00684482" w14:paraId="34D82957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CE833" w14:textId="77777777" w:rsidR="00D336F4" w:rsidRPr="00684482" w:rsidRDefault="00D336F4" w:rsidP="00826C0B">
            <w:pPr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Příspěvek na péči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CF81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--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9860B" w14:textId="77777777" w:rsidR="00D336F4" w:rsidRPr="00684482" w:rsidRDefault="00D336F4" w:rsidP="00826C0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84482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D336F4" w:rsidRPr="00684482" w14:paraId="797E58E0" w14:textId="77777777" w:rsidTr="00826C0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6C42C" w14:textId="77777777" w:rsidR="00D336F4" w:rsidRPr="00684482" w:rsidRDefault="00D336F4" w:rsidP="00826C0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84482">
              <w:rPr>
                <w:rFonts w:cstheme="minorHAnsi"/>
                <w:b/>
                <w:bCs/>
                <w:sz w:val="20"/>
                <w:szCs w:val="20"/>
              </w:rPr>
              <w:t>% podíl MSK na podílu krajů v těchto variantách (</w:t>
            </w:r>
            <w:r w:rsidRPr="00A62A4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aktuální podíl kraje činí 9,62 %</w:t>
            </w:r>
            <w:r w:rsidRPr="00684482">
              <w:rPr>
                <w:rFonts w:cstheme="minorHAnsi"/>
                <w:b/>
                <w:bCs/>
                <w:sz w:val="20"/>
                <w:szCs w:val="20"/>
              </w:rPr>
              <w:t>)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- dále jen „podíl MSK“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B674" w14:textId="77777777" w:rsidR="00D336F4" w:rsidRPr="00684482" w:rsidRDefault="00D336F4" w:rsidP="00826C0B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  <w:p w14:paraId="4BB4849D" w14:textId="77777777" w:rsidR="00D336F4" w:rsidRPr="00684482" w:rsidRDefault="00D336F4" w:rsidP="00826C0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4482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9,</w:t>
            </w:r>
            <w:r>
              <w:rPr>
                <w:rFonts w:cstheme="minorHAnsi"/>
                <w:b/>
                <w:bCs/>
                <w:color w:val="FF0000"/>
                <w:sz w:val="20"/>
                <w:szCs w:val="20"/>
              </w:rPr>
              <w:t>05</w:t>
            </w:r>
            <w:r w:rsidRPr="00684482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 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05A44" w14:textId="77777777" w:rsidR="00D336F4" w:rsidRPr="00684482" w:rsidRDefault="00D336F4" w:rsidP="00826C0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0A3DDBD" w14:textId="77777777" w:rsidR="00D336F4" w:rsidRPr="00684482" w:rsidRDefault="00D336F4" w:rsidP="00826C0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84482">
              <w:rPr>
                <w:rFonts w:cstheme="minorHAnsi"/>
                <w:b/>
                <w:bCs/>
                <w:sz w:val="20"/>
                <w:szCs w:val="20"/>
              </w:rPr>
              <w:t>10,1 %</w:t>
            </w:r>
          </w:p>
        </w:tc>
      </w:tr>
    </w:tbl>
    <w:p w14:paraId="7F247292" w14:textId="77777777" w:rsidR="00D336F4" w:rsidRPr="00684482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44C4C24" w14:textId="77777777" w:rsidR="00D336F4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>V rámci připomínkového řízení návrh mj. počítal nelogicky u kritéria počtu obyvatel se započtením pouze 20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%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obyvatel hlavního města Prahy. Ve finálním návrhu předloženém do Poslanecké sněmovny byl tento podíl nahrazen novým §</w:t>
      </w:r>
      <w:r>
        <w:rPr>
          <w:rFonts w:ascii="Tahoma" w:hAnsi="Tahoma" w:cs="Tahoma"/>
          <w:sz w:val="20"/>
          <w:szCs w:val="20"/>
        </w:rPr>
        <w:t xml:space="preserve"> </w:t>
      </w:r>
      <w:r w:rsidRPr="00CC396C">
        <w:rPr>
          <w:rFonts w:ascii="Tahoma" w:hAnsi="Tahoma" w:cs="Tahoma"/>
          <w:sz w:val="20"/>
          <w:szCs w:val="20"/>
        </w:rPr>
        <w:t>3a, kterým se hlavnímu městu Praze vyčleňuje z celostátního výběru daní 0,1 % jako tzv.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 xml:space="preserve">další daňový příjem, a to na úkor ostatních krajů. </w:t>
      </w:r>
    </w:p>
    <w:p w14:paraId="6E11D9B7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</w:p>
    <w:p w14:paraId="3DDA3D1D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>Vládní návrh počítá s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tzv. dolitím 11,2 mld</w:t>
      </w:r>
      <w:r>
        <w:rPr>
          <w:rFonts w:ascii="Tahoma" w:hAnsi="Tahoma" w:cs="Tahoma"/>
          <w:sz w:val="20"/>
          <w:szCs w:val="20"/>
        </w:rPr>
        <w:t>.</w:t>
      </w:r>
      <w:r w:rsidRPr="00CC396C">
        <w:rPr>
          <w:rFonts w:ascii="Tahoma" w:hAnsi="Tahoma" w:cs="Tahoma"/>
          <w:sz w:val="20"/>
          <w:szCs w:val="20"/>
        </w:rPr>
        <w:t xml:space="preserve"> Kč (vč. 4 mld. Kč ze SFDI, poskytovaných aktuálně každoročně dotačně na opravy silnic II. a III. tříd) ze státního rozpočtu postupně v letech 2025-2027. Není zdůvodněno, kde státní rozpočet získá v době konsolidace veřejných financí pro kraje </w:t>
      </w:r>
      <w:r w:rsidRPr="00CE70D1">
        <w:rPr>
          <w:rFonts w:ascii="Tahoma" w:hAnsi="Tahoma" w:cs="Tahoma"/>
          <w:sz w:val="20"/>
          <w:szCs w:val="20"/>
        </w:rPr>
        <w:t xml:space="preserve">navíc </w:t>
      </w:r>
      <w:r w:rsidRPr="00CC396C">
        <w:rPr>
          <w:rFonts w:ascii="Tahoma" w:hAnsi="Tahoma" w:cs="Tahoma"/>
          <w:sz w:val="20"/>
          <w:szCs w:val="20"/>
        </w:rPr>
        <w:t>tuto částku</w:t>
      </w:r>
      <w:r>
        <w:rPr>
          <w:rFonts w:ascii="Tahoma" w:hAnsi="Tahoma" w:cs="Tahoma"/>
          <w:sz w:val="20"/>
          <w:szCs w:val="20"/>
        </w:rPr>
        <w:t xml:space="preserve">, tj. </w:t>
      </w:r>
      <w:r w:rsidRPr="002D07A5">
        <w:rPr>
          <w:rFonts w:ascii="Tahoma" w:hAnsi="Tahoma" w:cs="Tahoma"/>
          <w:sz w:val="20"/>
          <w:szCs w:val="20"/>
        </w:rPr>
        <w:t>7,2 mld. Kč (rozdíl 11,2 mld. Kč – 4 mld. Kč)</w:t>
      </w:r>
      <w:r w:rsidRPr="00CC396C">
        <w:rPr>
          <w:rFonts w:ascii="Tahoma" w:hAnsi="Tahoma" w:cs="Tahoma"/>
          <w:sz w:val="20"/>
          <w:szCs w:val="20"/>
        </w:rPr>
        <w:t>.</w:t>
      </w:r>
    </w:p>
    <w:p w14:paraId="78675048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E7FD6B0" w14:textId="77777777" w:rsidR="00D336F4" w:rsidRPr="00CC396C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>Vývoj změny podílů na celostátním inkasu daní určeném pro kraje: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706"/>
        <w:gridCol w:w="1278"/>
        <w:gridCol w:w="1336"/>
        <w:gridCol w:w="1211"/>
        <w:gridCol w:w="1205"/>
      </w:tblGrid>
      <w:tr w:rsidR="00D336F4" w14:paraId="61F279E1" w14:textId="77777777" w:rsidTr="00826C0B">
        <w:tc>
          <w:tcPr>
            <w:tcW w:w="4706" w:type="dxa"/>
          </w:tcPr>
          <w:p w14:paraId="795BF394" w14:textId="77777777" w:rsidR="00D336F4" w:rsidRDefault="00D336F4" w:rsidP="00826C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</w:tcPr>
          <w:p w14:paraId="579C6635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1336" w:type="dxa"/>
          </w:tcPr>
          <w:p w14:paraId="2609D965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  <w:tc>
          <w:tcPr>
            <w:tcW w:w="1211" w:type="dxa"/>
          </w:tcPr>
          <w:p w14:paraId="62E5BEDF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2026</w:t>
            </w:r>
          </w:p>
        </w:tc>
        <w:tc>
          <w:tcPr>
            <w:tcW w:w="1205" w:type="dxa"/>
          </w:tcPr>
          <w:p w14:paraId="22D86048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D336F4" w14:paraId="274AC74C" w14:textId="77777777" w:rsidTr="00826C0B">
        <w:tc>
          <w:tcPr>
            <w:tcW w:w="4706" w:type="dxa"/>
          </w:tcPr>
          <w:p w14:paraId="2E3A90C5" w14:textId="77777777" w:rsidR="00D336F4" w:rsidRDefault="00D336F4" w:rsidP="00826C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Aktuální stav v návaznosti na schválený konsolidační balíček</w:t>
            </w:r>
          </w:p>
        </w:tc>
        <w:tc>
          <w:tcPr>
            <w:tcW w:w="1278" w:type="dxa"/>
          </w:tcPr>
          <w:p w14:paraId="17D09BDA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9,76 %</w:t>
            </w:r>
          </w:p>
        </w:tc>
        <w:tc>
          <w:tcPr>
            <w:tcW w:w="1336" w:type="dxa"/>
          </w:tcPr>
          <w:p w14:paraId="38F7BC35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9,45 %</w:t>
            </w:r>
          </w:p>
        </w:tc>
        <w:tc>
          <w:tcPr>
            <w:tcW w:w="1211" w:type="dxa"/>
          </w:tcPr>
          <w:p w14:paraId="12FC1812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9,45 %</w:t>
            </w:r>
          </w:p>
        </w:tc>
        <w:tc>
          <w:tcPr>
            <w:tcW w:w="1205" w:type="dxa"/>
          </w:tcPr>
          <w:p w14:paraId="6C3423B5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9,45 %</w:t>
            </w:r>
          </w:p>
        </w:tc>
      </w:tr>
      <w:tr w:rsidR="00D336F4" w14:paraId="55865C1B" w14:textId="77777777" w:rsidTr="00826C0B">
        <w:tc>
          <w:tcPr>
            <w:tcW w:w="4706" w:type="dxa"/>
          </w:tcPr>
          <w:p w14:paraId="7ACC81DA" w14:textId="77777777" w:rsidR="00D336F4" w:rsidRDefault="00D336F4" w:rsidP="00826C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Vládní návrh předložený do připomínkového řízení počítající s dolitím 11,2 mld. Kč v letech 2025-2027</w:t>
            </w:r>
          </w:p>
        </w:tc>
        <w:tc>
          <w:tcPr>
            <w:tcW w:w="1278" w:type="dxa"/>
          </w:tcPr>
          <w:p w14:paraId="129E80D5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65C12FF0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10,05 %</w:t>
            </w:r>
          </w:p>
        </w:tc>
        <w:tc>
          <w:tcPr>
            <w:tcW w:w="1211" w:type="dxa"/>
          </w:tcPr>
          <w:p w14:paraId="3F58EBBF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10,21 %</w:t>
            </w:r>
          </w:p>
        </w:tc>
        <w:tc>
          <w:tcPr>
            <w:tcW w:w="1205" w:type="dxa"/>
          </w:tcPr>
          <w:p w14:paraId="5158C4E5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10,36 %</w:t>
            </w:r>
          </w:p>
        </w:tc>
      </w:tr>
      <w:tr w:rsidR="00D336F4" w14:paraId="206DF3E5" w14:textId="77777777" w:rsidTr="00826C0B">
        <w:tc>
          <w:tcPr>
            <w:tcW w:w="4706" w:type="dxa"/>
          </w:tcPr>
          <w:p w14:paraId="1E886CA0" w14:textId="77777777" w:rsidR="00D336F4" w:rsidRDefault="00D336F4" w:rsidP="00826C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Finální vládní návrh po vyčlenění 0,1 % pro Prahu</w:t>
            </w:r>
          </w:p>
        </w:tc>
        <w:tc>
          <w:tcPr>
            <w:tcW w:w="1278" w:type="dxa"/>
          </w:tcPr>
          <w:p w14:paraId="72BBF06B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2F031EDA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9,95 %</w:t>
            </w:r>
          </w:p>
        </w:tc>
        <w:tc>
          <w:tcPr>
            <w:tcW w:w="1211" w:type="dxa"/>
          </w:tcPr>
          <w:p w14:paraId="25C34CEA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10,11 %</w:t>
            </w:r>
          </w:p>
        </w:tc>
        <w:tc>
          <w:tcPr>
            <w:tcW w:w="1205" w:type="dxa"/>
          </w:tcPr>
          <w:p w14:paraId="506A7DEE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10,26 %</w:t>
            </w:r>
          </w:p>
        </w:tc>
      </w:tr>
    </w:tbl>
    <w:p w14:paraId="35326944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9FD1DB5" w14:textId="77777777" w:rsidR="00D336F4" w:rsidRPr="00CC396C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 xml:space="preserve">Vývoj změny podílu MSK: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706"/>
        <w:gridCol w:w="1278"/>
        <w:gridCol w:w="1336"/>
      </w:tblGrid>
      <w:tr w:rsidR="00D336F4" w14:paraId="1B80D25C" w14:textId="77777777" w:rsidTr="00826C0B">
        <w:tc>
          <w:tcPr>
            <w:tcW w:w="4706" w:type="dxa"/>
          </w:tcPr>
          <w:p w14:paraId="2E6997F3" w14:textId="77777777" w:rsidR="00D336F4" w:rsidRDefault="00D336F4" w:rsidP="00826C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</w:tcPr>
          <w:p w14:paraId="23F70E09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1336" w:type="dxa"/>
          </w:tcPr>
          <w:p w14:paraId="57E2310E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D336F4" w14:paraId="6C584EF5" w14:textId="77777777" w:rsidTr="00826C0B">
        <w:tc>
          <w:tcPr>
            <w:tcW w:w="4706" w:type="dxa"/>
          </w:tcPr>
          <w:p w14:paraId="3812D8F5" w14:textId="77777777" w:rsidR="00D336F4" w:rsidRDefault="00D336F4" w:rsidP="00826C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Aktuální stav</w:t>
            </w:r>
          </w:p>
        </w:tc>
        <w:tc>
          <w:tcPr>
            <w:tcW w:w="1278" w:type="dxa"/>
          </w:tcPr>
          <w:p w14:paraId="4619F80F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9,62 %</w:t>
            </w:r>
          </w:p>
        </w:tc>
        <w:tc>
          <w:tcPr>
            <w:tcW w:w="1336" w:type="dxa"/>
          </w:tcPr>
          <w:p w14:paraId="6D4E351B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36F4" w14:paraId="232FFCD6" w14:textId="77777777" w:rsidTr="00826C0B">
        <w:tc>
          <w:tcPr>
            <w:tcW w:w="4706" w:type="dxa"/>
          </w:tcPr>
          <w:p w14:paraId="12D9FA7A" w14:textId="77777777" w:rsidR="00D336F4" w:rsidRDefault="00D336F4" w:rsidP="00826C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Vládní návrh*</w:t>
            </w:r>
          </w:p>
        </w:tc>
        <w:tc>
          <w:tcPr>
            <w:tcW w:w="1278" w:type="dxa"/>
          </w:tcPr>
          <w:p w14:paraId="4F6ADC55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519383B1" w14:textId="77777777" w:rsidR="00D336F4" w:rsidRDefault="00D336F4" w:rsidP="00826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9,05 %</w:t>
            </w:r>
          </w:p>
        </w:tc>
      </w:tr>
    </w:tbl>
    <w:p w14:paraId="030367ED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>*</w:t>
      </w:r>
      <w:r w:rsidRPr="00461998">
        <w:rPr>
          <w:rFonts w:ascii="Arial" w:hAnsi="Arial" w:cs="Arial"/>
          <w:sz w:val="16"/>
          <w:szCs w:val="16"/>
        </w:rPr>
        <w:t>Tento podíl již nebude uveden v návrhu zákona, ale vychází na základě údajů z dat u zvolených kritérií pro rok 2024. Následně bude</w:t>
      </w:r>
      <w:r>
        <w:rPr>
          <w:rFonts w:ascii="Arial" w:hAnsi="Arial" w:cs="Arial"/>
          <w:sz w:val="16"/>
          <w:szCs w:val="16"/>
        </w:rPr>
        <w:t>, stejně jako u obcí, ka</w:t>
      </w:r>
      <w:r w:rsidRPr="00461998">
        <w:rPr>
          <w:rFonts w:ascii="Arial" w:hAnsi="Arial" w:cs="Arial"/>
          <w:sz w:val="16"/>
          <w:szCs w:val="16"/>
        </w:rPr>
        <w:t>ždý rok přehodnocován</w:t>
      </w:r>
      <w:r>
        <w:rPr>
          <w:rFonts w:ascii="Arial" w:hAnsi="Arial" w:cs="Arial"/>
          <w:sz w:val="20"/>
          <w:szCs w:val="20"/>
        </w:rPr>
        <w:t>.</w:t>
      </w:r>
    </w:p>
    <w:p w14:paraId="34B69BD5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C84FEB7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752C9622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 xml:space="preserve">Porovnání dopadu vládního návrhu dle propočtu MSK: </w:t>
      </w:r>
    </w:p>
    <w:p w14:paraId="4A888685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>Hodnota v letech 2025–2027 uvádí rozdíl mezi sdílenými daněmi s postupným dolitím 11,2 mld. Kč (a tedy novým podílem)</w:t>
      </w:r>
      <w:r>
        <w:rPr>
          <w:rFonts w:ascii="Tahoma" w:hAnsi="Tahoma" w:cs="Tahoma"/>
          <w:sz w:val="20"/>
          <w:szCs w:val="20"/>
        </w:rPr>
        <w:t xml:space="preserve"> </w:t>
      </w:r>
      <w:r w:rsidRPr="00CC396C">
        <w:rPr>
          <w:rFonts w:ascii="Tahoma" w:hAnsi="Tahoma" w:cs="Tahoma"/>
          <w:sz w:val="20"/>
          <w:szCs w:val="20"/>
        </w:rPr>
        <w:t xml:space="preserve">a sdílenými daněmi se současným podílem bez dolití dalších prostředků. </w:t>
      </w:r>
    </w:p>
    <w:p w14:paraId="729D7301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>Údaje v Kč</w:t>
      </w:r>
    </w:p>
    <w:bookmarkStart w:id="0" w:name="_MON_1779021769"/>
    <w:bookmarkEnd w:id="0"/>
    <w:p w14:paraId="1D51F3A3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object w:dxaOrig="12672" w:dyaOrig="7922" w14:anchorId="2AAF54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5pt;height:292.7pt" o:ole="">
            <v:imagedata r:id="rId7" o:title=""/>
          </v:shape>
          <o:OLEObject Type="Embed" ProgID="Excel.Sheet.12" ShapeID="_x0000_i1025" DrawAspect="Content" ObjectID="_1779188311" r:id="rId8"/>
        </w:object>
      </w:r>
    </w:p>
    <w:p w14:paraId="6BFC7ADF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5002A1DD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>Z výpočtu je patrné, že MSK v roce 2027 v cílovém roce 2027 získá navíc pouze 251,8 mil. Kč. Po odečtení dotace ze SFDI, kterou již nebude získávat</w:t>
      </w:r>
      <w:r>
        <w:rPr>
          <w:rFonts w:ascii="Tahoma" w:hAnsi="Tahoma" w:cs="Tahoma"/>
          <w:sz w:val="20"/>
          <w:szCs w:val="20"/>
        </w:rPr>
        <w:t>,</w:t>
      </w:r>
      <w:r w:rsidRPr="00CC396C">
        <w:rPr>
          <w:rFonts w:ascii="Tahoma" w:hAnsi="Tahoma" w:cs="Tahoma"/>
          <w:sz w:val="20"/>
          <w:szCs w:val="20"/>
        </w:rPr>
        <w:t xml:space="preserve"> je pak očekávaný příjem pouze 35 mil. Kč z celkově dolitých 11,2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mld. Kč. Avšak v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roce 2025 se MSK dostane do propadu 113,7 mil. Kč</w:t>
      </w:r>
      <w:r>
        <w:rPr>
          <w:rFonts w:ascii="Tahoma" w:hAnsi="Tahoma" w:cs="Tahoma"/>
          <w:sz w:val="20"/>
          <w:szCs w:val="20"/>
        </w:rPr>
        <w:t>,</w:t>
      </w:r>
      <w:r w:rsidRPr="00CC396C">
        <w:rPr>
          <w:rFonts w:ascii="Tahoma" w:hAnsi="Tahoma" w:cs="Tahoma"/>
          <w:sz w:val="20"/>
          <w:szCs w:val="20"/>
        </w:rPr>
        <w:t xml:space="preserve"> po odečtení dotace SFDI pak dokonce 329,8 mil. Kč.</w:t>
      </w:r>
    </w:p>
    <w:p w14:paraId="10088802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color w:val="FF0000"/>
          <w:sz w:val="20"/>
          <w:szCs w:val="20"/>
        </w:rPr>
      </w:pPr>
    </w:p>
    <w:p w14:paraId="32567DB5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CC396C">
        <w:rPr>
          <w:rFonts w:ascii="Tahoma" w:hAnsi="Tahoma" w:cs="Tahoma"/>
          <w:b/>
          <w:bCs/>
          <w:sz w:val="20"/>
          <w:szCs w:val="20"/>
          <w:u w:val="single"/>
        </w:rPr>
        <w:t xml:space="preserve">Důvody odmítnutí vládního návrhu </w:t>
      </w: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ze strany </w:t>
      </w:r>
      <w:r w:rsidRPr="00CC396C">
        <w:rPr>
          <w:rFonts w:ascii="Tahoma" w:hAnsi="Tahoma" w:cs="Tahoma"/>
          <w:b/>
          <w:bCs/>
          <w:sz w:val="20"/>
          <w:szCs w:val="20"/>
          <w:u w:val="single"/>
        </w:rPr>
        <w:t>MSK</w:t>
      </w:r>
    </w:p>
    <w:p w14:paraId="3B215F72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>MSK podal v rámci připomínkového řízení k</w:t>
      </w:r>
      <w:r>
        <w:rPr>
          <w:rFonts w:ascii="Tahoma" w:hAnsi="Tahoma" w:cs="Tahoma"/>
          <w:sz w:val="20"/>
          <w:szCs w:val="20"/>
        </w:rPr>
        <w:t xml:space="preserve"> návrhu </w:t>
      </w:r>
      <w:r w:rsidRPr="00CC396C">
        <w:rPr>
          <w:rFonts w:ascii="Tahoma" w:hAnsi="Tahoma" w:cs="Tahoma"/>
          <w:sz w:val="20"/>
          <w:szCs w:val="20"/>
        </w:rPr>
        <w:t>novel</w:t>
      </w:r>
      <w:r>
        <w:rPr>
          <w:rFonts w:ascii="Tahoma" w:hAnsi="Tahoma" w:cs="Tahoma"/>
          <w:sz w:val="20"/>
          <w:szCs w:val="20"/>
        </w:rPr>
        <w:t>y</w:t>
      </w:r>
      <w:r w:rsidRPr="00CC396C">
        <w:rPr>
          <w:rFonts w:ascii="Tahoma" w:hAnsi="Tahoma" w:cs="Tahoma"/>
          <w:sz w:val="20"/>
          <w:szCs w:val="20"/>
        </w:rPr>
        <w:t xml:space="preserve"> zákona o RUD</w:t>
      </w:r>
      <w:r>
        <w:rPr>
          <w:rFonts w:ascii="Tahoma" w:hAnsi="Tahoma" w:cs="Tahoma"/>
          <w:sz w:val="20"/>
          <w:szCs w:val="20"/>
        </w:rPr>
        <w:t xml:space="preserve"> </w:t>
      </w:r>
      <w:r w:rsidRPr="00CC396C">
        <w:rPr>
          <w:rFonts w:ascii="Tahoma" w:hAnsi="Tahoma" w:cs="Tahoma"/>
          <w:sz w:val="20"/>
          <w:szCs w:val="20"/>
        </w:rPr>
        <w:t>(řízení zahájeno 15. 4. 2024 ve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zkrácené 5denní lhůtě) zásadní připomínky, neboť celý návrh se jeví jako politické rozhodnutí bez respektování současných ekonomických souvislostí a dalšího efektivního směřování rozvoje krajů, což může v budoucnu znamenat vznik významných meziregionálních rozdílů. Kraj</w:t>
      </w:r>
      <w:r>
        <w:rPr>
          <w:rFonts w:ascii="Tahoma" w:hAnsi="Tahoma" w:cs="Tahoma"/>
          <w:sz w:val="20"/>
          <w:szCs w:val="20"/>
        </w:rPr>
        <w:t>ům</w:t>
      </w:r>
      <w:r w:rsidRPr="00CC396C">
        <w:rPr>
          <w:rFonts w:ascii="Tahoma" w:hAnsi="Tahoma" w:cs="Tahoma"/>
          <w:sz w:val="20"/>
          <w:szCs w:val="20"/>
        </w:rPr>
        <w:t xml:space="preserve">, které dnes vykazují nižší výkonnost v souvislosti s dlouhodobým řešením dopadů strukturálních změn, nový návrh RUD poskytuje zdroje v menší míře než jiným krajům a nedochází ke svírání nůžek v přepočtu RUD na obyvatele, přičemž obyvatelé jsou právě ti, za kterými jdou služby poskytované kraji.  </w:t>
      </w:r>
    </w:p>
    <w:p w14:paraId="0A577853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</w:p>
    <w:p w14:paraId="58AFCECF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lastRenderedPageBreak/>
        <w:t xml:space="preserve">Návrh neobsahuje ekonomické zdůvodnění použitých kritérií a jejich vah. Odůvodnění je dáno pouze „dohodou většiny krajů“.  </w:t>
      </w:r>
    </w:p>
    <w:p w14:paraId="6B9DC00D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</w:p>
    <w:p w14:paraId="1DDD9F4C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b/>
          <w:bCs/>
          <w:sz w:val="20"/>
          <w:szCs w:val="20"/>
        </w:rPr>
      </w:pPr>
      <w:r w:rsidRPr="00CC396C">
        <w:rPr>
          <w:rFonts w:ascii="Tahoma" w:hAnsi="Tahoma" w:cs="Tahoma"/>
          <w:b/>
          <w:bCs/>
          <w:sz w:val="20"/>
          <w:szCs w:val="20"/>
        </w:rPr>
        <w:t>Zásadní připomínky MSK:</w:t>
      </w:r>
    </w:p>
    <w:p w14:paraId="5A34E1BA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 xml:space="preserve"> </w:t>
      </w:r>
    </w:p>
    <w:p w14:paraId="39C48279" w14:textId="77777777" w:rsidR="00D336F4" w:rsidRPr="00CC396C" w:rsidRDefault="00D336F4" w:rsidP="00D336F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</w:rPr>
      </w:pPr>
      <w:r w:rsidRPr="00CC396C">
        <w:rPr>
          <w:rFonts w:ascii="Tahoma" w:hAnsi="Tahoma" w:cs="Tahoma"/>
          <w:sz w:val="20"/>
          <w:szCs w:val="20"/>
        </w:rPr>
        <w:t>absence šířky silnic a intenzity dopravy na silnicích spravovaný</w:t>
      </w:r>
      <w:r>
        <w:rPr>
          <w:rFonts w:ascii="Tahoma" w:hAnsi="Tahoma" w:cs="Tahoma"/>
          <w:sz w:val="20"/>
          <w:szCs w:val="20"/>
        </w:rPr>
        <w:t>ch</w:t>
      </w:r>
      <w:r w:rsidRPr="00CC396C">
        <w:rPr>
          <w:rFonts w:ascii="Tahoma" w:hAnsi="Tahoma" w:cs="Tahoma"/>
          <w:sz w:val="20"/>
          <w:szCs w:val="20"/>
        </w:rPr>
        <w:t xml:space="preserve"> kraji, v úvahu je brána pouze jejich délka,</w:t>
      </w:r>
    </w:p>
    <w:p w14:paraId="42CE36FF" w14:textId="77777777" w:rsidR="00D336F4" w:rsidRPr="00CC396C" w:rsidRDefault="00D336F4" w:rsidP="00D336F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</w:rPr>
      </w:pPr>
      <w:r w:rsidRPr="00CC396C">
        <w:rPr>
          <w:rFonts w:ascii="Tahoma" w:hAnsi="Tahoma" w:cs="Tahoma"/>
          <w:sz w:val="20"/>
          <w:szCs w:val="20"/>
        </w:rPr>
        <w:t>počet výjezdových základen záchranné služby nijak nevypovídá o poskytovaných zdravotnických službách,</w:t>
      </w:r>
    </w:p>
    <w:p w14:paraId="7C20A2B5" w14:textId="77777777" w:rsidR="00D336F4" w:rsidRPr="00CC396C" w:rsidRDefault="00D336F4" w:rsidP="00D336F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</w:rPr>
      </w:pPr>
      <w:r w:rsidRPr="00CC396C">
        <w:rPr>
          <w:rFonts w:ascii="Tahoma" w:hAnsi="Tahoma" w:cs="Tahoma"/>
          <w:sz w:val="20"/>
          <w:szCs w:val="20"/>
        </w:rPr>
        <w:t xml:space="preserve">počet žáků škol zřizovaných kraji udává váhu kritéria 4 %, přestože průměrně vynakládané výdaje v této oblasti krajů představují cca 12 %, </w:t>
      </w:r>
    </w:p>
    <w:p w14:paraId="0B0F044D" w14:textId="77777777" w:rsidR="00D336F4" w:rsidRPr="00CC396C" w:rsidRDefault="00D336F4" w:rsidP="00D336F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</w:rPr>
      </w:pPr>
      <w:r w:rsidRPr="00CC396C">
        <w:rPr>
          <w:rFonts w:ascii="Tahoma" w:hAnsi="Tahoma" w:cs="Tahoma"/>
          <w:sz w:val="20"/>
          <w:szCs w:val="20"/>
        </w:rPr>
        <w:t>počet urgentních příjmů typu I vyřazuje z RUD kraje</w:t>
      </w:r>
      <w:r>
        <w:rPr>
          <w:rFonts w:ascii="Tahoma" w:hAnsi="Tahoma" w:cs="Tahoma"/>
          <w:sz w:val="20"/>
          <w:szCs w:val="20"/>
        </w:rPr>
        <w:t>,</w:t>
      </w:r>
      <w:r w:rsidRPr="00CC396C">
        <w:rPr>
          <w:rFonts w:ascii="Tahoma" w:hAnsi="Tahoma" w:cs="Tahoma"/>
          <w:sz w:val="20"/>
          <w:szCs w:val="20"/>
        </w:rPr>
        <w:t xml:space="preserve"> v jejichž územní působnosti je zřízena fakultní nemocnice</w:t>
      </w:r>
      <w:r>
        <w:rPr>
          <w:rFonts w:ascii="Tahoma" w:hAnsi="Tahoma" w:cs="Tahoma"/>
          <w:sz w:val="20"/>
          <w:szCs w:val="20"/>
        </w:rPr>
        <w:t>,</w:t>
      </w:r>
    </w:p>
    <w:p w14:paraId="5A24ABE7" w14:textId="77777777" w:rsidR="00D336F4" w:rsidRPr="00CC396C" w:rsidRDefault="00D336F4" w:rsidP="00D336F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</w:rPr>
      </w:pPr>
      <w:r w:rsidRPr="00CC396C">
        <w:rPr>
          <w:rFonts w:ascii="Tahoma" w:hAnsi="Tahoma" w:cs="Tahoma"/>
          <w:sz w:val="20"/>
          <w:szCs w:val="20"/>
        </w:rPr>
        <w:t xml:space="preserve"> struktura (počet obcí/rozloha kraje) nelogicky podporuje zřizování většího množství malých obcí,</w:t>
      </w:r>
    </w:p>
    <w:p w14:paraId="4BE3A405" w14:textId="77777777" w:rsidR="00D336F4" w:rsidRPr="00CC396C" w:rsidRDefault="00D336F4" w:rsidP="00D336F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</w:rPr>
      </w:pPr>
      <w:r w:rsidRPr="00CC396C">
        <w:rPr>
          <w:rFonts w:ascii="Tahoma" w:hAnsi="Tahoma" w:cs="Tahoma"/>
          <w:sz w:val="20"/>
          <w:szCs w:val="20"/>
        </w:rPr>
        <w:t>vyrovnávací příspěvek je určen ve shodné výši pro velký i malý kraj,</w:t>
      </w:r>
    </w:p>
    <w:p w14:paraId="77182B41" w14:textId="77777777" w:rsidR="00D336F4" w:rsidRPr="00CC396C" w:rsidRDefault="00D336F4" w:rsidP="00D336F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>model zcela absentuje zdravotnické a sociální služby poskytované kraji.</w:t>
      </w:r>
    </w:p>
    <w:p w14:paraId="75405BD7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</w:p>
    <w:p w14:paraId="4110316E" w14:textId="77777777" w:rsidR="00D336F4" w:rsidRDefault="00D336F4" w:rsidP="00D33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>Cílem změny návrhu RUD mělo být i zajištění dostatečných zdrojů pro strukturálně postižené kraje, které jsou typické vyšší koncentrací sociálních, ekonomických a environmentálních problémů. Jedná se o Moravskoslezský kraj, Ústecký a Karlovarský kraj. Tyto kraje byly definovány jako strukturálně postižené již dříve, ve vazbě na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Strategický rámec hospodářské restrukturalizace těchto 3 krajů. Vymezení hospodářsky a sociálně ohrožených území bylo schváleno usnesením vlády České republiky č. 775 ze dne 4. 11. 2019, kterým byla vymezena kombinace indikátorů hospodářských a sociálních problémů v těchto územích. Tyto strukturálně postižené kraje se v minulosti orientovaly na těžební, zpracovatelský a chemický průmysl a v současnosti se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vyznačují nízkou mírou ekonomického růstu a významně zaostávají za nejvyspělejšími regiony Česka. Přímou součástí ekonomických problémů je nízká atraktivita pro život obyvatel, menší nabídka perspektivních pracovních příležitostí nejen pro mladé a kvalifikované odborníky a horší podmínky a nízká atraktivita pro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podnikání. Regiony mají potenciál v rozvoji aktivit s vyšší přidanou hodnotou. Cílem je, aby se z nich staly kraje s dobrou kvalitou života a zdravým prostředím, byly hospodář</w:t>
      </w:r>
      <w:r>
        <w:rPr>
          <w:rFonts w:ascii="Tahoma" w:hAnsi="Tahoma" w:cs="Tahoma"/>
          <w:sz w:val="20"/>
          <w:szCs w:val="20"/>
        </w:rPr>
        <w:t>s</w:t>
      </w:r>
      <w:r w:rsidRPr="00CC396C">
        <w:rPr>
          <w:rFonts w:ascii="Tahoma" w:hAnsi="Tahoma" w:cs="Tahoma"/>
          <w:sz w:val="20"/>
          <w:szCs w:val="20"/>
        </w:rPr>
        <w:t>ky oživené s dostatkem pracovních sil a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využívaly průmyslové plochy a území, která jsou nevyužita po útlumu těžby.</w:t>
      </w:r>
    </w:p>
    <w:p w14:paraId="25451936" w14:textId="77777777" w:rsidR="00D336F4" w:rsidRPr="00CC396C" w:rsidRDefault="00D336F4" w:rsidP="00D33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0" w:lineRule="exact"/>
        <w:jc w:val="both"/>
        <w:rPr>
          <w:rFonts w:ascii="Tahoma" w:hAnsi="Tahoma" w:cs="Tahoma"/>
          <w:sz w:val="20"/>
          <w:szCs w:val="20"/>
        </w:rPr>
      </w:pPr>
    </w:p>
    <w:p w14:paraId="66E4F4B2" w14:textId="77777777" w:rsidR="00D336F4" w:rsidRPr="00CC396C" w:rsidRDefault="00D336F4" w:rsidP="00D33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 xml:space="preserve">Jednou z pomocí těmto krajům je i Operační program Spravedlivá transformace pro období 2021–2027. Nicméně v tomto případě jde o pomoc, která je stanovena na dobu určitou a jejím cílem je, aby právě strukturálně postižené kraje alespoň zčásti dohnaly rozvoj ostatních krajů. Po dosažení tohoto cíle by však rozvoj strukturálně postižených krajů přijetím vládního návrhu opět ustrnul.  </w:t>
      </w:r>
    </w:p>
    <w:p w14:paraId="788C46D3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3885F7A7" w14:textId="77777777" w:rsidR="00D336F4" w:rsidRPr="00D87CA9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D87CA9">
        <w:rPr>
          <w:rFonts w:ascii="Arial" w:hAnsi="Arial" w:cs="Arial"/>
          <w:b/>
          <w:bCs/>
        </w:rPr>
        <w:t>RUD na 1 obyvatele v roce 2027 dle vládního návrhu – rozdíl mezi kraji</w:t>
      </w:r>
    </w:p>
    <w:p w14:paraId="067A83D5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764F99" wp14:editId="03D8429A">
            <wp:extent cx="4909181" cy="2000250"/>
            <wp:effectExtent l="0" t="0" r="6350" b="0"/>
            <wp:docPr id="256613896" name="Obrázek 2" descr="Obsah obrázku text, snímek obrazovky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3896" name="Obrázek 2" descr="Obsah obrázku text, snímek obrazovky, Písm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63" cy="2043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044C4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1FAEA7E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7202D510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71B4B93A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3D32CDFF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D87CA9">
        <w:rPr>
          <w:rFonts w:ascii="Arial" w:hAnsi="Arial" w:cs="Arial"/>
          <w:b/>
          <w:bCs/>
        </w:rPr>
        <w:t>RUD na 1 obyvatele v roce 2027 dle vládního návrhu dle krajů</w:t>
      </w:r>
    </w:p>
    <w:p w14:paraId="61158714" w14:textId="77777777" w:rsidR="00D336F4" w:rsidRPr="00D87CA9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11EBE322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7FD342" wp14:editId="34D83F21">
            <wp:extent cx="5343525" cy="2517972"/>
            <wp:effectExtent l="0" t="0" r="0" b="0"/>
            <wp:docPr id="70641700" name="Obrázek 3" descr="Obsah obrázku text, snímek obrazovky, Písmo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1700" name="Obrázek 3" descr="Obsah obrázku text, snímek obrazovky, Písmo, Vykreslený graf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30" cy="254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5532A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D04347F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5EB57F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D6575F1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F45FC">
        <w:rPr>
          <w:rFonts w:ascii="Arial" w:hAnsi="Arial" w:cs="Arial"/>
          <w:b/>
          <w:bCs/>
        </w:rPr>
        <w:t xml:space="preserve">Porovnání absolutního dopadu </w:t>
      </w:r>
      <w:r>
        <w:rPr>
          <w:rFonts w:ascii="Arial" w:hAnsi="Arial" w:cs="Arial"/>
          <w:b/>
          <w:bCs/>
        </w:rPr>
        <w:t>nového vládního návrhu RUD d</w:t>
      </w:r>
      <w:r w:rsidRPr="00EF45FC">
        <w:rPr>
          <w:rFonts w:ascii="Arial" w:hAnsi="Arial" w:cs="Arial"/>
          <w:b/>
          <w:bCs/>
        </w:rPr>
        <w:t>le propočtů MSK v</w:t>
      </w:r>
      <w:r>
        <w:rPr>
          <w:rFonts w:ascii="Arial" w:hAnsi="Arial" w:cs="Arial"/>
          <w:b/>
          <w:bCs/>
        </w:rPr>
        <w:t> roce 2027 v mil. Kč</w:t>
      </w:r>
      <w:r w:rsidRPr="009A225A">
        <w:rPr>
          <w:rFonts w:ascii="Arial" w:hAnsi="Arial" w:cs="Arial"/>
          <w:b/>
          <w:bCs/>
        </w:rPr>
        <w:t xml:space="preserve"> oproti současnému stavu</w:t>
      </w:r>
    </w:p>
    <w:p w14:paraId="686A9037" w14:textId="77777777" w:rsidR="00D336F4" w:rsidRPr="009A225A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5B2B7CF3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6FA98A5" wp14:editId="36BEF2F8">
            <wp:extent cx="4400550" cy="2399849"/>
            <wp:effectExtent l="19050" t="19050" r="19050" b="19685"/>
            <wp:docPr id="13" name="Obrázek 11" descr="Obsah obrázku text, snímek obrazovky, Písmo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CE549FD-4CDC-A2B8-10C1-7DD6952DB1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1" descr="Obsah obrázku text, snímek obrazovky, Písmo, číslo&#10;&#10;Popis byl vytvořen automaticky">
                      <a:extLst>
                        <a:ext uri="{FF2B5EF4-FFF2-40B4-BE49-F238E27FC236}">
                          <a16:creationId xmlns:a16="http://schemas.microsoft.com/office/drawing/2014/main" id="{FCE549FD-4CDC-A2B8-10C1-7DD6952DB1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4468" cy="241289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E65507E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CDBFEC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348ABE3" w14:textId="77777777" w:rsidR="00D336F4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 xml:space="preserve">Na základě výše uvedených důvodů MSK (systémově nevhodná kritéria a váhy, vyčlenění speciálního daňového příjmu pro hl. město Prahu a přetrvávající nejnižší podíl RUD na obyvatele u MSK) jednoznačně odmítá vládní návrh novely zákona o RUD. </w:t>
      </w:r>
    </w:p>
    <w:p w14:paraId="65F6CD59" w14:textId="77777777" w:rsidR="00D336F4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</w:p>
    <w:p w14:paraId="4830BDC7" w14:textId="77777777" w:rsidR="00D336F4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MSK podal v rámci připomínkového řízení zásadní připomínky (viz příloha č. 3 zveřejněná na chráněných webových stránkách), které nebyly ze strany MF ČR akceptovány a proto MSK k tomuto následně podal vyjádření k vypořádání připomínek (viz příloha č. 4 zveřejněná na chráněných webových stránkách).</w:t>
      </w:r>
    </w:p>
    <w:p w14:paraId="10ED4B18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</w:p>
    <w:p w14:paraId="7A669C5A" w14:textId="77777777" w:rsidR="00D336F4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>Vládní návrh novely byl přijat v rozporu s původním požadavkem MF na shodu všech krajů a bez provedené analýzy (</w:t>
      </w:r>
      <w:r>
        <w:rPr>
          <w:rFonts w:ascii="Tahoma" w:hAnsi="Tahoma" w:cs="Tahoma"/>
          <w:sz w:val="20"/>
          <w:szCs w:val="20"/>
        </w:rPr>
        <w:t>která</w:t>
      </w:r>
      <w:r w:rsidRPr="00CC396C">
        <w:rPr>
          <w:rFonts w:ascii="Tahoma" w:hAnsi="Tahoma" w:cs="Tahoma"/>
          <w:sz w:val="20"/>
          <w:szCs w:val="20"/>
        </w:rPr>
        <w:t xml:space="preserve"> byla v minulosti podkladem pro změnu RUD obcí). </w:t>
      </w:r>
    </w:p>
    <w:p w14:paraId="4D891138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</w:p>
    <w:p w14:paraId="1E667A2C" w14:textId="77777777" w:rsidR="00D336F4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  <w:r w:rsidRPr="00CC396C">
        <w:rPr>
          <w:rFonts w:ascii="Tahoma" w:hAnsi="Tahoma" w:cs="Tahoma"/>
          <w:sz w:val="20"/>
          <w:szCs w:val="20"/>
        </w:rPr>
        <w:t xml:space="preserve">Skutečnost, že řada kritérií je zvolena ve výsledném návrhu zákona velmi nevhodně, potvrzují rovněž zásadní připomínky vznesené k návrhu zákona Ministerstvem pro místní rozvoj a </w:t>
      </w:r>
      <w:r>
        <w:rPr>
          <w:rFonts w:ascii="Tahoma" w:hAnsi="Tahoma" w:cs="Tahoma"/>
          <w:sz w:val="20"/>
          <w:szCs w:val="20"/>
        </w:rPr>
        <w:t>M</w:t>
      </w:r>
      <w:r w:rsidRPr="00CC396C">
        <w:rPr>
          <w:rFonts w:ascii="Tahoma" w:hAnsi="Tahoma" w:cs="Tahoma"/>
          <w:sz w:val="20"/>
          <w:szCs w:val="20"/>
        </w:rPr>
        <w:t>inisterstvem zdravotnictví. Na</w:t>
      </w:r>
      <w:r>
        <w:rPr>
          <w:rFonts w:ascii="Tahoma" w:hAnsi="Tahoma" w:cs="Tahoma"/>
          <w:sz w:val="20"/>
          <w:szCs w:val="20"/>
        </w:rPr>
        <w:t> </w:t>
      </w:r>
      <w:r w:rsidRPr="00CC396C">
        <w:rPr>
          <w:rFonts w:ascii="Tahoma" w:hAnsi="Tahoma" w:cs="Tahoma"/>
          <w:sz w:val="20"/>
          <w:szCs w:val="20"/>
        </w:rPr>
        <w:t>negativní dopad a nevhodnost řady zvolených kritérií pro strukturálně postižené regiony upozorňuje</w:t>
      </w:r>
      <w:r>
        <w:rPr>
          <w:rFonts w:ascii="Tahoma" w:hAnsi="Tahoma" w:cs="Tahoma"/>
          <w:sz w:val="20"/>
          <w:szCs w:val="20"/>
        </w:rPr>
        <w:t xml:space="preserve"> např.</w:t>
      </w:r>
      <w:r w:rsidRPr="00CC396C">
        <w:rPr>
          <w:rFonts w:ascii="Tahoma" w:hAnsi="Tahoma" w:cs="Tahoma"/>
          <w:sz w:val="20"/>
          <w:szCs w:val="20"/>
        </w:rPr>
        <w:t xml:space="preserve"> i Daniel Prokop, od roku 2022 člen Národní ekonomické rady vlády.</w:t>
      </w:r>
      <w:r>
        <w:rPr>
          <w:rFonts w:ascii="Tahoma" w:hAnsi="Tahoma" w:cs="Tahoma"/>
          <w:sz w:val="20"/>
          <w:szCs w:val="20"/>
        </w:rPr>
        <w:t xml:space="preserve"> Vzhledem k závažnosti celé problematiky, která má dopad na budoucí hospodaření MSK považujeme za důležité seznámit s tímto materiálem všechny členy zastupitelstva kraje.</w:t>
      </w:r>
    </w:p>
    <w:p w14:paraId="5C69A1E1" w14:textId="77777777" w:rsidR="00D336F4" w:rsidRPr="00CC396C" w:rsidRDefault="00D336F4" w:rsidP="00D336F4">
      <w:pPr>
        <w:autoSpaceDE w:val="0"/>
        <w:autoSpaceDN w:val="0"/>
        <w:adjustRightInd w:val="0"/>
        <w:spacing w:after="0" w:line="280" w:lineRule="exact"/>
        <w:jc w:val="both"/>
        <w:rPr>
          <w:rFonts w:ascii="Tahoma" w:hAnsi="Tahoma" w:cs="Tahoma"/>
          <w:sz w:val="20"/>
          <w:szCs w:val="20"/>
        </w:rPr>
      </w:pPr>
    </w:p>
    <w:p w14:paraId="5B7421E8" w14:textId="77777777" w:rsidR="00D336F4" w:rsidRPr="00B57371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B57371">
        <w:rPr>
          <w:rFonts w:ascii="Tahoma" w:hAnsi="Tahoma" w:cs="Tahoma"/>
          <w:sz w:val="20"/>
          <w:szCs w:val="20"/>
        </w:rPr>
        <w:t xml:space="preserve">Pokud zastupitelstvo kraje přijme usnesení dle předloženého </w:t>
      </w:r>
      <w:r>
        <w:rPr>
          <w:rFonts w:ascii="Tahoma" w:hAnsi="Tahoma" w:cs="Tahoma"/>
          <w:sz w:val="20"/>
          <w:szCs w:val="20"/>
        </w:rPr>
        <w:t>návrhu, bude přijaté usnesení neprodleně zasláno do Poslanecké sněmovny Parlamentu ČR, předsedovi Vlády ČR a ministrovi financí.</w:t>
      </w:r>
    </w:p>
    <w:p w14:paraId="1145B413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A19FADE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1B9F8CF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68ACEBB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62991E2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73CE5C8C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EC151B5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968677D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5572556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B4048E7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C39BF00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E615138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675B29A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7C518EF0" w14:textId="77777777" w:rsidR="00D336F4" w:rsidRPr="00F614FB" w:rsidRDefault="00D336F4" w:rsidP="00D336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614FB">
        <w:rPr>
          <w:rFonts w:ascii="Arial" w:hAnsi="Arial" w:cs="Arial"/>
        </w:rPr>
        <w:t xml:space="preserve"> </w:t>
      </w:r>
    </w:p>
    <w:p w14:paraId="5FE59AF3" w14:textId="77777777" w:rsidR="00D336F4" w:rsidRDefault="00D336F4" w:rsidP="00D336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06CBEB6" w14:textId="77777777" w:rsidR="001E3513" w:rsidRDefault="001E3513"/>
    <w:sectPr w:rsidR="001E3513" w:rsidSect="00D336F4">
      <w:footerReference w:type="even" r:id="rId12"/>
      <w:footerReference w:type="default" r:id="rId13"/>
      <w:footerReference w:type="firs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B7AFE" w14:textId="77777777" w:rsidR="00D336F4" w:rsidRDefault="00D336F4" w:rsidP="00D336F4">
      <w:pPr>
        <w:spacing w:after="0" w:line="240" w:lineRule="auto"/>
      </w:pPr>
      <w:r>
        <w:separator/>
      </w:r>
    </w:p>
  </w:endnote>
  <w:endnote w:type="continuationSeparator" w:id="0">
    <w:p w14:paraId="628644C1" w14:textId="77777777" w:rsidR="00D336F4" w:rsidRDefault="00D336F4" w:rsidP="00D3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FE397" w14:textId="4A414B74" w:rsidR="00D336F4" w:rsidRDefault="00D336F4">
    <w:pPr>
      <w:pStyle w:val="Zpat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F87609" wp14:editId="1BA237A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145530755" name="Textové pole 2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D61E29" w14:textId="1B500D1F" w:rsidR="00D336F4" w:rsidRPr="00D336F4" w:rsidRDefault="00D336F4" w:rsidP="00D336F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D336F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F87609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72D61E29" w14:textId="1B500D1F" w:rsidR="00D336F4" w:rsidRPr="00D336F4" w:rsidRDefault="00D336F4" w:rsidP="00D336F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D336F4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95220" w14:textId="2F5B848A" w:rsidR="00D336F4" w:rsidRDefault="00D336F4">
    <w:pPr>
      <w:pStyle w:val="Zpat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4F86C9C" wp14:editId="0D7EF7CD">
              <wp:simplePos x="685800" y="100711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256883740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D8ECCB" w14:textId="2600F5E6" w:rsidR="00D336F4" w:rsidRPr="00D336F4" w:rsidRDefault="00D336F4" w:rsidP="00D336F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D336F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F86C9C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1DD8ECCB" w14:textId="2600F5E6" w:rsidR="00D336F4" w:rsidRPr="00D336F4" w:rsidRDefault="00D336F4" w:rsidP="00D336F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D336F4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653F9" w14:textId="67465443" w:rsidR="00D336F4" w:rsidRDefault="00D336F4">
    <w:pPr>
      <w:pStyle w:val="Zpat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01B89D3" wp14:editId="1057249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843709605" name="Textové pole 1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1507E6" w14:textId="5EDCDF8A" w:rsidR="00D336F4" w:rsidRPr="00D336F4" w:rsidRDefault="00D336F4" w:rsidP="00D336F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D336F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1B89D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411507E6" w14:textId="5EDCDF8A" w:rsidR="00D336F4" w:rsidRPr="00D336F4" w:rsidRDefault="00D336F4" w:rsidP="00D336F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D336F4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F3FFF" w14:textId="77777777" w:rsidR="00D336F4" w:rsidRDefault="00D336F4" w:rsidP="00D336F4">
      <w:pPr>
        <w:spacing w:after="0" w:line="240" w:lineRule="auto"/>
      </w:pPr>
      <w:r>
        <w:separator/>
      </w:r>
    </w:p>
  </w:footnote>
  <w:footnote w:type="continuationSeparator" w:id="0">
    <w:p w14:paraId="2678466C" w14:textId="77777777" w:rsidR="00D336F4" w:rsidRDefault="00D336F4" w:rsidP="00D33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E58F2"/>
    <w:multiLevelType w:val="hybridMultilevel"/>
    <w:tmpl w:val="0CE4E26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723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6F4"/>
    <w:rsid w:val="001E3513"/>
    <w:rsid w:val="001E3572"/>
    <w:rsid w:val="00613627"/>
    <w:rsid w:val="00941B91"/>
    <w:rsid w:val="00D3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0A75C"/>
  <w15:chartTrackingRefBased/>
  <w15:docId w15:val="{387B3CD5-D271-4D89-B554-DA7591728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36F4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D336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336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336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336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336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336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336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336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336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336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336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336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336F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336F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336F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336F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336F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336F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336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336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336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336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336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336F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336F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336F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336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336F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336F4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uiPriority w:val="99"/>
    <w:unhideWhenUsed/>
    <w:rsid w:val="00D33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36F4"/>
    <w:rPr>
      <w:kern w:val="0"/>
      <w14:ligatures w14:val="none"/>
    </w:rPr>
  </w:style>
  <w:style w:type="table" w:styleId="Mkatabulky">
    <w:name w:val="Table Grid"/>
    <w:basedOn w:val="Normlntabulka"/>
    <w:uiPriority w:val="39"/>
    <w:rsid w:val="00D336F4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1288</Words>
  <Characters>7601</Characters>
  <Application>Microsoft Office Word</Application>
  <DocSecurity>0</DocSecurity>
  <Lines>63</Lines>
  <Paragraphs>17</Paragraphs>
  <ScaleCrop>false</ScaleCrop>
  <Company>Moravskoslezsky kraj - krajsky urad</Company>
  <LinksUpToDate>false</LinksUpToDate>
  <CharactersWithSpaces>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Karbulová Žaneta</dc:creator>
  <cp:keywords/>
  <dc:description/>
  <cp:lastModifiedBy>Karbulová Žaneta</cp:lastModifiedBy>
  <cp:revision>1</cp:revision>
  <dcterms:created xsi:type="dcterms:W3CDTF">2024-06-06T12:12:00Z</dcterms:created>
  <dcterms:modified xsi:type="dcterms:W3CDTF">2024-06-06T12:12:00Z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3249fca5,44476983,4aea861c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2024-06-06T12:12:34Z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e08927b0-9518-487b-a5ee-14ed169e1ba3</vt:lpwstr>
  </property>
  <property fmtid="{D5CDD505-2E9C-101B-9397-08002B2CF9AE}" pid="11" name="MSIP_Label_215ad6d0-798b-44f9-b3fd-112ad6275fb4_ContentBits">
    <vt:lpwstr>2</vt:lpwstr>
  </property>
</Properties>
</file>