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666" w:rsidRDefault="00FD514B" w:rsidP="00FD514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D514B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2428875" cy="736383"/>
            <wp:effectExtent l="0" t="0" r="0" b="6985"/>
            <wp:docPr id="1" name="Obrázek 1" descr="\\nas\ku\01_KH\_OMV\Prezentace a info o MSK\LOGA MSK\logo_final 16 bare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\ku\01_KH\_OMV\Prezentace a info o MSK\LOGA MSK\logo_final 16 barev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791" cy="75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14B" w:rsidRPr="00FD514B" w:rsidRDefault="00FD514B" w:rsidP="00FD514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A0666" w:rsidRPr="00FD514B" w:rsidRDefault="00BA0666" w:rsidP="00FD514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D514B">
        <w:rPr>
          <w:rFonts w:ascii="Arial" w:hAnsi="Arial" w:cs="Arial"/>
          <w:b/>
          <w:bCs/>
          <w:sz w:val="24"/>
          <w:szCs w:val="24"/>
        </w:rPr>
        <w:t>Silná obnovená regionální politika pro všechny regiony po roce 2020</w:t>
      </w:r>
    </w:p>
    <w:p w:rsidR="00BA0666" w:rsidRPr="00FD514B" w:rsidRDefault="00BA0666" w:rsidP="00FD51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514B">
        <w:rPr>
          <w:rFonts w:ascii="Arial" w:hAnsi="Arial" w:cs="Arial"/>
          <w:sz w:val="24"/>
          <w:szCs w:val="24"/>
        </w:rPr>
        <w:t>Demokratická legitimita Evropské unie je založena na zásadách subsidiarity a</w:t>
      </w:r>
      <w:r w:rsidR="00FD514B">
        <w:rPr>
          <w:rFonts w:ascii="Arial" w:hAnsi="Arial" w:cs="Arial"/>
          <w:sz w:val="24"/>
          <w:szCs w:val="24"/>
        </w:rPr>
        <w:t> </w:t>
      </w:r>
      <w:r w:rsidRPr="00FD514B">
        <w:rPr>
          <w:rFonts w:ascii="Arial" w:hAnsi="Arial" w:cs="Arial"/>
          <w:sz w:val="24"/>
          <w:szCs w:val="24"/>
        </w:rPr>
        <w:t>proporcionality, kde rozhodnutí je třeba přijímat co možná nejblíže občanům. Politika soudržnosti je jednou z nejdůležitějších evropských politik, jež tyto zásady plně zahrnuje prostřednictvím sdílené vícestupňové správy, partnerství, solidarity, spolupráce a ujednání založených na důkazech a konkrétních místech. V jejím centru jsou lidé a její nástroje jsou uzpůsobeny tak, aby umožnily regionům a městům přispívat ke splnění cílů EU podle jejich konkrétní situace a potřeb. Aby byly evropské politiky a iniciativy aktuální a úspěšné, potřebuje EU skutečné zapojení regionálních a</w:t>
      </w:r>
      <w:r w:rsidR="00FD514B">
        <w:rPr>
          <w:rFonts w:ascii="Arial" w:hAnsi="Arial" w:cs="Arial"/>
          <w:sz w:val="24"/>
          <w:szCs w:val="24"/>
        </w:rPr>
        <w:t> </w:t>
      </w:r>
      <w:r w:rsidRPr="00FD514B">
        <w:rPr>
          <w:rFonts w:ascii="Arial" w:hAnsi="Arial" w:cs="Arial"/>
          <w:sz w:val="24"/>
          <w:szCs w:val="24"/>
        </w:rPr>
        <w:t xml:space="preserve">místních subjektů. Politika soudržnosti je klíčová pro stabilní a spolehlivé plánování a místní realizaci dlouhodobých investic do strategických priorit EU, například výzkumu, inovací, obnovitelných energií, malých a středních podniků, konkurenceschopnosti, tvorby pracovních míst atd. Je to politika EU, kterou lze nejlépe měřit. </w:t>
      </w:r>
    </w:p>
    <w:p w:rsidR="00BA0666" w:rsidRPr="00FD514B" w:rsidRDefault="00BA0666" w:rsidP="00FD51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514B">
        <w:rPr>
          <w:rFonts w:ascii="Arial" w:hAnsi="Arial" w:cs="Arial"/>
          <w:b/>
          <w:bCs/>
          <w:sz w:val="24"/>
          <w:szCs w:val="24"/>
        </w:rPr>
        <w:t xml:space="preserve">Politika pro všechny regiony v Evropě! </w:t>
      </w:r>
    </w:p>
    <w:p w:rsidR="00BA0666" w:rsidRPr="00FD514B" w:rsidRDefault="00BA0666" w:rsidP="00FD51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514B">
        <w:rPr>
          <w:rFonts w:ascii="Arial" w:hAnsi="Arial" w:cs="Arial"/>
          <w:sz w:val="24"/>
          <w:szCs w:val="24"/>
        </w:rPr>
        <w:t xml:space="preserve">Politika soudržnosti spojuje všechny regiony v Evropě, a proto pomáhá jak jejich sbližování, tak i snižování nerovností v rámci regionů a mezi nimi, přičemž jim také umožňuje dosáhnout společných evropských cílů. Proto </w:t>
      </w:r>
      <w:r w:rsidRPr="00FD514B">
        <w:rPr>
          <w:rFonts w:ascii="Arial" w:hAnsi="Arial" w:cs="Arial"/>
          <w:b/>
          <w:bCs/>
          <w:sz w:val="24"/>
          <w:szCs w:val="24"/>
        </w:rPr>
        <w:t xml:space="preserve">politika soudržnosti musí nadále zahrnovat naprosto každý region i v období po roce 2020. </w:t>
      </w:r>
    </w:p>
    <w:p w:rsidR="00BA0666" w:rsidRPr="00FD514B" w:rsidRDefault="00BA0666" w:rsidP="00FD51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514B">
        <w:rPr>
          <w:rFonts w:ascii="Arial" w:hAnsi="Arial" w:cs="Arial"/>
          <w:b/>
          <w:bCs/>
          <w:sz w:val="24"/>
          <w:szCs w:val="24"/>
        </w:rPr>
        <w:t xml:space="preserve">Dostatečné financování pro všechny! </w:t>
      </w:r>
    </w:p>
    <w:p w:rsidR="00BA0666" w:rsidRPr="00FD514B" w:rsidRDefault="00BA0666" w:rsidP="00FD51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514B">
        <w:rPr>
          <w:rFonts w:ascii="Arial" w:hAnsi="Arial" w:cs="Arial"/>
          <w:sz w:val="24"/>
          <w:szCs w:val="24"/>
        </w:rPr>
        <w:t xml:space="preserve">Alokace rozpočtů a jejich správné zdroje jsou předpokladem spolehlivé realizace po celé EU. S uznáním typů socioekonomických a environmentálních výzev, jež přetrvávají napříč EU, se musí zachovat </w:t>
      </w:r>
      <w:r w:rsidRPr="00FD514B">
        <w:rPr>
          <w:rFonts w:ascii="Arial" w:hAnsi="Arial" w:cs="Arial"/>
          <w:b/>
          <w:bCs/>
          <w:sz w:val="24"/>
          <w:szCs w:val="24"/>
        </w:rPr>
        <w:t xml:space="preserve">granty </w:t>
      </w:r>
      <w:r w:rsidRPr="00FD514B">
        <w:rPr>
          <w:rFonts w:ascii="Arial" w:hAnsi="Arial" w:cs="Arial"/>
          <w:sz w:val="24"/>
          <w:szCs w:val="24"/>
        </w:rPr>
        <w:t xml:space="preserve">jako </w:t>
      </w:r>
      <w:r w:rsidRPr="00FD514B">
        <w:rPr>
          <w:rFonts w:ascii="Arial" w:hAnsi="Arial" w:cs="Arial"/>
          <w:b/>
          <w:bCs/>
          <w:sz w:val="24"/>
          <w:szCs w:val="24"/>
        </w:rPr>
        <w:t>hlavní nástroj financování pro všechny regiony</w:t>
      </w:r>
      <w:r w:rsidRPr="00FD514B">
        <w:rPr>
          <w:rFonts w:ascii="Arial" w:hAnsi="Arial" w:cs="Arial"/>
          <w:sz w:val="24"/>
          <w:szCs w:val="24"/>
        </w:rPr>
        <w:t xml:space="preserve">. Dále by regiony měly být schopny podle situace používat finanční nástroje. </w:t>
      </w:r>
    </w:p>
    <w:p w:rsidR="00BA0666" w:rsidRPr="00FD514B" w:rsidRDefault="00BA0666" w:rsidP="00FD51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514B">
        <w:rPr>
          <w:rFonts w:ascii="Arial" w:hAnsi="Arial" w:cs="Arial"/>
          <w:sz w:val="24"/>
          <w:szCs w:val="24"/>
        </w:rPr>
        <w:lastRenderedPageBreak/>
        <w:t>Nelze zpochybňovat ponechání největších částek finančních alokací méně rozvinutým regionům. Současně je nezbytné podporovat přechodové regiony v jejich úsilí k</w:t>
      </w:r>
      <w:r w:rsidR="00FD514B">
        <w:rPr>
          <w:rFonts w:ascii="Arial" w:hAnsi="Arial" w:cs="Arial"/>
          <w:sz w:val="24"/>
          <w:szCs w:val="24"/>
        </w:rPr>
        <w:t> </w:t>
      </w:r>
      <w:r w:rsidRPr="00FD514B">
        <w:rPr>
          <w:rFonts w:ascii="Arial" w:hAnsi="Arial" w:cs="Arial"/>
          <w:sz w:val="24"/>
          <w:szCs w:val="24"/>
        </w:rPr>
        <w:t xml:space="preserve">dalšímu růstu a umožnit rozvinutějším regionům zkonsolidovat a posílit jejich úspěchy pomocí dostatečného financování. Je zjištěno, že rozvinutější regiony usnadňují a vyvolávají dynamické procesy mezi všemi regiony. </w:t>
      </w:r>
    </w:p>
    <w:p w:rsidR="00BA0666" w:rsidRPr="00FD514B" w:rsidRDefault="00BA0666" w:rsidP="00FD51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514B">
        <w:rPr>
          <w:rFonts w:ascii="Arial" w:hAnsi="Arial" w:cs="Arial"/>
          <w:b/>
          <w:bCs/>
          <w:sz w:val="24"/>
          <w:szCs w:val="24"/>
        </w:rPr>
        <w:t xml:space="preserve">Evropská územní spolupráce klíčovým prvkem! </w:t>
      </w:r>
    </w:p>
    <w:p w:rsidR="00BA0666" w:rsidRPr="00FD514B" w:rsidRDefault="00BA0666" w:rsidP="00FD51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514B">
        <w:rPr>
          <w:rFonts w:ascii="Arial" w:hAnsi="Arial" w:cs="Arial"/>
          <w:sz w:val="24"/>
          <w:szCs w:val="24"/>
        </w:rPr>
        <w:t>Tím, že spojuje subjekty z rozličných členských států a regionů, znamená přeshraniční, mezinárodní a meziregionální spolupráce základní přínos pro Evropu a její občany a</w:t>
      </w:r>
      <w:r w:rsidR="00FD514B">
        <w:rPr>
          <w:rFonts w:ascii="Arial" w:hAnsi="Arial" w:cs="Arial"/>
          <w:sz w:val="24"/>
          <w:szCs w:val="24"/>
        </w:rPr>
        <w:t> </w:t>
      </w:r>
      <w:r w:rsidRPr="00FD514B">
        <w:rPr>
          <w:rFonts w:ascii="Arial" w:hAnsi="Arial" w:cs="Arial"/>
          <w:sz w:val="24"/>
          <w:szCs w:val="24"/>
        </w:rPr>
        <w:t xml:space="preserve">zajišťuje vysoce zřetelnou evropskou přidanou hodnotu. Proto je potřeba tuto komplexní politiku teritoriální spolupráce dále posilovat a dobře zajišťovat zdroji. </w:t>
      </w:r>
    </w:p>
    <w:p w:rsidR="00BA0666" w:rsidRPr="00FD514B" w:rsidRDefault="00BA0666" w:rsidP="00FD51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514B">
        <w:rPr>
          <w:rFonts w:ascii="Arial" w:hAnsi="Arial" w:cs="Arial"/>
          <w:b/>
          <w:bCs/>
          <w:sz w:val="24"/>
          <w:szCs w:val="24"/>
        </w:rPr>
        <w:t xml:space="preserve">Přístup založený na skutečné situaci v regionech! </w:t>
      </w:r>
    </w:p>
    <w:p w:rsidR="00BA0666" w:rsidRPr="00FD514B" w:rsidRDefault="00BA0666" w:rsidP="00FD51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514B">
        <w:rPr>
          <w:rFonts w:ascii="Arial" w:hAnsi="Arial" w:cs="Arial"/>
          <w:sz w:val="24"/>
          <w:szCs w:val="24"/>
        </w:rPr>
        <w:t xml:space="preserve">Pro dosažení efektivnosti a účinnosti je nutno zaručit pružnější </w:t>
      </w:r>
      <w:r w:rsidRPr="00FD514B">
        <w:rPr>
          <w:rFonts w:ascii="Arial" w:hAnsi="Arial" w:cs="Arial"/>
          <w:b/>
          <w:bCs/>
          <w:sz w:val="24"/>
          <w:szCs w:val="24"/>
        </w:rPr>
        <w:t xml:space="preserve">přístup odrážející různé typy prostředků financování </w:t>
      </w:r>
      <w:r w:rsidRPr="00FD514B">
        <w:rPr>
          <w:rFonts w:ascii="Arial" w:hAnsi="Arial" w:cs="Arial"/>
          <w:sz w:val="24"/>
          <w:szCs w:val="24"/>
        </w:rPr>
        <w:t>rychle reagujících na potřeby a výzvy. Zjednodušení je podmínkou lepší realizace. Je potřeba vystihnout proporcionální rovnováhu mezi administrativní zátěží a rozsahem podpory. Regionální politika si žádá flexibilitu, aby mohla zahrnovat různorodé regionální potřeby při sestavování a</w:t>
      </w:r>
      <w:r w:rsidR="00FD514B">
        <w:rPr>
          <w:rFonts w:ascii="Arial" w:hAnsi="Arial" w:cs="Arial"/>
          <w:sz w:val="24"/>
          <w:szCs w:val="24"/>
        </w:rPr>
        <w:t> </w:t>
      </w:r>
      <w:r w:rsidRPr="00FD514B">
        <w:rPr>
          <w:rFonts w:ascii="Arial" w:hAnsi="Arial" w:cs="Arial"/>
          <w:sz w:val="24"/>
          <w:szCs w:val="24"/>
        </w:rPr>
        <w:t xml:space="preserve">realizaci projektů. Je nutno zavést </w:t>
      </w:r>
      <w:r w:rsidRPr="00FD514B">
        <w:rPr>
          <w:rFonts w:ascii="Arial" w:hAnsi="Arial" w:cs="Arial"/>
          <w:b/>
          <w:bCs/>
          <w:sz w:val="24"/>
          <w:szCs w:val="24"/>
        </w:rPr>
        <w:t xml:space="preserve">nový typ partnerství vybudovaný na důvěře </w:t>
      </w:r>
      <w:r w:rsidRPr="00FD514B">
        <w:rPr>
          <w:rFonts w:ascii="Arial" w:hAnsi="Arial" w:cs="Arial"/>
          <w:sz w:val="24"/>
          <w:szCs w:val="24"/>
        </w:rPr>
        <w:t xml:space="preserve">mezi regiony, členskými státy a institucemi EU, aby se tato politika implementovala efektivněji. </w:t>
      </w:r>
    </w:p>
    <w:p w:rsidR="00D5427B" w:rsidRDefault="00BA0666" w:rsidP="00FD514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D514B">
        <w:rPr>
          <w:rFonts w:ascii="Arial" w:hAnsi="Arial" w:cs="Arial"/>
          <w:b/>
          <w:bCs/>
          <w:sz w:val="24"/>
          <w:szCs w:val="24"/>
        </w:rPr>
        <w:t>My, regiony a lokální subjekty v Evropě, vyzýváme evropské instituce a členské státy, aby toto společné stanovisko vzaly v úvahu s ohledem na podobu budoucí politiky soudržnosti po roce 2020.</w:t>
      </w:r>
    </w:p>
    <w:p w:rsidR="00FD514B" w:rsidRDefault="00FD514B" w:rsidP="00FD514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D514B" w:rsidRDefault="00FD514B" w:rsidP="00FD51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0025D" w:rsidRDefault="0090025D" w:rsidP="00FD514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D514B" w:rsidRDefault="00FD514B" w:rsidP="0090025D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FD514B">
        <w:rPr>
          <w:rFonts w:ascii="Arial" w:hAnsi="Arial" w:cs="Arial"/>
          <w:sz w:val="24"/>
          <w:szCs w:val="24"/>
        </w:rPr>
        <w:t>.........................................................................</w:t>
      </w:r>
    </w:p>
    <w:p w:rsidR="00FD514B" w:rsidRPr="00FD514B" w:rsidRDefault="00FD514B" w:rsidP="0090025D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FD514B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iroslav Novák</w:t>
      </w:r>
    </w:p>
    <w:p w:rsidR="00FD514B" w:rsidRPr="00FD514B" w:rsidRDefault="00FD514B" w:rsidP="0090025D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FD514B">
        <w:rPr>
          <w:rFonts w:ascii="Arial" w:hAnsi="Arial" w:cs="Arial"/>
          <w:sz w:val="24"/>
          <w:szCs w:val="24"/>
        </w:rPr>
        <w:t xml:space="preserve">hejtman </w:t>
      </w:r>
      <w:r>
        <w:rPr>
          <w:rFonts w:ascii="Arial" w:hAnsi="Arial" w:cs="Arial"/>
          <w:sz w:val="24"/>
          <w:szCs w:val="24"/>
        </w:rPr>
        <w:t>Moravskoslezského kraje</w:t>
      </w:r>
    </w:p>
    <w:sectPr w:rsidR="00FD514B" w:rsidRPr="00FD5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66"/>
    <w:rsid w:val="005D5B32"/>
    <w:rsid w:val="0090025D"/>
    <w:rsid w:val="00BA0666"/>
    <w:rsid w:val="00D5427B"/>
    <w:rsid w:val="00FD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0F4DF-68BA-47B0-BFFB-1328D630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505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Bönisch Jaromír</dc:creator>
  <cp:keywords/>
  <dc:description/>
  <cp:lastModifiedBy>Bönisch Jaromír</cp:lastModifiedBy>
  <cp:revision>3</cp:revision>
  <dcterms:created xsi:type="dcterms:W3CDTF">2016-06-15T07:14:00Z</dcterms:created>
  <dcterms:modified xsi:type="dcterms:W3CDTF">2016-06-16T09:19:00Z</dcterms:modified>
</cp:coreProperties>
</file>