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2D1D0" w14:textId="77777777" w:rsidR="004D37F5" w:rsidRPr="00BC4809" w:rsidRDefault="004D37F5" w:rsidP="004D37F5">
      <w:pPr>
        <w:rPr>
          <w:rFonts w:ascii="Tahoma" w:hAnsi="Tahoma" w:cs="Tahoma"/>
          <w:b/>
          <w:sz w:val="20"/>
          <w:szCs w:val="20"/>
        </w:rPr>
      </w:pPr>
      <w:r w:rsidRPr="00BC4809">
        <w:rPr>
          <w:rFonts w:ascii="Tahoma" w:hAnsi="Tahoma" w:cs="Tahoma"/>
          <w:b/>
          <w:sz w:val="20"/>
          <w:szCs w:val="20"/>
        </w:rPr>
        <w:t>Moravskoslezský kraj</w:t>
      </w:r>
    </w:p>
    <w:p w14:paraId="57F7BEDA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C4809">
        <w:rPr>
          <w:rFonts w:ascii="Tahoma" w:hAnsi="Tahoma" w:cs="Tahoma"/>
          <w:sz w:val="20"/>
          <w:szCs w:val="20"/>
        </w:rPr>
        <w:t>Krajský úřad Moravskoslezského kraje</w:t>
      </w:r>
    </w:p>
    <w:p w14:paraId="56618411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C4809">
        <w:rPr>
          <w:rFonts w:ascii="Tahoma" w:hAnsi="Tahoma" w:cs="Tahoma"/>
          <w:sz w:val="20"/>
          <w:szCs w:val="20"/>
        </w:rPr>
        <w:t>Odbor sociálních věcí</w:t>
      </w:r>
    </w:p>
    <w:p w14:paraId="761455F7" w14:textId="77777777" w:rsidR="004D37F5" w:rsidRPr="00D94DA3" w:rsidRDefault="004D37F5" w:rsidP="004D37F5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0532E41D" w14:textId="77777777" w:rsidR="004D37F5" w:rsidRPr="00D94DA3" w:rsidRDefault="004D37F5" w:rsidP="004D37F5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0C65D7EC" w14:textId="77777777" w:rsidR="004D37F5" w:rsidRPr="00BC4809" w:rsidRDefault="004D37F5" w:rsidP="004D37F5">
      <w:pPr>
        <w:rPr>
          <w:lang w:eastAsia="zh-CN" w:bidi="hi-IN"/>
        </w:rPr>
      </w:pPr>
    </w:p>
    <w:p w14:paraId="3A1932BB" w14:textId="77777777" w:rsidR="004D37F5" w:rsidRDefault="004D37F5" w:rsidP="004D37F5">
      <w:pPr>
        <w:rPr>
          <w:lang w:eastAsia="zh-CN" w:bidi="hi-IN"/>
        </w:rPr>
      </w:pPr>
    </w:p>
    <w:p w14:paraId="73BBFA09" w14:textId="77777777" w:rsidR="004D37F5" w:rsidRPr="00BC4809" w:rsidRDefault="004D37F5" w:rsidP="004D37F5">
      <w:pPr>
        <w:rPr>
          <w:lang w:eastAsia="zh-CN" w:bidi="hi-IN"/>
        </w:rPr>
      </w:pPr>
    </w:p>
    <w:p w14:paraId="0D741DC3" w14:textId="77777777" w:rsidR="004D37F5" w:rsidRPr="00BC4809" w:rsidRDefault="004D37F5" w:rsidP="004D37F5">
      <w:pPr>
        <w:rPr>
          <w:lang w:eastAsia="zh-CN" w:bidi="hi-IN"/>
        </w:rPr>
      </w:pPr>
    </w:p>
    <w:p w14:paraId="3AA68A4C" w14:textId="77777777" w:rsidR="004D37F5" w:rsidRPr="00BC4809" w:rsidRDefault="004D37F5" w:rsidP="004D37F5">
      <w:pPr>
        <w:rPr>
          <w:lang w:eastAsia="zh-CN" w:bidi="hi-IN"/>
        </w:rPr>
      </w:pPr>
    </w:p>
    <w:p w14:paraId="221451E3" w14:textId="77777777" w:rsidR="004D37F5" w:rsidRPr="00BC4809" w:rsidRDefault="004D37F5" w:rsidP="004D37F5">
      <w:pPr>
        <w:rPr>
          <w:lang w:eastAsia="zh-CN" w:bidi="hi-IN"/>
        </w:rPr>
      </w:pPr>
    </w:p>
    <w:p w14:paraId="009647DD" w14:textId="77777777" w:rsidR="004D37F5" w:rsidRPr="00BC4809" w:rsidRDefault="004D37F5" w:rsidP="004D37F5">
      <w:pPr>
        <w:jc w:val="center"/>
        <w:rPr>
          <w:lang w:eastAsia="zh-CN" w:bidi="hi-IN"/>
        </w:rPr>
      </w:pPr>
    </w:p>
    <w:p w14:paraId="204F86F6" w14:textId="77777777" w:rsidR="004D37F5" w:rsidRDefault="004D37F5" w:rsidP="004D37F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Způsob výpočtu návrhu </w:t>
      </w:r>
      <w:r w:rsidR="00182075">
        <w:rPr>
          <w:rFonts w:ascii="Tahoma" w:hAnsi="Tahoma" w:cs="Tahoma"/>
          <w:b/>
          <w:bCs/>
        </w:rPr>
        <w:t xml:space="preserve">dotace </w:t>
      </w:r>
      <w:r>
        <w:rPr>
          <w:rFonts w:ascii="Tahoma" w:hAnsi="Tahoma" w:cs="Tahoma"/>
          <w:b/>
          <w:bCs/>
        </w:rPr>
        <w:t xml:space="preserve">a </w:t>
      </w:r>
      <w:r w:rsidR="00182075">
        <w:rPr>
          <w:rFonts w:ascii="Tahoma" w:hAnsi="Tahoma" w:cs="Tahoma"/>
          <w:b/>
          <w:bCs/>
        </w:rPr>
        <w:t xml:space="preserve">návrhu </w:t>
      </w:r>
      <w:r>
        <w:rPr>
          <w:rFonts w:ascii="Tahoma" w:hAnsi="Tahoma" w:cs="Tahoma"/>
          <w:b/>
          <w:bCs/>
        </w:rPr>
        <w:t>navýšení dotace pro rok 201</w:t>
      </w:r>
      <w:r w:rsidR="00314F07">
        <w:rPr>
          <w:rFonts w:ascii="Tahoma" w:hAnsi="Tahoma" w:cs="Tahoma"/>
          <w:b/>
          <w:bCs/>
        </w:rPr>
        <w:t>9</w:t>
      </w:r>
      <w:r>
        <w:rPr>
          <w:rFonts w:ascii="Tahoma" w:hAnsi="Tahoma" w:cs="Tahoma"/>
          <w:b/>
          <w:bCs/>
        </w:rPr>
        <w:t xml:space="preserve"> dle</w:t>
      </w:r>
      <w:r w:rsidR="00182075">
        <w:rPr>
          <w:rFonts w:ascii="Tahoma" w:hAnsi="Tahoma" w:cs="Tahoma"/>
          <w:b/>
          <w:bCs/>
        </w:rPr>
        <w:t> </w:t>
      </w:r>
      <w:r>
        <w:rPr>
          <w:rFonts w:ascii="Tahoma" w:hAnsi="Tahoma" w:cs="Tahoma"/>
          <w:b/>
          <w:bCs/>
        </w:rPr>
        <w:t>Podmínek dotačního Programu na podporu poskytování sociálních služeb a</w:t>
      </w:r>
      <w:r w:rsidR="00182075">
        <w:rPr>
          <w:rFonts w:ascii="Tahoma" w:hAnsi="Tahoma" w:cs="Tahoma"/>
          <w:b/>
          <w:bCs/>
        </w:rPr>
        <w:t> </w:t>
      </w:r>
      <w:r>
        <w:rPr>
          <w:rFonts w:ascii="Tahoma" w:hAnsi="Tahoma" w:cs="Tahoma"/>
          <w:b/>
          <w:bCs/>
        </w:rPr>
        <w:t>způsobu rozdělení a čerpání dotace z kapitoly 313 -  MPSV státního rozpočtu</w:t>
      </w:r>
    </w:p>
    <w:p w14:paraId="25F93C26" w14:textId="77777777" w:rsidR="00412A4B" w:rsidRDefault="00412A4B" w:rsidP="004D37F5">
      <w:pPr>
        <w:jc w:val="center"/>
        <w:rPr>
          <w:rFonts w:ascii="Tahoma" w:hAnsi="Tahoma" w:cs="Tahoma"/>
          <w:b/>
          <w:bCs/>
        </w:rPr>
      </w:pPr>
    </w:p>
    <w:p w14:paraId="6585464C" w14:textId="77777777" w:rsidR="004D37F5" w:rsidRPr="00BC4809" w:rsidRDefault="004D37F5" w:rsidP="004D37F5">
      <w:pPr>
        <w:rPr>
          <w:lang w:eastAsia="zh-CN" w:bidi="hi-IN"/>
        </w:rPr>
      </w:pPr>
    </w:p>
    <w:p w14:paraId="44E6B48D" w14:textId="77777777" w:rsidR="004D37F5" w:rsidRPr="00BC4809" w:rsidRDefault="004D37F5" w:rsidP="004D37F5">
      <w:pPr>
        <w:rPr>
          <w:lang w:eastAsia="zh-CN" w:bidi="hi-IN"/>
        </w:rPr>
      </w:pPr>
    </w:p>
    <w:p w14:paraId="61A96CC6" w14:textId="77777777" w:rsidR="004D37F5" w:rsidRPr="00BC4809" w:rsidRDefault="004D37F5" w:rsidP="004D37F5">
      <w:pPr>
        <w:rPr>
          <w:lang w:eastAsia="zh-CN" w:bidi="hi-IN"/>
        </w:rPr>
      </w:pPr>
    </w:p>
    <w:p w14:paraId="3BBEC2D1" w14:textId="77777777" w:rsidR="004D37F5" w:rsidRPr="00BC4809" w:rsidRDefault="004D37F5" w:rsidP="004D37F5">
      <w:pPr>
        <w:rPr>
          <w:lang w:eastAsia="zh-CN" w:bidi="hi-IN"/>
        </w:rPr>
      </w:pPr>
    </w:p>
    <w:p w14:paraId="2044B26E" w14:textId="77777777" w:rsidR="004D37F5" w:rsidRPr="00BC4809" w:rsidRDefault="004D37F5" w:rsidP="004D37F5">
      <w:pPr>
        <w:rPr>
          <w:lang w:eastAsia="zh-CN" w:bidi="hi-IN"/>
        </w:rPr>
      </w:pPr>
    </w:p>
    <w:p w14:paraId="067DEC06" w14:textId="77777777" w:rsidR="004D37F5" w:rsidRPr="00BC4809" w:rsidRDefault="004D37F5" w:rsidP="004D37F5">
      <w:pPr>
        <w:rPr>
          <w:lang w:eastAsia="zh-CN" w:bidi="hi-IN"/>
        </w:rPr>
      </w:pPr>
    </w:p>
    <w:p w14:paraId="27D44F4A" w14:textId="77777777" w:rsidR="004D37F5" w:rsidRPr="00BC4809" w:rsidRDefault="004D37F5" w:rsidP="004D37F5">
      <w:pPr>
        <w:jc w:val="both"/>
        <w:rPr>
          <w:rFonts w:ascii="Tahoma" w:hAnsi="Tahoma" w:cs="Tahoma"/>
          <w:sz w:val="20"/>
          <w:szCs w:val="20"/>
        </w:rPr>
      </w:pPr>
    </w:p>
    <w:p w14:paraId="16F28AB3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1BFAD12" w14:textId="77777777" w:rsidR="005274BD" w:rsidRDefault="005274BD"/>
    <w:p w14:paraId="615F86A5" w14:textId="77777777" w:rsidR="002F29F9" w:rsidRDefault="002F29F9">
      <w:r>
        <w:br w:type="page"/>
      </w:r>
    </w:p>
    <w:p w14:paraId="28BD5291" w14:textId="77777777" w:rsidR="007D62AC" w:rsidRPr="00D46798" w:rsidRDefault="007D62AC" w:rsidP="007D62AC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b/>
        </w:rPr>
      </w:pPr>
      <w:r w:rsidRPr="00D46798">
        <w:rPr>
          <w:rFonts w:ascii="Tahoma" w:hAnsi="Tahoma" w:cs="Tahoma"/>
          <w:b/>
        </w:rPr>
        <w:lastRenderedPageBreak/>
        <w:t>Finanční zajištění sociálních služeb v r</w:t>
      </w:r>
      <w:r w:rsidR="00AF1F76">
        <w:rPr>
          <w:rFonts w:ascii="Tahoma" w:hAnsi="Tahoma" w:cs="Tahoma"/>
          <w:b/>
        </w:rPr>
        <w:t>oce</w:t>
      </w:r>
      <w:r w:rsidR="00AF1F76" w:rsidRPr="00D46798">
        <w:rPr>
          <w:rFonts w:ascii="Tahoma" w:hAnsi="Tahoma" w:cs="Tahoma"/>
          <w:b/>
        </w:rPr>
        <w:t xml:space="preserve"> </w:t>
      </w:r>
      <w:r w:rsidRPr="00D46798">
        <w:rPr>
          <w:rFonts w:ascii="Tahoma" w:hAnsi="Tahoma" w:cs="Tahoma"/>
          <w:b/>
        </w:rPr>
        <w:t>201</w:t>
      </w:r>
      <w:r w:rsidR="00314F07">
        <w:rPr>
          <w:rFonts w:ascii="Tahoma" w:hAnsi="Tahoma" w:cs="Tahoma"/>
          <w:b/>
        </w:rPr>
        <w:t>9</w:t>
      </w:r>
      <w:r w:rsidRPr="00D46798">
        <w:rPr>
          <w:rFonts w:ascii="Tahoma" w:hAnsi="Tahoma" w:cs="Tahoma"/>
          <w:b/>
        </w:rPr>
        <w:t xml:space="preserve"> z prostředků státního rozpočtu</w:t>
      </w:r>
    </w:p>
    <w:p w14:paraId="02154A5D" w14:textId="77777777" w:rsidR="00D46798" w:rsidRPr="007D62AC" w:rsidRDefault="00D46798" w:rsidP="00D46798">
      <w:pPr>
        <w:pStyle w:val="Odstavecseseznamem"/>
        <w:jc w:val="both"/>
        <w:rPr>
          <w:rFonts w:ascii="Tahoma" w:hAnsi="Tahoma" w:cs="Tahoma"/>
          <w:b/>
          <w:sz w:val="20"/>
          <w:szCs w:val="20"/>
        </w:rPr>
      </w:pPr>
    </w:p>
    <w:p w14:paraId="05D2826B" w14:textId="77777777" w:rsidR="002F29F9" w:rsidRDefault="002F29F9" w:rsidP="0005416A">
      <w:pPr>
        <w:jc w:val="both"/>
        <w:rPr>
          <w:rFonts w:ascii="Tahoma" w:hAnsi="Tahoma" w:cs="Tahoma"/>
          <w:sz w:val="20"/>
          <w:szCs w:val="20"/>
        </w:rPr>
      </w:pPr>
      <w:r w:rsidRPr="002F29F9">
        <w:rPr>
          <w:rFonts w:ascii="Tahoma" w:hAnsi="Tahoma" w:cs="Tahoma"/>
          <w:sz w:val="20"/>
          <w:szCs w:val="20"/>
        </w:rPr>
        <w:t>Zastupitelstvo Moravskoslezského kraje na svém zasedání dne 25. 6. 2015 vyhlásilo usnesením č.</w:t>
      </w:r>
      <w:r w:rsidR="008B75B0">
        <w:rPr>
          <w:rFonts w:ascii="Tahoma" w:hAnsi="Tahoma" w:cs="Tahoma"/>
          <w:sz w:val="20"/>
          <w:szCs w:val="20"/>
        </w:rPr>
        <w:t> </w:t>
      </w:r>
      <w:r w:rsidRPr="002F29F9">
        <w:rPr>
          <w:rFonts w:ascii="Tahoma" w:hAnsi="Tahoma" w:cs="Tahoma"/>
          <w:sz w:val="20"/>
          <w:szCs w:val="20"/>
        </w:rPr>
        <w:t>15/1512 Podmínky dotačního Programu na podporu poskytování sociálních služeb a způsob rozdělení a čerpání dotace z kapitoly 313 – MPSV státního rozpočtu (dále jen „Podmínky"), usnesením č. 20/2075 ze dne 23. 6</w:t>
      </w:r>
      <w:r w:rsidR="00314F07">
        <w:rPr>
          <w:rFonts w:ascii="Tahoma" w:hAnsi="Tahoma" w:cs="Tahoma"/>
          <w:sz w:val="20"/>
          <w:szCs w:val="20"/>
        </w:rPr>
        <w:t xml:space="preserve">. 2016 schválilo Dodatek č. 1, </w:t>
      </w:r>
      <w:r w:rsidRPr="002F29F9">
        <w:rPr>
          <w:rFonts w:ascii="Tahoma" w:hAnsi="Tahoma" w:cs="Tahoma"/>
          <w:sz w:val="20"/>
          <w:szCs w:val="20"/>
        </w:rPr>
        <w:t xml:space="preserve">usnesením č. 4/372 ze dne 15. 6. 2017 Dodatek č. 2 </w:t>
      </w:r>
      <w:r w:rsidR="00314F07">
        <w:rPr>
          <w:rFonts w:ascii="Tahoma" w:hAnsi="Tahoma" w:cs="Tahoma"/>
          <w:sz w:val="20"/>
          <w:szCs w:val="20"/>
        </w:rPr>
        <w:t xml:space="preserve">a </w:t>
      </w:r>
      <w:r w:rsidR="002C0750" w:rsidRPr="002C0750">
        <w:rPr>
          <w:rFonts w:ascii="Tahoma" w:hAnsi="Tahoma" w:cs="Tahoma"/>
          <w:sz w:val="20"/>
          <w:szCs w:val="20"/>
        </w:rPr>
        <w:t>usnesením č. 8/930</w:t>
      </w:r>
      <w:r w:rsidR="00314F07">
        <w:rPr>
          <w:rFonts w:ascii="Tahoma" w:hAnsi="Tahoma" w:cs="Tahoma"/>
          <w:sz w:val="20"/>
          <w:szCs w:val="20"/>
        </w:rPr>
        <w:t xml:space="preserve"> ze dne </w:t>
      </w:r>
      <w:r w:rsidR="002C0750">
        <w:rPr>
          <w:rFonts w:ascii="Tahoma" w:hAnsi="Tahoma" w:cs="Tahoma"/>
          <w:sz w:val="20"/>
          <w:szCs w:val="20"/>
        </w:rPr>
        <w:t xml:space="preserve">14. 6. 2019 schválilo </w:t>
      </w:r>
      <w:r w:rsidR="00314F07">
        <w:rPr>
          <w:rFonts w:ascii="Tahoma" w:hAnsi="Tahoma" w:cs="Tahoma"/>
          <w:sz w:val="20"/>
          <w:szCs w:val="20"/>
        </w:rPr>
        <w:t xml:space="preserve">Dodatek č. 3 </w:t>
      </w:r>
      <w:r w:rsidRPr="002F29F9">
        <w:rPr>
          <w:rFonts w:ascii="Tahoma" w:hAnsi="Tahoma" w:cs="Tahoma"/>
          <w:sz w:val="20"/>
          <w:szCs w:val="20"/>
        </w:rPr>
        <w:t>k těmto Podmínkám. Platnost Podmínek, které představují základní rámec pro vyhlášení dotačního programu na</w:t>
      </w:r>
      <w:r w:rsidR="008B75B0">
        <w:rPr>
          <w:rFonts w:ascii="Tahoma" w:hAnsi="Tahoma" w:cs="Tahoma"/>
          <w:sz w:val="20"/>
          <w:szCs w:val="20"/>
        </w:rPr>
        <w:t> </w:t>
      </w:r>
      <w:r w:rsidRPr="002F29F9">
        <w:rPr>
          <w:rFonts w:ascii="Tahoma" w:hAnsi="Tahoma" w:cs="Tahoma"/>
          <w:sz w:val="20"/>
          <w:szCs w:val="20"/>
        </w:rPr>
        <w:t xml:space="preserve">podporu poskytování sociálních služeb pro příslušný rok, je na dobu neurčitou. </w:t>
      </w:r>
    </w:p>
    <w:p w14:paraId="77E1F1ED" w14:textId="77777777" w:rsidR="002C0750" w:rsidRDefault="002C0750" w:rsidP="002C0750">
      <w:pPr>
        <w:jc w:val="both"/>
        <w:rPr>
          <w:rFonts w:ascii="Tahoma" w:hAnsi="Tahoma" w:cs="Tahoma"/>
          <w:sz w:val="20"/>
          <w:szCs w:val="20"/>
        </w:rPr>
      </w:pPr>
      <w:r w:rsidRPr="002F29F9">
        <w:rPr>
          <w:rFonts w:ascii="Tahoma" w:hAnsi="Tahoma" w:cs="Tahoma"/>
          <w:sz w:val="20"/>
          <w:szCs w:val="20"/>
        </w:rPr>
        <w:t xml:space="preserve">V souladu s Podmínkami byl radou kraje vyhlášen </w:t>
      </w:r>
      <w:r w:rsidRPr="002C0750">
        <w:rPr>
          <w:rFonts w:ascii="Tahoma" w:hAnsi="Tahoma" w:cs="Tahoma"/>
          <w:sz w:val="20"/>
          <w:szCs w:val="20"/>
        </w:rPr>
        <w:t>dne 11. 9. 201</w:t>
      </w:r>
      <w:r>
        <w:rPr>
          <w:rFonts w:ascii="Tahoma" w:hAnsi="Tahoma" w:cs="Tahoma"/>
          <w:sz w:val="20"/>
          <w:szCs w:val="20"/>
        </w:rPr>
        <w:t>8</w:t>
      </w:r>
      <w:r w:rsidRPr="002F29F9">
        <w:rPr>
          <w:rFonts w:ascii="Tahoma" w:hAnsi="Tahoma" w:cs="Tahoma"/>
          <w:sz w:val="20"/>
          <w:szCs w:val="20"/>
        </w:rPr>
        <w:t xml:space="preserve"> </w:t>
      </w:r>
      <w:r w:rsidRPr="002C0750">
        <w:rPr>
          <w:rFonts w:ascii="Tahoma" w:hAnsi="Tahoma" w:cs="Tahoma"/>
          <w:sz w:val="20"/>
          <w:szCs w:val="20"/>
        </w:rPr>
        <w:t>usnesením č. 46/4123</w:t>
      </w:r>
      <w:r w:rsidRPr="002F29F9">
        <w:rPr>
          <w:rFonts w:ascii="Tahoma" w:hAnsi="Tahoma" w:cs="Tahoma"/>
          <w:sz w:val="20"/>
          <w:szCs w:val="20"/>
        </w:rPr>
        <w:t xml:space="preserve"> dotační program s názvem „Program na podporu poskytování sociálních služeb pro rok 201</w:t>
      </w:r>
      <w:r>
        <w:rPr>
          <w:rFonts w:ascii="Tahoma" w:hAnsi="Tahoma" w:cs="Tahoma"/>
          <w:sz w:val="20"/>
          <w:szCs w:val="20"/>
        </w:rPr>
        <w:t>9</w:t>
      </w:r>
      <w:r w:rsidRPr="002F29F9">
        <w:rPr>
          <w:rFonts w:ascii="Tahoma" w:hAnsi="Tahoma" w:cs="Tahoma"/>
          <w:sz w:val="20"/>
          <w:szCs w:val="20"/>
        </w:rPr>
        <w:t>“ financovaný z</w:t>
      </w:r>
      <w:r>
        <w:rPr>
          <w:rFonts w:ascii="Tahoma" w:hAnsi="Tahoma" w:cs="Tahoma"/>
          <w:sz w:val="20"/>
          <w:szCs w:val="20"/>
        </w:rPr>
        <w:t> </w:t>
      </w:r>
      <w:r w:rsidRPr="002F29F9">
        <w:rPr>
          <w:rFonts w:ascii="Tahoma" w:hAnsi="Tahoma" w:cs="Tahoma"/>
          <w:sz w:val="20"/>
          <w:szCs w:val="20"/>
        </w:rPr>
        <w:t xml:space="preserve">kapitoly 313 – MPSV státního rozpočtu (dále jen „Program“), ve kterém je provedena bližší specifikace a konkretizace ustanovení Podmínek. </w:t>
      </w:r>
    </w:p>
    <w:p w14:paraId="320B04A1" w14:textId="3401716B" w:rsidR="002F29F9" w:rsidRDefault="002F29F9" w:rsidP="0005416A">
      <w:pPr>
        <w:jc w:val="both"/>
        <w:rPr>
          <w:rFonts w:ascii="Tahoma" w:hAnsi="Tahoma" w:cs="Tahoma"/>
          <w:sz w:val="20"/>
          <w:szCs w:val="20"/>
        </w:rPr>
      </w:pPr>
      <w:r w:rsidRPr="002F29F9">
        <w:rPr>
          <w:rFonts w:ascii="Tahoma" w:hAnsi="Tahoma" w:cs="Tahoma"/>
          <w:sz w:val="20"/>
          <w:szCs w:val="20"/>
        </w:rPr>
        <w:t>Dle Metodiky Ministerstva práce a sociálních věcí se dotace ze státního rozpočtu na příslušný kalendářní rok poskytuje na základě „Žádosti kraje o poskytnutí dotace z kapitoly 313 – M</w:t>
      </w:r>
      <w:r w:rsidR="00314F07">
        <w:rPr>
          <w:rFonts w:ascii="Tahoma" w:hAnsi="Tahoma" w:cs="Tahoma"/>
          <w:sz w:val="20"/>
          <w:szCs w:val="20"/>
        </w:rPr>
        <w:t>PSV státního rozpočtu na r. 2019</w:t>
      </w:r>
      <w:r w:rsidRPr="002F29F9">
        <w:rPr>
          <w:rFonts w:ascii="Tahoma" w:hAnsi="Tahoma" w:cs="Tahoma"/>
          <w:sz w:val="20"/>
          <w:szCs w:val="20"/>
        </w:rPr>
        <w:t>“ (dále jen „Žádost“). Žádost byla podána Moravskoslezským krajem ve</w:t>
      </w:r>
      <w:r w:rsidR="00F50B69">
        <w:rPr>
          <w:rFonts w:ascii="Tahoma" w:hAnsi="Tahoma" w:cs="Tahoma"/>
          <w:sz w:val="20"/>
          <w:szCs w:val="20"/>
        </w:rPr>
        <w:t> </w:t>
      </w:r>
      <w:r w:rsidRPr="002F29F9">
        <w:rPr>
          <w:rFonts w:ascii="Tahoma" w:hAnsi="Tahoma" w:cs="Tahoma"/>
          <w:sz w:val="20"/>
          <w:szCs w:val="20"/>
        </w:rPr>
        <w:t>stanoveném termínu, tj. do 31. 7. 201</w:t>
      </w:r>
      <w:r w:rsidR="00314F07">
        <w:rPr>
          <w:rFonts w:ascii="Tahoma" w:hAnsi="Tahoma" w:cs="Tahoma"/>
          <w:sz w:val="20"/>
          <w:szCs w:val="20"/>
        </w:rPr>
        <w:t>8</w:t>
      </w:r>
      <w:r w:rsidRPr="002F29F9">
        <w:rPr>
          <w:rFonts w:ascii="Tahoma" w:hAnsi="Tahoma" w:cs="Tahoma"/>
          <w:sz w:val="20"/>
          <w:szCs w:val="20"/>
        </w:rPr>
        <w:t xml:space="preserve">, v celkové výši </w:t>
      </w:r>
      <w:r w:rsidR="002C0750" w:rsidRPr="002C0750">
        <w:rPr>
          <w:rFonts w:ascii="Tahoma" w:hAnsi="Tahoma" w:cs="Tahoma"/>
          <w:sz w:val="20"/>
          <w:szCs w:val="20"/>
        </w:rPr>
        <w:t>2.061.588.000 Kč.</w:t>
      </w:r>
    </w:p>
    <w:p w14:paraId="6BBD62A3" w14:textId="59153316" w:rsidR="0005416A" w:rsidRPr="002F29F9" w:rsidRDefault="0005416A" w:rsidP="0005416A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002F29F9">
        <w:rPr>
          <w:rFonts w:ascii="Tahoma" w:hAnsi="Tahoma" w:cs="Tahoma"/>
          <w:sz w:val="20"/>
          <w:szCs w:val="20"/>
        </w:rPr>
        <w:t>Moravskoslezskému kraji byly „Rozhodnutím č. 1 o poskytnutí dotace z kapitoly 313 – MPSV státníh</w:t>
      </w:r>
      <w:r w:rsidR="002F29F9" w:rsidRPr="002F29F9">
        <w:rPr>
          <w:rFonts w:ascii="Tahoma" w:hAnsi="Tahoma" w:cs="Tahoma"/>
          <w:sz w:val="20"/>
          <w:szCs w:val="20"/>
        </w:rPr>
        <w:t>o rozpočtu na rok 201</w:t>
      </w:r>
      <w:r w:rsidR="00314F07">
        <w:rPr>
          <w:rFonts w:ascii="Tahoma" w:hAnsi="Tahoma" w:cs="Tahoma"/>
          <w:sz w:val="20"/>
          <w:szCs w:val="20"/>
        </w:rPr>
        <w:t>9</w:t>
      </w:r>
      <w:r w:rsidR="002F29F9">
        <w:rPr>
          <w:rFonts w:ascii="Tahoma" w:hAnsi="Tahoma" w:cs="Tahoma"/>
          <w:sz w:val="20"/>
          <w:szCs w:val="20"/>
        </w:rPr>
        <w:t xml:space="preserve">“ ze dne </w:t>
      </w:r>
      <w:r w:rsidR="00314F07" w:rsidRPr="004D7530">
        <w:rPr>
          <w:rFonts w:ascii="Tahoma" w:hAnsi="Tahoma" w:cs="Tahoma"/>
          <w:sz w:val="20"/>
          <w:szCs w:val="20"/>
        </w:rPr>
        <w:t>11</w:t>
      </w:r>
      <w:r w:rsidR="002F29F9" w:rsidRPr="004D7530">
        <w:rPr>
          <w:rFonts w:ascii="Tahoma" w:hAnsi="Tahoma" w:cs="Tahoma"/>
          <w:sz w:val="20"/>
          <w:szCs w:val="20"/>
        </w:rPr>
        <w:t>. 1. 201</w:t>
      </w:r>
      <w:r w:rsidR="00314F07" w:rsidRPr="004D7530">
        <w:rPr>
          <w:rFonts w:ascii="Tahoma" w:hAnsi="Tahoma" w:cs="Tahoma"/>
          <w:sz w:val="20"/>
          <w:szCs w:val="20"/>
        </w:rPr>
        <w:t>9</w:t>
      </w:r>
      <w:r w:rsidRPr="002F29F9">
        <w:rPr>
          <w:rFonts w:ascii="Tahoma" w:hAnsi="Tahoma" w:cs="Tahoma"/>
          <w:sz w:val="20"/>
          <w:szCs w:val="20"/>
        </w:rPr>
        <w:t xml:space="preserve"> přiděleny finanční prostředky v celkové výši </w:t>
      </w:r>
      <w:r w:rsidR="00314F07" w:rsidRPr="004D7530">
        <w:rPr>
          <w:rFonts w:ascii="Tahoma" w:hAnsi="Tahoma" w:cs="Tahoma"/>
          <w:b/>
          <w:sz w:val="20"/>
          <w:szCs w:val="20"/>
        </w:rPr>
        <w:t>1.813.</w:t>
      </w:r>
      <w:r w:rsidR="004D7530" w:rsidRPr="004D7530">
        <w:rPr>
          <w:rFonts w:ascii="Tahoma" w:hAnsi="Tahoma" w:cs="Tahoma"/>
          <w:b/>
          <w:sz w:val="20"/>
          <w:szCs w:val="20"/>
        </w:rPr>
        <w:t>440</w:t>
      </w:r>
      <w:r w:rsidR="00B16641">
        <w:rPr>
          <w:rFonts w:ascii="Tahoma" w:hAnsi="Tahoma" w:cs="Tahoma"/>
          <w:b/>
          <w:sz w:val="20"/>
          <w:szCs w:val="20"/>
        </w:rPr>
        <w:t xml:space="preserve">.944 Kč, </w:t>
      </w:r>
      <w:r w:rsidR="00B16641" w:rsidRPr="00EA7E6D">
        <w:rPr>
          <w:rFonts w:ascii="Tahoma" w:hAnsi="Tahoma" w:cs="Tahoma"/>
          <w:sz w:val="20"/>
          <w:szCs w:val="20"/>
        </w:rPr>
        <w:t>tj. o 248.</w:t>
      </w:r>
      <w:r w:rsidR="00EA7E6D" w:rsidRPr="00EA7E6D">
        <w:rPr>
          <w:rFonts w:ascii="Tahoma" w:hAnsi="Tahoma" w:cs="Tahoma"/>
          <w:sz w:val="20"/>
          <w:szCs w:val="20"/>
        </w:rPr>
        <w:t>147</w:t>
      </w:r>
      <w:r w:rsidR="00B16641" w:rsidRPr="00EA7E6D">
        <w:rPr>
          <w:rFonts w:ascii="Tahoma" w:hAnsi="Tahoma" w:cs="Tahoma"/>
          <w:sz w:val="20"/>
          <w:szCs w:val="20"/>
        </w:rPr>
        <w:t>.</w:t>
      </w:r>
      <w:r w:rsidR="00EA7E6D" w:rsidRPr="00EA7E6D">
        <w:rPr>
          <w:rFonts w:ascii="Tahoma" w:hAnsi="Tahoma" w:cs="Tahoma"/>
          <w:sz w:val="20"/>
          <w:szCs w:val="20"/>
        </w:rPr>
        <w:t>056</w:t>
      </w:r>
      <w:r w:rsidR="00B16641" w:rsidRPr="00EA7E6D">
        <w:rPr>
          <w:rFonts w:ascii="Tahoma" w:hAnsi="Tahoma" w:cs="Tahoma"/>
          <w:sz w:val="20"/>
          <w:szCs w:val="20"/>
        </w:rPr>
        <w:t xml:space="preserve"> Kč méně, než bylo požadováno</w:t>
      </w:r>
      <w:r w:rsidR="00B16641">
        <w:rPr>
          <w:rFonts w:ascii="Tahoma" w:hAnsi="Tahoma" w:cs="Tahoma"/>
          <w:b/>
          <w:sz w:val="20"/>
          <w:szCs w:val="20"/>
        </w:rPr>
        <w:t>.</w:t>
      </w:r>
      <w:r w:rsidR="00314F07">
        <w:rPr>
          <w:rFonts w:ascii="Tahoma" w:hAnsi="Tahoma" w:cs="Tahoma"/>
          <w:b/>
          <w:sz w:val="20"/>
          <w:szCs w:val="20"/>
        </w:rPr>
        <w:t xml:space="preserve"> </w:t>
      </w:r>
      <w:r w:rsidRPr="002F29F9">
        <w:rPr>
          <w:rFonts w:ascii="Tahoma" w:hAnsi="Tahoma" w:cs="Tahoma"/>
          <w:sz w:val="20"/>
          <w:szCs w:val="20"/>
        </w:rPr>
        <w:t>Protože optimální návrh</w:t>
      </w:r>
      <w:r w:rsidR="00B16641">
        <w:rPr>
          <w:rFonts w:ascii="Tahoma" w:hAnsi="Tahoma" w:cs="Tahoma"/>
          <w:sz w:val="20"/>
          <w:szCs w:val="20"/>
        </w:rPr>
        <w:t xml:space="preserve"> dotace stanovený při hodnocení </w:t>
      </w:r>
      <w:r w:rsidR="00E03BE5">
        <w:rPr>
          <w:rFonts w:ascii="Tahoma" w:hAnsi="Tahoma" w:cs="Tahoma"/>
          <w:sz w:val="20"/>
          <w:szCs w:val="20"/>
        </w:rPr>
        <w:t xml:space="preserve">žádostí </w:t>
      </w:r>
      <w:r w:rsidR="00516B1D" w:rsidRPr="002F29F9">
        <w:rPr>
          <w:rFonts w:ascii="Tahoma" w:hAnsi="Tahoma" w:cs="Tahoma"/>
          <w:sz w:val="20"/>
          <w:szCs w:val="20"/>
        </w:rPr>
        <w:t>byl</w:t>
      </w:r>
      <w:r w:rsidRPr="002F29F9">
        <w:rPr>
          <w:rFonts w:ascii="Tahoma" w:hAnsi="Tahoma" w:cs="Tahoma"/>
          <w:sz w:val="20"/>
          <w:szCs w:val="20"/>
        </w:rPr>
        <w:t xml:space="preserve"> vyšší než přidělená částka dotace pro Moravskoslezský kraj, bylo nutné pro rozdělení přiděleného objemu blíže specifikovat způsob výpočtu návrhu dotace dle</w:t>
      </w:r>
      <w:r w:rsidR="00E03BE5">
        <w:rPr>
          <w:rFonts w:ascii="Tahoma" w:hAnsi="Tahoma" w:cs="Tahoma"/>
          <w:sz w:val="20"/>
          <w:szCs w:val="20"/>
        </w:rPr>
        <w:t> </w:t>
      </w:r>
      <w:r w:rsidRPr="002F29F9">
        <w:rPr>
          <w:rFonts w:ascii="Tahoma" w:hAnsi="Tahoma" w:cs="Tahoma"/>
          <w:sz w:val="20"/>
          <w:szCs w:val="20"/>
        </w:rPr>
        <w:t xml:space="preserve">Podmínek dotačního Programu. </w:t>
      </w:r>
    </w:p>
    <w:p w14:paraId="5B7DF25C" w14:textId="2E21B95E" w:rsidR="0005416A" w:rsidRDefault="0005416A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2F29F9">
        <w:rPr>
          <w:rFonts w:ascii="Tahoma" w:hAnsi="Tahoma" w:cs="Tahoma"/>
          <w:sz w:val="20"/>
          <w:szCs w:val="20"/>
        </w:rPr>
        <w:t xml:space="preserve">Usnesením č. </w:t>
      </w:r>
      <w:r w:rsidR="00314F07" w:rsidRPr="004D7530">
        <w:rPr>
          <w:rFonts w:ascii="Tahoma" w:hAnsi="Tahoma" w:cs="Tahoma"/>
          <w:sz w:val="20"/>
          <w:szCs w:val="20"/>
        </w:rPr>
        <w:t>11</w:t>
      </w:r>
      <w:r w:rsidR="00516B1D" w:rsidRPr="004D7530">
        <w:rPr>
          <w:rFonts w:ascii="Tahoma" w:hAnsi="Tahoma" w:cs="Tahoma"/>
          <w:sz w:val="20"/>
          <w:szCs w:val="20"/>
        </w:rPr>
        <w:t>/</w:t>
      </w:r>
      <w:r w:rsidR="00314F07" w:rsidRPr="004D7530">
        <w:rPr>
          <w:rFonts w:ascii="Tahoma" w:hAnsi="Tahoma" w:cs="Tahoma"/>
          <w:sz w:val="20"/>
          <w:szCs w:val="20"/>
        </w:rPr>
        <w:t>1361</w:t>
      </w:r>
      <w:r w:rsidRPr="004D7530">
        <w:rPr>
          <w:rFonts w:ascii="Tahoma" w:hAnsi="Tahoma" w:cs="Tahoma"/>
          <w:sz w:val="20"/>
          <w:szCs w:val="20"/>
        </w:rPr>
        <w:t xml:space="preserve"> ze dne </w:t>
      </w:r>
      <w:r w:rsidR="00516B1D" w:rsidRPr="004D7530">
        <w:rPr>
          <w:rFonts w:ascii="Tahoma" w:hAnsi="Tahoma" w:cs="Tahoma"/>
          <w:sz w:val="20"/>
          <w:szCs w:val="20"/>
        </w:rPr>
        <w:t>1</w:t>
      </w:r>
      <w:r w:rsidR="00314F07" w:rsidRPr="004D7530">
        <w:rPr>
          <w:rFonts w:ascii="Tahoma" w:hAnsi="Tahoma" w:cs="Tahoma"/>
          <w:sz w:val="20"/>
          <w:szCs w:val="20"/>
        </w:rPr>
        <w:t>3</w:t>
      </w:r>
      <w:r w:rsidR="00516B1D" w:rsidRPr="004D7530">
        <w:rPr>
          <w:rFonts w:ascii="Tahoma" w:hAnsi="Tahoma" w:cs="Tahoma"/>
          <w:sz w:val="20"/>
          <w:szCs w:val="20"/>
        </w:rPr>
        <w:t>. 3. 201</w:t>
      </w:r>
      <w:r w:rsidR="00314F07" w:rsidRPr="004D7530">
        <w:rPr>
          <w:rFonts w:ascii="Tahoma" w:hAnsi="Tahoma" w:cs="Tahoma"/>
          <w:sz w:val="20"/>
          <w:szCs w:val="20"/>
        </w:rPr>
        <w:t>9</w:t>
      </w:r>
      <w:r w:rsidRPr="004D7530">
        <w:rPr>
          <w:rFonts w:ascii="Tahoma" w:hAnsi="Tahoma" w:cs="Tahoma"/>
          <w:sz w:val="20"/>
          <w:szCs w:val="20"/>
        </w:rPr>
        <w:t xml:space="preserve"> rozhodlo</w:t>
      </w:r>
      <w:r w:rsidRPr="002F29F9">
        <w:rPr>
          <w:rFonts w:ascii="Tahoma" w:hAnsi="Tahoma" w:cs="Tahoma"/>
          <w:sz w:val="20"/>
          <w:szCs w:val="20"/>
        </w:rPr>
        <w:t xml:space="preserve"> zastupitelstvo kraje poskytnout účelové dotace v celkové výši </w:t>
      </w:r>
      <w:r w:rsidR="004D7530">
        <w:rPr>
          <w:rFonts w:ascii="Tahoma" w:hAnsi="Tahoma" w:cs="Tahoma"/>
          <w:sz w:val="20"/>
          <w:szCs w:val="20"/>
        </w:rPr>
        <w:t>1.790.527.000</w:t>
      </w:r>
      <w:r w:rsidRPr="002F29F9">
        <w:rPr>
          <w:rFonts w:ascii="Tahoma" w:hAnsi="Tahoma" w:cs="Tahoma"/>
          <w:sz w:val="20"/>
          <w:szCs w:val="20"/>
        </w:rPr>
        <w:t xml:space="preserve"> Kč a ponechat </w:t>
      </w:r>
      <w:r w:rsidRPr="002F29F9">
        <w:rPr>
          <w:rFonts w:ascii="Tahoma" w:hAnsi="Tahoma" w:cs="Tahoma"/>
          <w:b/>
          <w:sz w:val="20"/>
          <w:szCs w:val="20"/>
        </w:rPr>
        <w:t>rezervu</w:t>
      </w:r>
      <w:r w:rsidRPr="002F29F9">
        <w:rPr>
          <w:rFonts w:ascii="Tahoma" w:hAnsi="Tahoma" w:cs="Tahoma"/>
          <w:sz w:val="20"/>
          <w:szCs w:val="20"/>
        </w:rPr>
        <w:t xml:space="preserve"> ve </w:t>
      </w:r>
      <w:r w:rsidRPr="004D7530">
        <w:rPr>
          <w:rFonts w:ascii="Tahoma" w:hAnsi="Tahoma" w:cs="Tahoma"/>
          <w:sz w:val="20"/>
          <w:szCs w:val="20"/>
        </w:rPr>
        <w:t xml:space="preserve">výši </w:t>
      </w:r>
      <w:r w:rsidR="004D7530" w:rsidRPr="004D7530">
        <w:rPr>
          <w:rFonts w:ascii="Tahoma" w:hAnsi="Tahoma" w:cs="Tahoma"/>
          <w:b/>
          <w:sz w:val="20"/>
          <w:szCs w:val="20"/>
        </w:rPr>
        <w:t>22.913.944</w:t>
      </w:r>
      <w:r w:rsidRPr="004D7530">
        <w:rPr>
          <w:rFonts w:ascii="Tahoma" w:hAnsi="Tahoma" w:cs="Tahoma"/>
          <w:b/>
          <w:sz w:val="20"/>
          <w:szCs w:val="20"/>
        </w:rPr>
        <w:t xml:space="preserve"> Kč</w:t>
      </w:r>
      <w:r w:rsidRPr="004D7530">
        <w:rPr>
          <w:rFonts w:ascii="Tahoma" w:hAnsi="Tahoma" w:cs="Tahoma"/>
          <w:sz w:val="20"/>
          <w:szCs w:val="20"/>
        </w:rPr>
        <w:t xml:space="preserve"> k financování</w:t>
      </w:r>
      <w:r w:rsidRPr="002F29F9">
        <w:rPr>
          <w:rFonts w:ascii="Tahoma" w:hAnsi="Tahoma" w:cs="Tahoma"/>
          <w:sz w:val="20"/>
          <w:szCs w:val="20"/>
        </w:rPr>
        <w:t xml:space="preserve"> např.</w:t>
      </w:r>
      <w:r w:rsidR="00E03BE5">
        <w:rPr>
          <w:rFonts w:ascii="Tahoma" w:hAnsi="Tahoma" w:cs="Tahoma"/>
          <w:sz w:val="20"/>
          <w:szCs w:val="20"/>
        </w:rPr>
        <w:t> </w:t>
      </w:r>
      <w:r w:rsidR="002F29F9" w:rsidRPr="002F29F9">
        <w:rPr>
          <w:rFonts w:ascii="Tahoma" w:hAnsi="Tahoma" w:cs="Tahoma"/>
          <w:sz w:val="20"/>
          <w:szCs w:val="20"/>
        </w:rPr>
        <w:t>nově vzniklých sociálních služeb (rozvoj) a služeb s kapacitou navýšenou během roku, k</w:t>
      </w:r>
      <w:r w:rsidR="00E03BE5">
        <w:rPr>
          <w:rFonts w:ascii="Tahoma" w:hAnsi="Tahoma" w:cs="Tahoma"/>
          <w:sz w:val="20"/>
          <w:szCs w:val="20"/>
        </w:rPr>
        <w:t> </w:t>
      </w:r>
      <w:r w:rsidR="002F29F9" w:rsidRPr="002F29F9">
        <w:rPr>
          <w:rFonts w:ascii="Tahoma" w:hAnsi="Tahoma" w:cs="Tahoma"/>
          <w:sz w:val="20"/>
          <w:szCs w:val="20"/>
        </w:rPr>
        <w:t>dofinancování sociálních služeb či k řešení specifických potřeb</w:t>
      </w:r>
      <w:r w:rsidRPr="002F29F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14:paraId="09C7AA09" w14:textId="5ED114F4" w:rsidR="004D7530" w:rsidRPr="004D7530" w:rsidRDefault="004D7530" w:rsidP="004D7530">
      <w:pPr>
        <w:jc w:val="both"/>
        <w:rPr>
          <w:rFonts w:ascii="Tahoma" w:hAnsi="Tahoma" w:cs="Tahoma"/>
          <w:sz w:val="20"/>
          <w:szCs w:val="20"/>
        </w:rPr>
      </w:pPr>
      <w:r w:rsidRPr="004D7530">
        <w:rPr>
          <w:rFonts w:ascii="Tahoma" w:hAnsi="Tahoma" w:cs="Tahoma"/>
          <w:sz w:val="20"/>
          <w:szCs w:val="20"/>
        </w:rPr>
        <w:t>Od 1. 1. 2019 došlo k významným legislativním změnám v oblasti navýšení platových tarifů a navýšení zvláštního příplatku za práci ve ztíženém prostředí u pracovníků v přímé péči. Vzhledem ke</w:t>
      </w:r>
      <w:r w:rsidR="00F50B69">
        <w:rPr>
          <w:rFonts w:ascii="Tahoma" w:hAnsi="Tahoma" w:cs="Tahoma"/>
          <w:sz w:val="20"/>
          <w:szCs w:val="20"/>
        </w:rPr>
        <w:t> </w:t>
      </w:r>
      <w:r w:rsidRPr="004D7530">
        <w:rPr>
          <w:rFonts w:ascii="Tahoma" w:hAnsi="Tahoma" w:cs="Tahoma"/>
          <w:sz w:val="20"/>
          <w:szCs w:val="20"/>
        </w:rPr>
        <w:t>skutečnosti, že tyto změny nebyly avizovány v době podávání žádosti o dotaci na rok 2019</w:t>
      </w:r>
      <w:r w:rsidR="00E03BE5">
        <w:rPr>
          <w:rFonts w:ascii="Tahoma" w:hAnsi="Tahoma" w:cs="Tahoma"/>
          <w:sz w:val="20"/>
          <w:szCs w:val="20"/>
        </w:rPr>
        <w:t xml:space="preserve"> (v červenci 2018)</w:t>
      </w:r>
      <w:r w:rsidRPr="004D7530">
        <w:rPr>
          <w:rFonts w:ascii="Tahoma" w:hAnsi="Tahoma" w:cs="Tahoma"/>
          <w:sz w:val="20"/>
          <w:szCs w:val="20"/>
        </w:rPr>
        <w:t xml:space="preserve"> ze</w:t>
      </w:r>
      <w:r w:rsidR="00F50B69">
        <w:rPr>
          <w:rFonts w:ascii="Tahoma" w:hAnsi="Tahoma" w:cs="Tahoma"/>
          <w:sz w:val="20"/>
          <w:szCs w:val="20"/>
        </w:rPr>
        <w:t> </w:t>
      </w:r>
      <w:r w:rsidRPr="004D7530">
        <w:rPr>
          <w:rFonts w:ascii="Tahoma" w:hAnsi="Tahoma" w:cs="Tahoma"/>
          <w:sz w:val="20"/>
          <w:szCs w:val="20"/>
        </w:rPr>
        <w:t xml:space="preserve">strany kraje, nemohl být jejich dopad do osobních nákladů sociálních služeb reflektován ve výše uvedeném objemu požadované dotace. </w:t>
      </w:r>
    </w:p>
    <w:p w14:paraId="4BD2E35A" w14:textId="77777777" w:rsidR="004D7530" w:rsidRPr="004D7530" w:rsidRDefault="004D7530" w:rsidP="004D7530">
      <w:pPr>
        <w:jc w:val="both"/>
        <w:rPr>
          <w:rFonts w:ascii="Tahoma" w:hAnsi="Tahoma" w:cs="Tahoma"/>
          <w:sz w:val="20"/>
          <w:szCs w:val="20"/>
        </w:rPr>
      </w:pPr>
      <w:r w:rsidRPr="004D7530">
        <w:rPr>
          <w:rFonts w:ascii="Tahoma" w:hAnsi="Tahoma" w:cs="Tahoma"/>
          <w:sz w:val="20"/>
          <w:szCs w:val="20"/>
        </w:rPr>
        <w:t>Dopad navýšení platových tarifů u pracovníků v přímé péči o 7 % namísto avizovaných 5 % představuje u sociálních služeb v Krajské základní síti nárůst osobních nákladů ve výši 52.000.000 Kč. Vyčíslení nárůstu zvláštního příplatku za práci ve ztíženém prostředí u pracovníků v přímé péči v Krajské základní síti je odhadováno dle skutečného dopadu na osobní náklady příspěvkových organizací MSK v odvětví sociálních věcí na 118.000.000 Kč. Celkový deficit finančních prostředků potřebných k financování Krajské sítě sociálních služeb pro r. 2019 činil cca 418.000.000 Kč.</w:t>
      </w:r>
    </w:p>
    <w:p w14:paraId="7468C37E" w14:textId="4C6593E6" w:rsidR="004D7530" w:rsidRPr="004D7530" w:rsidRDefault="004D7530" w:rsidP="004D7530">
      <w:pPr>
        <w:jc w:val="both"/>
        <w:rPr>
          <w:rFonts w:ascii="Tahoma" w:hAnsi="Tahoma" w:cs="Tahoma"/>
          <w:sz w:val="20"/>
          <w:szCs w:val="20"/>
        </w:rPr>
      </w:pPr>
      <w:r w:rsidRPr="004D7530">
        <w:rPr>
          <w:rFonts w:ascii="Tahoma" w:hAnsi="Tahoma" w:cs="Tahoma"/>
          <w:sz w:val="20"/>
          <w:szCs w:val="20"/>
        </w:rPr>
        <w:t xml:space="preserve">S ohledem na výše uvedené </w:t>
      </w:r>
      <w:r w:rsidR="00B16641" w:rsidRPr="004D7530">
        <w:rPr>
          <w:rFonts w:ascii="Tahoma" w:hAnsi="Tahoma" w:cs="Tahoma"/>
          <w:sz w:val="20"/>
          <w:szCs w:val="20"/>
        </w:rPr>
        <w:t xml:space="preserve">reagoval </w:t>
      </w:r>
      <w:r w:rsidRPr="004D7530">
        <w:rPr>
          <w:rFonts w:ascii="Tahoma" w:hAnsi="Tahoma" w:cs="Tahoma"/>
          <w:sz w:val="20"/>
          <w:szCs w:val="20"/>
        </w:rPr>
        <w:t xml:space="preserve">kraj na vyhlášenou mimořádnou výzvu MPSV </w:t>
      </w:r>
      <w:r w:rsidR="00E03BE5">
        <w:rPr>
          <w:rFonts w:ascii="Tahoma" w:hAnsi="Tahoma" w:cs="Tahoma"/>
          <w:sz w:val="20"/>
          <w:szCs w:val="20"/>
        </w:rPr>
        <w:t xml:space="preserve">v červenci 2019 </w:t>
      </w:r>
      <w:r w:rsidRPr="004D7530">
        <w:rPr>
          <w:rFonts w:ascii="Tahoma" w:hAnsi="Tahoma" w:cs="Tahoma"/>
          <w:sz w:val="20"/>
          <w:szCs w:val="20"/>
        </w:rPr>
        <w:t>a aktualizoval původní Žádost Moravskoslezského kraje o poskytnutí dotace z kapitoly 313 – MPSV státního rozpočtu na r. 2019 o nepředvídaný objem potřebných finančních prostředků, který v původní žádosti nebyl zahrnut, tj. o navýšení osobních nákladů v důsledku navýšení platových tarifů a</w:t>
      </w:r>
      <w:r w:rsidR="00E03BE5">
        <w:rPr>
          <w:rFonts w:ascii="Tahoma" w:hAnsi="Tahoma" w:cs="Tahoma"/>
          <w:sz w:val="20"/>
          <w:szCs w:val="20"/>
        </w:rPr>
        <w:t> </w:t>
      </w:r>
      <w:r w:rsidRPr="004D7530">
        <w:rPr>
          <w:rFonts w:ascii="Tahoma" w:hAnsi="Tahoma" w:cs="Tahoma"/>
          <w:sz w:val="20"/>
          <w:szCs w:val="20"/>
        </w:rPr>
        <w:t>zvláštního příplatku za práci ve ztíženém prostředí u pracovníků v přímé péči, tj. o 170.000.000 Kč na celkovou výši 2.231.588.000 Kč.</w:t>
      </w:r>
    </w:p>
    <w:p w14:paraId="7220A3C5" w14:textId="77777777" w:rsidR="004D7530" w:rsidRPr="004D7530" w:rsidRDefault="004D7530" w:rsidP="004D7530">
      <w:pPr>
        <w:jc w:val="both"/>
        <w:rPr>
          <w:rFonts w:ascii="Tahoma" w:hAnsi="Tahoma" w:cs="Tahoma"/>
          <w:sz w:val="20"/>
          <w:szCs w:val="20"/>
        </w:rPr>
      </w:pPr>
      <w:r w:rsidRPr="004D7530">
        <w:rPr>
          <w:rFonts w:ascii="Tahoma" w:hAnsi="Tahoma" w:cs="Tahoma"/>
          <w:sz w:val="20"/>
          <w:szCs w:val="20"/>
        </w:rPr>
        <w:t xml:space="preserve">Ministerstvo práce a sociálních věcí z důvodu navýšení alokace státního rozpočtu na položce neinvestiční nedávkové transfery – dotace na sociální služby přidělilo v červenci 2019 „Dodatkem č. 1 k Rozhodnutí č. 1 o poskytnutí dotace z kapitoly 313 – MPSV státního rozpočtu na rok 2019 ze dne </w:t>
      </w:r>
      <w:r w:rsidRPr="004D7530">
        <w:rPr>
          <w:rFonts w:ascii="Tahoma" w:hAnsi="Tahoma" w:cs="Tahoma"/>
          <w:sz w:val="20"/>
          <w:szCs w:val="20"/>
        </w:rPr>
        <w:lastRenderedPageBreak/>
        <w:t>11. 1. 2019“ Moravskoslezskému kraji další finanční prostředky ve výši 119.900.000 Kč. Celý objem navýšení je, dle uvedeného dodatku k rozhodnutí, určen na platy, mzdy a jejich navýšení a</w:t>
      </w:r>
      <w:r>
        <w:rPr>
          <w:rFonts w:ascii="Tahoma" w:hAnsi="Tahoma" w:cs="Tahoma"/>
          <w:sz w:val="20"/>
          <w:szCs w:val="20"/>
        </w:rPr>
        <w:t> </w:t>
      </w:r>
      <w:r w:rsidRPr="004D7530">
        <w:rPr>
          <w:rFonts w:ascii="Tahoma" w:hAnsi="Tahoma" w:cs="Tahoma"/>
          <w:sz w:val="20"/>
          <w:szCs w:val="20"/>
        </w:rPr>
        <w:t>na</w:t>
      </w:r>
      <w:r>
        <w:rPr>
          <w:rFonts w:ascii="Tahoma" w:hAnsi="Tahoma" w:cs="Tahoma"/>
          <w:sz w:val="20"/>
          <w:szCs w:val="20"/>
        </w:rPr>
        <w:t> </w:t>
      </w:r>
      <w:r w:rsidRPr="004D7530">
        <w:rPr>
          <w:rFonts w:ascii="Tahoma" w:hAnsi="Tahoma" w:cs="Tahoma"/>
          <w:sz w:val="20"/>
          <w:szCs w:val="20"/>
        </w:rPr>
        <w:t>dofinancování chybějících prostředků na zvláštní příplatky za směnnost v odpovídajících druzích sociálních služeb. MPSV dále stanovilo, že částka musí být rozdělena transparentně a nediskriminačně bez ohledu na právní formu organizace a druh služby.</w:t>
      </w:r>
    </w:p>
    <w:p w14:paraId="6937A517" w14:textId="5C25ECB1" w:rsidR="004D7530" w:rsidRPr="004D7530" w:rsidRDefault="004D7530" w:rsidP="004D7530">
      <w:pPr>
        <w:jc w:val="both"/>
        <w:rPr>
          <w:rFonts w:ascii="Tahoma" w:hAnsi="Tahoma" w:cs="Tahoma"/>
          <w:sz w:val="20"/>
          <w:szCs w:val="20"/>
        </w:rPr>
      </w:pPr>
      <w:r w:rsidRPr="004D7530">
        <w:rPr>
          <w:rFonts w:ascii="Tahoma" w:hAnsi="Tahoma" w:cs="Tahoma"/>
          <w:sz w:val="20"/>
          <w:szCs w:val="20"/>
        </w:rPr>
        <w:t xml:space="preserve">Prostředky určené k rozdělení jsou dále navýšeny o částku vratky ve výši 1.091.436 Kč organizace Nový domov, příspěvková organizace, IČO 00847330, která z důvodu rekonstrukce </w:t>
      </w:r>
      <w:r w:rsidR="00F50B69">
        <w:rPr>
          <w:rFonts w:ascii="Tahoma" w:hAnsi="Tahoma" w:cs="Tahoma"/>
          <w:sz w:val="20"/>
          <w:szCs w:val="20"/>
        </w:rPr>
        <w:t xml:space="preserve">objektu </w:t>
      </w:r>
      <w:r w:rsidRPr="004D7530">
        <w:rPr>
          <w:rFonts w:ascii="Tahoma" w:hAnsi="Tahoma" w:cs="Tahoma"/>
          <w:sz w:val="20"/>
          <w:szCs w:val="20"/>
        </w:rPr>
        <w:t xml:space="preserve">bude poskytovat po část roku sociální službu ve snížené kapacitě a o nevyplacenou druhou splátku dotace určenou pro organizaci </w:t>
      </w:r>
      <w:proofErr w:type="gramStart"/>
      <w:r w:rsidRPr="004D7530">
        <w:rPr>
          <w:rFonts w:ascii="Tahoma" w:hAnsi="Tahoma" w:cs="Tahoma"/>
          <w:sz w:val="20"/>
          <w:szCs w:val="20"/>
        </w:rPr>
        <w:t>AVE, z. s.</w:t>
      </w:r>
      <w:proofErr w:type="gramEnd"/>
      <w:r w:rsidRPr="004D7530">
        <w:rPr>
          <w:rFonts w:ascii="Tahoma" w:hAnsi="Tahoma" w:cs="Tahoma"/>
          <w:sz w:val="20"/>
          <w:szCs w:val="20"/>
        </w:rPr>
        <w:t xml:space="preserve"> IČO 65468431, která ve stanoveném termínu nevrátila návratnou finanční výpomoc zpět do rozpočtu Moravskoslezského kraje a dle Smlouvy o poskytnutí dotace v rámci Programu tak ztrácí nárok na vyplacení druhé splátky dotace ve výši 525.200 Kč.  Celkové prostředky k rozdělení se tak navýší o 1.616.636 Kč.</w:t>
      </w:r>
    </w:p>
    <w:p w14:paraId="16C54C2F" w14:textId="319AA7FB" w:rsidR="009C0E2F" w:rsidRPr="002F29F9" w:rsidRDefault="00D46798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highlight w:val="yellow"/>
          <w:lang w:eastAsia="zh-CN" w:bidi="hi-IN"/>
        </w:rPr>
      </w:pP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 </w:t>
      </w:r>
      <w:r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rámci dočerpání finančních prostředků Programu je celkem </w:t>
      </w:r>
      <w:r w:rsidR="0005416A"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 dispozici pro rozdělení částka </w:t>
      </w:r>
      <w:r w:rsidR="004D7530" w:rsidRPr="004D753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1</w:t>
      </w:r>
      <w:r w:rsidR="00FE188E" w:rsidRPr="004D753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44</w:t>
      </w:r>
      <w:r w:rsidR="0005416A" w:rsidRPr="004D753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.</w:t>
      </w:r>
      <w:r w:rsidR="004D7530" w:rsidRPr="004D753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430</w:t>
      </w:r>
      <w:r w:rsidR="0005416A" w:rsidRPr="004D753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.</w:t>
      </w:r>
      <w:r w:rsidR="004D7530" w:rsidRPr="004D753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580</w:t>
      </w:r>
      <w:r w:rsidR="00516B1D" w:rsidRPr="004D753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</w:t>
      </w:r>
      <w:r w:rsidR="0005416A" w:rsidRPr="004D753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Kč</w:t>
      </w:r>
      <w:r w:rsidR="00443EC1" w:rsidRPr="004D753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.</w:t>
      </w:r>
      <w:r w:rsidR="00443EC1"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631DD6"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(viz tabulka č. 1)</w:t>
      </w:r>
    </w:p>
    <w:p w14:paraId="2A085EF9" w14:textId="77777777" w:rsidR="00D46798" w:rsidRPr="002F29F9" w:rsidRDefault="00D46798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highlight w:val="yellow"/>
          <w:lang w:eastAsia="zh-CN" w:bidi="hi-IN"/>
        </w:rPr>
      </w:pPr>
    </w:p>
    <w:p w14:paraId="1E303D44" w14:textId="77777777" w:rsidR="00631DD6" w:rsidRPr="00FE188E" w:rsidRDefault="00631DD6" w:rsidP="0005416A">
      <w:pPr>
        <w:spacing w:after="120"/>
        <w:jc w:val="both"/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</w:pPr>
      <w:r w:rsidRPr="00FE188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Tabulka č. 1 – </w:t>
      </w:r>
      <w:r w:rsidRPr="00FE188E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Přehled finančních prostředků k </w:t>
      </w:r>
      <w:r w:rsidR="006055B5" w:rsidRPr="00FE188E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dočerpání</w:t>
      </w:r>
      <w:r w:rsidRPr="00FE188E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 xml:space="preserve"> </w:t>
      </w:r>
      <w:r w:rsidR="006055B5" w:rsidRPr="00FE188E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 xml:space="preserve">v </w:t>
      </w:r>
      <w:r w:rsidR="00FE188E" w:rsidRPr="00FE188E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r. 201</w:t>
      </w:r>
      <w:r w:rsidR="003C1491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9</w:t>
      </w:r>
    </w:p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559"/>
      </w:tblGrid>
      <w:tr w:rsidR="00631DD6" w:rsidRPr="002F29F9" w14:paraId="24C69995" w14:textId="77777777" w:rsidTr="00FE188E">
        <w:trPr>
          <w:trHeight w:val="4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AB2621" w14:textId="77777777" w:rsidR="00631DD6" w:rsidRPr="002F29F9" w:rsidRDefault="00631DD6" w:rsidP="00631D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Zdroj finančních prostředků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E2A452" w14:textId="77777777" w:rsidR="00631DD6" w:rsidRPr="002F29F9" w:rsidRDefault="00631DD6" w:rsidP="00631D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 xml:space="preserve">Částka </w:t>
            </w:r>
            <w:r w:rsidR="00FF2771"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(</w:t>
            </w: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v Kč</w:t>
            </w:r>
            <w:r w:rsidR="00FF2771"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)</w:t>
            </w:r>
          </w:p>
        </w:tc>
      </w:tr>
      <w:tr w:rsidR="00631DD6" w:rsidRPr="004D7530" w14:paraId="08ADF870" w14:textId="77777777" w:rsidTr="00FE188E">
        <w:trPr>
          <w:trHeight w:val="4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C104" w14:textId="77777777" w:rsidR="00631DD6" w:rsidRPr="00FE188E" w:rsidRDefault="00631DD6" w:rsidP="00631D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E1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Rezerva MSK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B921" w14:textId="77777777" w:rsidR="00631DD6" w:rsidRPr="004D7530" w:rsidRDefault="004D7530" w:rsidP="00631D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D7530">
              <w:rPr>
                <w:rFonts w:ascii="Tahoma" w:hAnsi="Tahoma" w:cs="Tahoma"/>
                <w:sz w:val="20"/>
                <w:szCs w:val="20"/>
              </w:rPr>
              <w:t>22.913.944</w:t>
            </w:r>
          </w:p>
        </w:tc>
      </w:tr>
      <w:tr w:rsidR="00FE188E" w:rsidRPr="003C1491" w14:paraId="1F91C909" w14:textId="77777777" w:rsidTr="00FE188E">
        <w:trPr>
          <w:trHeight w:val="4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A52D" w14:textId="77777777" w:rsidR="00FE188E" w:rsidRPr="00C75EC2" w:rsidRDefault="003C1491" w:rsidP="003C1491">
            <w:pPr>
              <w:spacing w:after="0" w:line="240" w:lineRule="auto"/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  <w:t>Dofinancování MPSV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6393" w14:textId="77777777" w:rsidR="00FE188E" w:rsidRPr="004D7530" w:rsidRDefault="003C1491" w:rsidP="00631D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D75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119.900.000</w:t>
            </w:r>
          </w:p>
        </w:tc>
      </w:tr>
      <w:tr w:rsidR="003C1491" w:rsidRPr="003C1491" w14:paraId="6A8D4BA6" w14:textId="77777777" w:rsidTr="00FE188E">
        <w:trPr>
          <w:trHeight w:val="4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0E73" w14:textId="77777777" w:rsidR="003C1491" w:rsidRPr="00C75EC2" w:rsidRDefault="003C1491" w:rsidP="00532320">
            <w:pPr>
              <w:spacing w:after="0" w:line="240" w:lineRule="auto"/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  <w:t>AVE, z.s.</w:t>
            </w:r>
            <w:proofErr w:type="gramEnd"/>
            <w:r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  <w:t xml:space="preserve"> – nevyplacená druhá splátka 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23BF" w14:textId="77777777" w:rsidR="003C1491" w:rsidRPr="004D7530" w:rsidRDefault="003C1491" w:rsidP="0053232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D75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525.200</w:t>
            </w:r>
          </w:p>
        </w:tc>
      </w:tr>
      <w:tr w:rsidR="003C1491" w:rsidRPr="002F29F9" w14:paraId="678526F2" w14:textId="77777777" w:rsidTr="00FE188E">
        <w:trPr>
          <w:trHeight w:val="4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0369" w14:textId="77777777" w:rsidR="003C1491" w:rsidRPr="002F29F9" w:rsidRDefault="003C1491" w:rsidP="00532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  <w:t>Nový domov, příspěvková organizace – vratka části 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A066" w14:textId="77777777" w:rsidR="003C1491" w:rsidRPr="004D7530" w:rsidRDefault="003C1491" w:rsidP="004D75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D75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1.0</w:t>
            </w:r>
            <w:r w:rsidR="004D7530" w:rsidRPr="004D75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  <w:r w:rsidRPr="004D75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1.</w:t>
            </w:r>
            <w:r w:rsidR="004D7530" w:rsidRPr="004D75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  <w:r w:rsidRPr="004D75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</w:tr>
      <w:tr w:rsidR="003C1491" w:rsidRPr="002F29F9" w14:paraId="0A5062BC" w14:textId="77777777" w:rsidTr="00FE188E">
        <w:trPr>
          <w:trHeight w:val="4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A33ED1A" w14:textId="77777777" w:rsidR="003C1491" w:rsidRPr="002F29F9" w:rsidRDefault="003C1491" w:rsidP="00FE188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Celkem pro dofinancování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51BE5EC" w14:textId="77777777" w:rsidR="003C1491" w:rsidRPr="002F29F9" w:rsidRDefault="004D7530" w:rsidP="00FE18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144.430.580</w:t>
            </w:r>
          </w:p>
        </w:tc>
      </w:tr>
    </w:tbl>
    <w:p w14:paraId="48E86B29" w14:textId="77777777" w:rsidR="00D46798" w:rsidRPr="002F29F9" w:rsidRDefault="00D46798" w:rsidP="00D46798">
      <w:pPr>
        <w:pStyle w:val="Odstavecseseznamem"/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1763EBD3" w14:textId="77777777" w:rsidR="003C1491" w:rsidRDefault="003C1491" w:rsidP="00B05BFD">
      <w:pPr>
        <w:pStyle w:val="Odstavecseseznamem"/>
        <w:spacing w:after="120"/>
        <w:jc w:val="both"/>
        <w:rPr>
          <w:rFonts w:ascii="Tahoma" w:eastAsia="Droid Sans" w:hAnsi="Tahoma" w:cs="Tahoma"/>
          <w:b/>
          <w:kern w:val="1"/>
          <w:lang w:eastAsia="zh-CN" w:bidi="hi-IN"/>
        </w:rPr>
      </w:pPr>
    </w:p>
    <w:p w14:paraId="6F5AAEA7" w14:textId="77777777" w:rsidR="003C1491" w:rsidRDefault="003C1491" w:rsidP="00B05BFD">
      <w:pPr>
        <w:pStyle w:val="Odstavecseseznamem"/>
        <w:spacing w:after="120"/>
        <w:jc w:val="both"/>
        <w:rPr>
          <w:rFonts w:ascii="Tahoma" w:eastAsia="Droid Sans" w:hAnsi="Tahoma" w:cs="Tahoma"/>
          <w:b/>
          <w:kern w:val="1"/>
          <w:lang w:eastAsia="zh-CN" w:bidi="hi-IN"/>
        </w:rPr>
      </w:pPr>
    </w:p>
    <w:p w14:paraId="04EB34EF" w14:textId="77777777" w:rsidR="00516B1D" w:rsidRPr="00FE188E" w:rsidRDefault="007D62AC" w:rsidP="007D62AC">
      <w:pPr>
        <w:pStyle w:val="Odstavecseseznamem"/>
        <w:numPr>
          <w:ilvl w:val="0"/>
          <w:numId w:val="13"/>
        </w:numPr>
        <w:spacing w:after="120"/>
        <w:jc w:val="both"/>
        <w:rPr>
          <w:rFonts w:ascii="Tahoma" w:eastAsia="Droid Sans" w:hAnsi="Tahoma" w:cs="Tahoma"/>
          <w:b/>
          <w:kern w:val="1"/>
          <w:lang w:eastAsia="zh-CN" w:bidi="hi-IN"/>
        </w:rPr>
      </w:pPr>
      <w:r w:rsidRPr="00FE188E">
        <w:rPr>
          <w:rFonts w:ascii="Tahoma" w:eastAsia="Droid Sans" w:hAnsi="Tahoma" w:cs="Tahoma"/>
          <w:b/>
          <w:kern w:val="1"/>
          <w:lang w:eastAsia="zh-CN" w:bidi="hi-IN"/>
        </w:rPr>
        <w:t>Dočerpání finančních prostředků ze státního rozpočtu v r</w:t>
      </w:r>
      <w:r w:rsidR="00AF1F76" w:rsidRPr="00FE188E">
        <w:rPr>
          <w:rFonts w:ascii="Tahoma" w:eastAsia="Droid Sans" w:hAnsi="Tahoma" w:cs="Tahoma"/>
          <w:b/>
          <w:kern w:val="1"/>
          <w:lang w:eastAsia="zh-CN" w:bidi="hi-IN"/>
        </w:rPr>
        <w:t>oce</w:t>
      </w:r>
      <w:r w:rsidRPr="00FE188E">
        <w:rPr>
          <w:rFonts w:ascii="Tahoma" w:eastAsia="Droid Sans" w:hAnsi="Tahoma" w:cs="Tahoma"/>
          <w:b/>
          <w:kern w:val="1"/>
          <w:lang w:eastAsia="zh-CN" w:bidi="hi-IN"/>
        </w:rPr>
        <w:t xml:space="preserve"> 201</w:t>
      </w:r>
      <w:r w:rsidR="003C1491">
        <w:rPr>
          <w:rFonts w:ascii="Tahoma" w:eastAsia="Droid Sans" w:hAnsi="Tahoma" w:cs="Tahoma"/>
          <w:b/>
          <w:kern w:val="1"/>
          <w:lang w:eastAsia="zh-CN" w:bidi="hi-IN"/>
        </w:rPr>
        <w:t>9</w:t>
      </w:r>
    </w:p>
    <w:p w14:paraId="4E5A5677" w14:textId="77777777" w:rsidR="00D46798" w:rsidRPr="002F29F9" w:rsidRDefault="00D46798" w:rsidP="00D46798">
      <w:pPr>
        <w:pStyle w:val="Odstavecseseznamem"/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7AB4026C" w14:textId="77777777" w:rsidR="009C0E2F" w:rsidRPr="00E94A22" w:rsidRDefault="009C0E2F" w:rsidP="009C0E2F">
      <w:pPr>
        <w:pStyle w:val="Normlnweb"/>
        <w:spacing w:before="0" w:beforeAutospacing="0" w:after="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Stanovení způsobu dočerpání finančních prostředků Programu je </w:t>
      </w:r>
      <w:r w:rsidR="007D62AC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uvedeno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Podmínkách. V souladu s</w:t>
      </w:r>
      <w:r w:rsidR="007D62AC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Podmínkami</w:t>
      </w:r>
      <w:r w:rsidR="00E94A22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byl usnesením rady </w:t>
      </w:r>
      <w:r w:rsidR="00E94A22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kraje č. </w:t>
      </w:r>
      <w:r w:rsidR="00532320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62</w:t>
      </w:r>
      <w:r w:rsidR="00E94A22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/</w:t>
      </w:r>
      <w:r w:rsidR="00532320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5585</w:t>
      </w:r>
      <w:r w:rsidR="00E94A22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ze dne 1</w:t>
      </w:r>
      <w:r w:rsidR="00532320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</w:t>
      </w:r>
      <w:r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5. 201</w:t>
      </w:r>
      <w:r w:rsidR="00532320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stanoven termín a způsob podání žádostí za účelem dočerpání finančních prostředků. </w:t>
      </w:r>
    </w:p>
    <w:p w14:paraId="66CDD85A" w14:textId="77777777" w:rsidR="009C0E2F" w:rsidRPr="002F29F9" w:rsidRDefault="009C0E2F" w:rsidP="009C0E2F">
      <w:pPr>
        <w:pStyle w:val="Normlnweb"/>
        <w:spacing w:before="0" w:beforeAutospacing="0" w:after="0" w:afterAutospacing="0"/>
        <w:jc w:val="both"/>
        <w:rPr>
          <w:sz w:val="20"/>
          <w:szCs w:val="20"/>
          <w:highlight w:val="yellow"/>
        </w:rPr>
      </w:pPr>
    </w:p>
    <w:p w14:paraId="01F1DCED" w14:textId="77777777" w:rsidR="003B1060" w:rsidRPr="00532320" w:rsidRDefault="003B1060" w:rsidP="00D2055E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Za účelem dočerpání finančních prostředků účelově vyčleněných pro tento dotační program </w:t>
      </w:r>
      <w:r w:rsidR="00D2055E" w:rsidRPr="00D2055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mohl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podat v </w:t>
      </w:r>
      <w:r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termínu od 18. 6. do 2. 7. 201</w:t>
      </w:r>
      <w:r w:rsidR="00532320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dle ustanovení článku X </w:t>
      </w:r>
      <w:r w:rsid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odst. 1</w:t>
      </w:r>
      <w:r w:rsid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Podmínek uvedeného dotačního programu:</w:t>
      </w:r>
    </w:p>
    <w:p w14:paraId="36B5169D" w14:textId="35E3C308" w:rsidR="003B1060" w:rsidRPr="00532320" w:rsidRDefault="003B1060" w:rsidP="00D2055E">
      <w:pPr>
        <w:pStyle w:val="Normlnweb"/>
        <w:numPr>
          <w:ilvl w:val="0"/>
          <w:numId w:val="24"/>
        </w:numPr>
        <w:spacing w:before="0" w:beforeAutospacing="0" w:after="120" w:afterAutospacing="0"/>
        <w:ind w:left="426" w:hanging="284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53232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Žádost o dofinancování</w:t>
      </w:r>
      <w:r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- </w:t>
      </w:r>
      <w:r w:rsidR="00532320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</w:t>
      </w:r>
      <w:r w:rsidR="00532320" w:rsidRPr="00532320">
        <w:rPr>
          <w:rFonts w:ascii="Tahoma" w:hAnsi="Tahoma" w:cs="Tahoma"/>
          <w:color w:val="231F20"/>
          <w:sz w:val="20"/>
          <w:szCs w:val="20"/>
          <w:shd w:val="clear" w:color="auto" w:fill="FFFFFF"/>
        </w:rPr>
        <w:t>ouze poskytovatel, který podal žádost o poskytnutí dotace dle</w:t>
      </w:r>
      <w:r w:rsidR="00F50B69">
        <w:rPr>
          <w:rFonts w:ascii="Tahoma" w:hAnsi="Tahoma" w:cs="Tahoma"/>
          <w:color w:val="231F20"/>
          <w:sz w:val="20"/>
          <w:szCs w:val="20"/>
          <w:shd w:val="clear" w:color="auto" w:fill="FFFFFF"/>
        </w:rPr>
        <w:t> </w:t>
      </w:r>
      <w:r w:rsidR="00532320" w:rsidRPr="00532320">
        <w:rPr>
          <w:rFonts w:ascii="Tahoma" w:hAnsi="Tahoma" w:cs="Tahoma"/>
          <w:color w:val="231F20"/>
          <w:sz w:val="20"/>
          <w:szCs w:val="20"/>
          <w:shd w:val="clear" w:color="auto" w:fill="FFFFFF"/>
        </w:rPr>
        <w:t>článku VII Podmínek, tj. v řádném kole, a nebyla mu poskytnuta dotace do výše optimálního návrhu dotace. Dle článku IX, odst. 5 Podmínek nesmí požadavek na dofinancování spolu s již přiznanou dotací překročit optimální návrh dotace. Požadavek na dofinancování musí být řádně odůvodněn. Žádost mus</w:t>
      </w:r>
      <w:r w:rsidR="00F50B69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ela </w:t>
      </w:r>
      <w:r w:rsidR="00532320" w:rsidRPr="00532320">
        <w:rPr>
          <w:rFonts w:ascii="Tahoma" w:hAnsi="Tahoma" w:cs="Tahoma"/>
          <w:color w:val="231F20"/>
          <w:sz w:val="20"/>
          <w:szCs w:val="20"/>
          <w:shd w:val="clear" w:color="auto" w:fill="FFFFFF"/>
        </w:rPr>
        <w:t>být podána na formuláři "Žádost o dofinancování sociální služby v rámci Podmínek dotačního programu na podporu poskytování sociálních služeb a způsobu rozdělení a čerpání dotace z kapitoly 313 - MPSV státního rozpočtu".</w:t>
      </w:r>
    </w:p>
    <w:p w14:paraId="5C314673" w14:textId="77777777" w:rsidR="003B1060" w:rsidRPr="00532320" w:rsidRDefault="00532320" w:rsidP="00D2055E">
      <w:pPr>
        <w:pStyle w:val="Normlnweb"/>
        <w:numPr>
          <w:ilvl w:val="0"/>
          <w:numId w:val="24"/>
        </w:numPr>
        <w:spacing w:before="0" w:beforeAutospacing="0" w:after="120" w:afterAutospacing="0"/>
        <w:ind w:left="426" w:hanging="284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532320">
        <w:rPr>
          <w:rFonts w:ascii="Tahoma" w:eastAsiaTheme="minorHAnsi" w:hAnsi="Tahoma" w:cs="Tahoma"/>
          <w:b/>
          <w:bCs/>
          <w:color w:val="231F20"/>
          <w:sz w:val="20"/>
          <w:szCs w:val="20"/>
          <w:lang w:eastAsia="en-US"/>
        </w:rPr>
        <w:t>Žádost o dotaci pro služby a kapacity nově zařazené do Krajské základní sítě sociálních služeb po lhůtě stanovené pro podání žádostí o dotaci</w:t>
      </w:r>
      <w:r w:rsidRPr="00532320">
        <w:rPr>
          <w:rFonts w:ascii="Tahoma" w:eastAsiaTheme="minorHAnsi" w:hAnsi="Tahoma" w:cs="Tahoma"/>
          <w:color w:val="231F20"/>
          <w:sz w:val="20"/>
          <w:szCs w:val="20"/>
          <w:shd w:val="clear" w:color="auto" w:fill="FFFFFF"/>
          <w:lang w:eastAsia="en-US"/>
        </w:rPr>
        <w:t> - poskytovatel služby či</w:t>
      </w:r>
      <w:r w:rsidR="00A645AC">
        <w:rPr>
          <w:rFonts w:ascii="Tahoma" w:eastAsiaTheme="minorHAnsi" w:hAnsi="Tahoma" w:cs="Tahoma"/>
          <w:color w:val="231F20"/>
          <w:sz w:val="20"/>
          <w:szCs w:val="20"/>
          <w:shd w:val="clear" w:color="auto" w:fill="FFFFFF"/>
          <w:lang w:eastAsia="en-US"/>
        </w:rPr>
        <w:t> 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kapacity nově zařazené do Krajské základní sítě sociálních služeb. Žádost se podává 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lastRenderedPageBreak/>
        <w:t>prostřednictvím internetové aplikace "</w:t>
      </w:r>
      <w:proofErr w:type="spellStart"/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- poskytovatel". Pro stanovení dotace platí Podmínky a Program v plném rozsahu.</w:t>
      </w:r>
    </w:p>
    <w:p w14:paraId="69688A35" w14:textId="78F3A6C3" w:rsidR="000A2E77" w:rsidRPr="000A2E77" w:rsidRDefault="003B1060" w:rsidP="0005416A">
      <w:pPr>
        <w:pStyle w:val="Normlnweb"/>
        <w:numPr>
          <w:ilvl w:val="0"/>
          <w:numId w:val="24"/>
        </w:numPr>
        <w:spacing w:before="0" w:beforeAutospacing="0" w:after="120" w:afterAutospacing="0"/>
        <w:ind w:left="426" w:hanging="284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0A2E77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Žádost o dotaci </w:t>
      </w:r>
      <w:r w:rsidR="00F50B69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-</w:t>
      </w:r>
      <w:r w:rsidRPr="000A2E77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</w:t>
      </w:r>
      <w:r w:rsidR="000A2E77" w:rsidRPr="000A2E77">
        <w:rPr>
          <w:rFonts w:ascii="Tahoma" w:hAnsi="Tahoma" w:cs="Tahoma"/>
          <w:color w:val="231F20"/>
          <w:sz w:val="20"/>
          <w:szCs w:val="20"/>
          <w:shd w:val="clear" w:color="auto" w:fill="FFFFFF"/>
        </w:rPr>
        <w:t>poskytovatel, který nepodal žádost o poskytnutí dotace dle článku VII Podmínek, tj. v řádném kole dotačního řízení, a je zařazen v Krajské základní síti sociálních služeb. Žádost se podává prostřednictvím internetové aplikace "</w:t>
      </w:r>
      <w:proofErr w:type="spellStart"/>
      <w:r w:rsidR="000A2E77" w:rsidRPr="000A2E77">
        <w:rPr>
          <w:rFonts w:ascii="Tahoma" w:hAnsi="Tahoma" w:cs="Tahoma"/>
          <w:color w:val="231F20"/>
          <w:sz w:val="20"/>
          <w:szCs w:val="20"/>
          <w:shd w:val="clear" w:color="auto" w:fill="FFFFFF"/>
        </w:rPr>
        <w:t>OKslužby</w:t>
      </w:r>
      <w:proofErr w:type="spellEnd"/>
      <w:r w:rsidR="000A2E77" w:rsidRPr="000A2E77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- poskytovatel". Pro stanovení dotace platí Podmínky a Program v plném rozsahu.</w:t>
      </w:r>
    </w:p>
    <w:p w14:paraId="6A8B0AB0" w14:textId="365183BF" w:rsidR="00532320" w:rsidRPr="000A2E77" w:rsidRDefault="001415C7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</w:t>
      </w:r>
      <w:r w:rsidR="009F7E0D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e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9F7E0D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stanoveném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termínu obdržel Moravskoslezský kraj celkem 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v písemné formě </w:t>
      </w:r>
      <w:r w:rsidR="00A645AC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148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žádostí na</w:t>
      </w:r>
      <w:r w:rsid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A645AC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417</w:t>
      </w:r>
      <w:r w:rsid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služeb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F50B6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v 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objemu požadavků </w:t>
      </w:r>
      <w:r w:rsidR="00A645AC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271.001.680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 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prostřednictvím internetové aplikace „</w:t>
      </w:r>
      <w:proofErr w:type="spellStart"/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poskytovatel“ </w:t>
      </w:r>
      <w:r w:rsidR="00A645AC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12</w:t>
      </w:r>
      <w:r w:rsidR="00F7095B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žádostí na </w:t>
      </w:r>
      <w:r w:rsidR="00A645AC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18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služeb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objemu požadavků </w:t>
      </w:r>
      <w:r w:rsidR="00A645AC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12.135.014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Pr="000A2E7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7325F04E" w14:textId="77777777" w:rsidR="00A645AC" w:rsidRDefault="00A645AC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 dvou sociálních služeb byl zjištěn nesoulad mezi kapacitou zařazenou v Krajské základní síti a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podanou žádostí o dotaci a žadatelé byli vyzváni k podání vysvětlení, příp. k doplnění žádosti. U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jedné sociální služby byl rozdíl zdůvodněn administrativní chybou. U druhé sociální služby byl zaslán nový nákladový rozpočet vč. požadavku na dotaci z důvodu nesprávně vyplněné žádosti podané v internetové aplikaci „</w:t>
      </w:r>
      <w:proofErr w:type="spellStart"/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poskytovatel“ a došlo ke snížení požadované dotace o 715.000 Kč. Celkový požadavek na dotaci je tedy 282.421.694 Kč. </w:t>
      </w:r>
    </w:p>
    <w:p w14:paraId="1180CF88" w14:textId="77777777" w:rsidR="00A645AC" w:rsidRPr="00A645AC" w:rsidRDefault="00A645AC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15A65D2A" w14:textId="77777777" w:rsidR="00443EC1" w:rsidRPr="008C5F8D" w:rsidRDefault="00443EC1" w:rsidP="00443EC1">
      <w:pPr>
        <w:pStyle w:val="Odstavecseseznamem"/>
        <w:numPr>
          <w:ilvl w:val="0"/>
          <w:numId w:val="14"/>
        </w:num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Formální posouzení žádostí</w:t>
      </w:r>
    </w:p>
    <w:p w14:paraId="2A50D60C" w14:textId="77777777" w:rsidR="001415C7" w:rsidRPr="008C5F8D" w:rsidRDefault="00DD790E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 všech podaných žádostí byla provedena formální kontrola, kdy byl kontrolován termín a způsob podání žádosti a oprávněnost požadavku.</w:t>
      </w:r>
    </w:p>
    <w:p w14:paraId="2A842C9A" w14:textId="3B682DA3" w:rsidR="00154541" w:rsidRPr="009774F7" w:rsidRDefault="00532320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K vyřazení jsou navrhovány 2</w:t>
      </w:r>
      <w:r w:rsidR="00F952A0" w:rsidRPr="00F952A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žádosti podané na písemném formuláři</w:t>
      </w:r>
      <w:r w:rsidR="000A2E7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a to </w:t>
      </w:r>
      <w:r w:rsidR="00F50B6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žádost</w:t>
      </w:r>
      <w:r w:rsidR="000A2E7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8A6166" w:rsidRPr="00F952A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organizace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Charita sv.</w:t>
      </w:r>
      <w:r w:rsid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Martina</w:t>
      </w:r>
      <w:r w:rsidR="008A6166" w:rsidRPr="00F952A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</w:t>
      </w:r>
      <w:r w:rsidR="008A6166" w:rsidRPr="00FE0A9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IČ</w:t>
      </w:r>
      <w:r w:rsidR="008268F4" w:rsidRPr="00FE0A9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</w:t>
      </w:r>
      <w:r w:rsidR="008A6166" w:rsidRPr="00FE0A9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FE0A9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</w:t>
      </w:r>
      <w:r w:rsidR="00FE0A9B" w:rsidRPr="00FE0A9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4872461</w:t>
      </w:r>
      <w:r w:rsidR="008A6166" w:rsidRPr="00FE0A9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</w:t>
      </w:r>
      <w:r w:rsidR="008A6166" w:rsidRPr="00F952A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B63D05" w:rsidRPr="00F952A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která </w:t>
      </w:r>
      <w:r w:rsidR="000A2E7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obdržela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dotaci</w:t>
      </w:r>
      <w:r w:rsidR="000A2E7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EA7E6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na úrovni optimálního návrhu </w:t>
      </w:r>
      <w:r w:rsidR="000A2E7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již v řádném kole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</w:t>
      </w:r>
      <w:r w:rsidR="00EA7E6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F50B6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žádost </w:t>
      </w:r>
      <w:r w:rsidR="000A2E7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organizace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Středisko sociálních služeb měst</w:t>
      </w:r>
      <w:r w:rsidR="00C234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a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Frýdlant nad </w:t>
      </w:r>
      <w:r w:rsidRPr="00FE0A9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Ostravicí, IČO </w:t>
      </w:r>
      <w:r w:rsidR="00FE0A9B" w:rsidRPr="00C234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00847020</w:t>
      </w:r>
      <w:r w:rsidR="00C234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která požádala </w:t>
      </w:r>
      <w:r w:rsidR="00EA7E6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 </w:t>
      </w:r>
      <w:r w:rsidR="00C234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částku dofinancování, která překročila s </w:t>
      </w:r>
      <w:r w:rsidR="00C2344E" w:rsidRPr="00532320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přiznanou dotací </w:t>
      </w:r>
      <w:r w:rsidR="00C2344E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z řádného kola </w:t>
      </w:r>
      <w:r w:rsidR="00C2344E" w:rsidRPr="00532320">
        <w:rPr>
          <w:rFonts w:ascii="Tahoma" w:hAnsi="Tahoma" w:cs="Tahoma"/>
          <w:color w:val="231F20"/>
          <w:sz w:val="20"/>
          <w:szCs w:val="20"/>
          <w:shd w:val="clear" w:color="auto" w:fill="FFFFFF"/>
        </w:rPr>
        <w:t>optimální návrh dotace</w:t>
      </w:r>
      <w:r w:rsidR="00C2344E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. </w:t>
      </w:r>
      <w:r w:rsidR="000A2E77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Sociální</w:t>
      </w:r>
      <w:r w:rsidR="000A2E7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službě</w:t>
      </w:r>
      <w:r w:rsidR="000A2E77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kter</w:t>
      </w:r>
      <w:r w:rsidR="000A2E7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á</w:t>
      </w:r>
      <w:r w:rsidR="000A2E77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podal</w:t>
      </w:r>
      <w:r w:rsidR="000A2E7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a</w:t>
      </w:r>
      <w:r w:rsidR="000A2E77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 o dofinancování písemnou formou nad optimální návrh</w:t>
      </w:r>
      <w:r w:rsidR="00F50B6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</w:t>
      </w:r>
      <w:r w:rsidR="000A2E77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není</w:t>
      </w:r>
      <w:r w:rsidR="00C234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0A2E77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navýšení navrhováno, ale žádost není navrhováno vyřadit, </w:t>
      </w:r>
      <w:r w:rsidR="000A2E7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protože</w:t>
      </w:r>
      <w:r w:rsidR="000A2E77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zahrnuje oprávněn</w:t>
      </w:r>
      <w:r w:rsidR="000A2E7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ý </w:t>
      </w:r>
      <w:r w:rsidR="000A2E77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požadav</w:t>
      </w:r>
      <w:r w:rsidR="000A2E7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ek</w:t>
      </w:r>
      <w:r w:rsidR="000A2E77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i </w:t>
      </w:r>
      <w:r w:rsidR="000A2E7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další služby</w:t>
      </w:r>
      <w:r w:rsidR="000A2E77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které organizace poskytuje.</w:t>
      </w:r>
    </w:p>
    <w:p w14:paraId="7721E9F0" w14:textId="794428FC" w:rsidR="00714DE4" w:rsidRPr="00E94A22" w:rsidRDefault="00714DE4" w:rsidP="009774F7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Organi</w:t>
      </w:r>
      <w:r w:rsidRPr="00714DE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zace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9774F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Asociace rodičů a přátel zdravotně postižených dětí v </w:t>
      </w:r>
      <w:proofErr w:type="gramStart"/>
      <w:r w:rsidRPr="009774F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ČR, z.s.</w:t>
      </w:r>
      <w:proofErr w:type="gramEnd"/>
      <w:r w:rsidRPr="009774F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klub Stonožka Ostrava, IČ</w:t>
      </w:r>
      <w:r w:rsidR="009774F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</w:t>
      </w:r>
      <w:r w:rsidRPr="009774F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68308892, podala žádost prostřednictvím internetové aplikace „</w:t>
      </w:r>
      <w:proofErr w:type="spellStart"/>
      <w:r w:rsidRPr="009774F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Pr="009774F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poskytovatel“, protože jí v řádném kole dotačního řízení nebyla poskytnuta dotace. Dle 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stanoven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ého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termín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 způsob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podání žádostí za účelem dočerpání finančních prostředků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měla být tato žádost podaná prostřednictvím písemného formuláře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 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Orgánům kraje je navrhováno žádost z důvodu tohoto formálního pochybení nevyřadit a dotaci pro r. 2019 poskytnout.</w:t>
      </w:r>
    </w:p>
    <w:p w14:paraId="2BAFD901" w14:textId="77777777" w:rsidR="00755D44" w:rsidRPr="008C5F8D" w:rsidRDefault="00DD790E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Přehled </w:t>
      </w:r>
      <w:r w:rsidR="00E84B5D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poskytovatelů a 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sociálních služeb, </w:t>
      </w:r>
      <w:r w:rsidR="00932B19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kter</w:t>
      </w:r>
      <w:r w:rsid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é</w:t>
      </w:r>
      <w:r w:rsidR="00932B19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jsou navrhovány k vyřazení</w:t>
      </w:r>
      <w:r w:rsidR="00E84B5D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je uveden v tabulce č. </w:t>
      </w:r>
      <w:r w:rsidR="008C5F8D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14:paraId="1424B2AA" w14:textId="77777777" w:rsidR="00DD790E" w:rsidRPr="008C5F8D" w:rsidRDefault="008F0155" w:rsidP="0005416A">
      <w:p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Tabulka č. </w:t>
      </w:r>
      <w:r w:rsid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443EC1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- </w:t>
      </w:r>
      <w:r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Přehled poskytovatelů a sociálních služeb n</w:t>
      </w:r>
      <w:r w:rsidR="00283F90"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 xml:space="preserve">avrhovaných </w:t>
      </w:r>
      <w:r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k vyřazení</w:t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1120"/>
        <w:gridCol w:w="1424"/>
        <w:gridCol w:w="1519"/>
        <w:gridCol w:w="1824"/>
        <w:gridCol w:w="1517"/>
      </w:tblGrid>
      <w:tr w:rsidR="00DD790E" w:rsidRPr="002F29F9" w14:paraId="2186511F" w14:textId="77777777" w:rsidTr="00663C62">
        <w:trPr>
          <w:trHeight w:val="30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E6D92E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Poskytovatel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26A71B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IČ</w:t>
            </w:r>
            <w:r w:rsidR="008268F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E59824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Identifikátor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0A750C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Druh služby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390A47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Název služby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4C131F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Důvod vyřazení</w:t>
            </w:r>
          </w:p>
        </w:tc>
      </w:tr>
      <w:tr w:rsidR="000A2E77" w:rsidRPr="002F29F9" w14:paraId="31537112" w14:textId="77777777" w:rsidTr="00663C62">
        <w:trPr>
          <w:trHeight w:val="7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E954" w14:textId="77777777" w:rsidR="000A2E77" w:rsidRPr="008268F4" w:rsidRDefault="003B3A05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Charita sv. Martina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17E6" w14:textId="77777777" w:rsidR="000A2E77" w:rsidRPr="008268F4" w:rsidRDefault="00907F30" w:rsidP="00663C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  <w:r w:rsidRPr="00907F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4872461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D155" w14:textId="77777777" w:rsidR="000A2E77" w:rsidRPr="008268F4" w:rsidRDefault="00907F30" w:rsidP="00663C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7F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9532032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909C" w14:textId="77777777" w:rsidR="000A2E77" w:rsidRPr="008268F4" w:rsidRDefault="00907F30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7F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6545" w14:textId="77777777" w:rsidR="000A2E77" w:rsidRPr="008268F4" w:rsidRDefault="00907F30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07F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Charitní pečovatelská služba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F589" w14:textId="476A8A73" w:rsidR="000A2E77" w:rsidRPr="008268F4" w:rsidRDefault="00250A7B" w:rsidP="003B3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poskytnutá dotace v řádném kole na úrovni optimálního návrhu</w:t>
            </w:r>
          </w:p>
        </w:tc>
      </w:tr>
      <w:tr w:rsidR="000A2E77" w:rsidRPr="002F29F9" w14:paraId="0206C684" w14:textId="77777777" w:rsidTr="008268F4">
        <w:trPr>
          <w:trHeight w:val="76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9362" w14:textId="77777777" w:rsidR="000A2E77" w:rsidRPr="008268F4" w:rsidRDefault="003B3A05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Středisko sociálních služeb města Frýdlant nad Ostravicí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FA41" w14:textId="77777777" w:rsidR="000A2E77" w:rsidRPr="008268F4" w:rsidRDefault="00C2344E" w:rsidP="00663C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</w:t>
            </w:r>
            <w:r w:rsidRPr="00C234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847020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7FC9" w14:textId="77777777" w:rsidR="000A2E77" w:rsidRPr="008268F4" w:rsidRDefault="00C2344E" w:rsidP="00663C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34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7380363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F246" w14:textId="77777777" w:rsidR="000A2E77" w:rsidRPr="008268F4" w:rsidRDefault="00C2344E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34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405E" w14:textId="77777777" w:rsidR="000A2E77" w:rsidRPr="008268F4" w:rsidRDefault="00C2344E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234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pečovatelská služba</w:t>
            </w: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474B" w14:textId="7B0C91D6" w:rsidR="000A2E77" w:rsidRPr="008268F4" w:rsidRDefault="00250A7B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žádost o dofinancování podána </w:t>
            </w:r>
            <w:r w:rsidR="000A2E77"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nad optimum</w:t>
            </w:r>
          </w:p>
        </w:tc>
      </w:tr>
    </w:tbl>
    <w:p w14:paraId="58FA6741" w14:textId="77777777" w:rsidR="00D11609" w:rsidRDefault="00D11609" w:rsidP="0005416A">
      <w:p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1959708F" w14:textId="77777777" w:rsidR="00022924" w:rsidRDefault="00022924" w:rsidP="0005416A">
      <w:p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173FE8CE" w14:textId="77777777" w:rsidR="00022924" w:rsidRDefault="00022924" w:rsidP="0005416A">
      <w:p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19581663" w14:textId="77777777" w:rsidR="00443EC1" w:rsidRPr="008C5F8D" w:rsidRDefault="00443EC1" w:rsidP="00443EC1">
      <w:pPr>
        <w:pStyle w:val="Odstavecseseznamem"/>
        <w:numPr>
          <w:ilvl w:val="0"/>
          <w:numId w:val="14"/>
        </w:num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lastRenderedPageBreak/>
        <w:t>Věcné posouzení žádostí</w:t>
      </w:r>
      <w:r w:rsidR="00BA07F5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a návrh výpočtu dotace/dofinancování</w:t>
      </w:r>
    </w:p>
    <w:p w14:paraId="635FA26A" w14:textId="77777777" w:rsidR="00C74449" w:rsidRPr="002F29F9" w:rsidRDefault="00C74449" w:rsidP="00C74449">
      <w:pPr>
        <w:pStyle w:val="Odstavecseseznamem"/>
        <w:spacing w:after="120"/>
        <w:ind w:left="144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66E69D2A" w14:textId="6115F446" w:rsidR="00BB1DEF" w:rsidRPr="00BB1DEF" w:rsidRDefault="00443EC1" w:rsidP="00BB1DEF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</w:t>
      </w:r>
      <w:r w:rsidR="006B00BD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ezi žádostmi podanými elektronicky</w:t>
      </w:r>
      <w:r w:rsidR="00176125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přes internetovou aplikaci „</w:t>
      </w:r>
      <w:proofErr w:type="spellStart"/>
      <w:r w:rsidR="00176125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="00176125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poskytovatel“</w:t>
      </w:r>
      <w:r w:rsidR="006B00BD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byl</w:t>
      </w:r>
      <w:r w:rsidR="003B3A05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y</w:t>
      </w:r>
      <w:r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3B3A05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="006B00BD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3B3A05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žádosti</w:t>
      </w:r>
      <w:r w:rsidR="006B00BD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na „nové“ služby, tj. na služby, které byly </w:t>
      </w:r>
      <w:r w:rsidR="00D4438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nově </w:t>
      </w:r>
      <w:r w:rsidR="006B00BD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zařazeny do Krajské základní sítě sociálních služeb v průběhu r</w:t>
      </w:r>
      <w:r w:rsidR="00283F90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oku</w:t>
      </w:r>
      <w:r w:rsidR="006B00BD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201</w:t>
      </w:r>
      <w:r w:rsidR="003B3A05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</w:t>
      </w:r>
      <w:r w:rsidR="00BB1DEF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13 žádostí na navýšené kapacity a 2 žádosti na služby, které nedostaly dotaci v řádném kole dotačního řízení (viz tabulky 3 – 5).</w:t>
      </w:r>
      <w:r w:rsidR="003659D6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4963BEE2" w14:textId="5611CE0E" w:rsidR="0013061F" w:rsidRPr="0060251C" w:rsidRDefault="00F50B69" w:rsidP="0060251C">
      <w:pPr>
        <w:pStyle w:val="Odstavecseseznamem"/>
        <w:numPr>
          <w:ilvl w:val="0"/>
          <w:numId w:val="16"/>
        </w:num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Nové s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lužby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které 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jsou navrženy k poskytnutí dotace na</w:t>
      </w:r>
      <w:r w:rsidR="00176125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283F90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rok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176125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01</w:t>
      </w:r>
      <w:r w:rsidR="003B3A0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jsou uvedeny v tabulce č.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3. </w:t>
      </w:r>
    </w:p>
    <w:p w14:paraId="129EC1FD" w14:textId="77777777" w:rsidR="0013061F" w:rsidRPr="002F29F9" w:rsidRDefault="0013061F" w:rsidP="00283F90">
      <w:pPr>
        <w:pStyle w:val="Odstavecseseznamem"/>
        <w:spacing w:after="120"/>
        <w:jc w:val="both"/>
        <w:rPr>
          <w:rFonts w:ascii="Tahoma" w:eastAsia="Droid Sans" w:hAnsi="Tahoma" w:cs="Tahoma"/>
          <w:kern w:val="1"/>
          <w:sz w:val="20"/>
          <w:szCs w:val="20"/>
          <w:highlight w:val="yellow"/>
          <w:lang w:eastAsia="zh-CN" w:bidi="hi-IN"/>
        </w:rPr>
      </w:pPr>
    </w:p>
    <w:p w14:paraId="6F84D13D" w14:textId="77777777" w:rsidR="0005416A" w:rsidRPr="008C5F8D" w:rsidRDefault="003659D6" w:rsidP="0005416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Tabulka č. </w:t>
      </w:r>
      <w:r w:rsidR="008C5F8D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</w:t>
      </w:r>
      <w:r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Přehled „nových“ služeb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1280"/>
        <w:gridCol w:w="1608"/>
        <w:gridCol w:w="1881"/>
        <w:gridCol w:w="2261"/>
      </w:tblGrid>
      <w:tr w:rsidR="003659D6" w:rsidRPr="002F29F9" w14:paraId="4B027264" w14:textId="77777777" w:rsidTr="003B3A05">
        <w:trPr>
          <w:trHeight w:val="42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5BF231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Poskytovatel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672455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IČ</w:t>
            </w:r>
            <w:r w:rsidR="003119A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O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E9A53F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Identifikátor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754FF5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Druh služby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893D53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Název služby</w:t>
            </w:r>
          </w:p>
        </w:tc>
      </w:tr>
      <w:tr w:rsidR="0013061F" w:rsidRPr="002F29F9" w14:paraId="49CEA1D0" w14:textId="77777777" w:rsidTr="0013061F">
        <w:trPr>
          <w:trHeight w:val="691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4CFB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Česká unie </w:t>
            </w:r>
            <w:proofErr w:type="gramStart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neslyšících, </w:t>
            </w:r>
            <w:proofErr w:type="spellStart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z.ú</w:t>
            </w:r>
            <w:proofErr w:type="spellEnd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0D2D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00675547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68F0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6638773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A71D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tlumočnické služby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DAE6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Tlumočnická služba ČUN (Moravskoslezský kraj)</w:t>
            </w:r>
          </w:p>
        </w:tc>
      </w:tr>
      <w:tr w:rsidR="0013061F" w:rsidRPr="002F29F9" w14:paraId="6687EEB9" w14:textId="77777777" w:rsidTr="0013061F">
        <w:trPr>
          <w:trHeight w:val="56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96EF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Futra z.s.</w:t>
            </w:r>
            <w:proofErr w:type="gramEnd"/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17A8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67339018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50C9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9077964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172C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B8E5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NZDM Maják</w:t>
            </w:r>
          </w:p>
        </w:tc>
      </w:tr>
      <w:tr w:rsidR="0013061F" w:rsidRPr="002F29F9" w14:paraId="480BB3EE" w14:textId="77777777" w:rsidTr="0013061F">
        <w:trPr>
          <w:trHeight w:val="56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1EA1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SENIOR DOMY POHODA a.s.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BDC8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28568877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A3CE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6507455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034F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AFB7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Senior domy Pohoda a.s.</w:t>
            </w:r>
          </w:p>
        </w:tc>
      </w:tr>
    </w:tbl>
    <w:p w14:paraId="04029100" w14:textId="77777777" w:rsidR="003659D6" w:rsidRPr="002F29F9" w:rsidRDefault="003659D6" w:rsidP="0005416A">
      <w:pPr>
        <w:spacing w:after="120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14:paraId="718150D0" w14:textId="77777777" w:rsidR="005B0B3E" w:rsidRPr="008C5F8D" w:rsidRDefault="005B0B3E" w:rsidP="005B0B3E">
      <w:pPr>
        <w:pStyle w:val="Odstavecseseznamem"/>
        <w:numPr>
          <w:ilvl w:val="0"/>
          <w:numId w:val="1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Žádosti </w:t>
      </w:r>
      <w:r w:rsidR="001C01A9" w:rsidRPr="008C5F8D">
        <w:rPr>
          <w:rFonts w:ascii="Tahoma" w:hAnsi="Tahoma" w:cs="Tahoma"/>
          <w:sz w:val="20"/>
          <w:szCs w:val="20"/>
        </w:rPr>
        <w:t xml:space="preserve">služeb </w:t>
      </w:r>
      <w:r w:rsidRPr="008C5F8D">
        <w:rPr>
          <w:rFonts w:ascii="Tahoma" w:hAnsi="Tahoma" w:cs="Tahoma"/>
          <w:b/>
          <w:sz w:val="20"/>
          <w:szCs w:val="20"/>
        </w:rPr>
        <w:t>s navýšenou kapacitou</w:t>
      </w:r>
      <w:r w:rsidRPr="008C5F8D">
        <w:rPr>
          <w:rFonts w:ascii="Tahoma" w:hAnsi="Tahoma" w:cs="Tahoma"/>
          <w:sz w:val="20"/>
          <w:szCs w:val="20"/>
        </w:rPr>
        <w:t xml:space="preserve"> </w:t>
      </w:r>
      <w:r w:rsidR="001C01A9" w:rsidRPr="008C5F8D">
        <w:rPr>
          <w:rFonts w:ascii="Tahoma" w:hAnsi="Tahoma" w:cs="Tahoma"/>
          <w:sz w:val="20"/>
          <w:szCs w:val="20"/>
        </w:rPr>
        <w:t>během r. 201</w:t>
      </w:r>
      <w:r w:rsidR="003B3A05">
        <w:rPr>
          <w:rFonts w:ascii="Tahoma" w:hAnsi="Tahoma" w:cs="Tahoma"/>
          <w:sz w:val="20"/>
          <w:szCs w:val="20"/>
        </w:rPr>
        <w:t>9</w:t>
      </w:r>
      <w:r w:rsidR="001C01A9" w:rsidRPr="008C5F8D">
        <w:rPr>
          <w:rFonts w:ascii="Tahoma" w:hAnsi="Tahoma" w:cs="Tahoma"/>
          <w:sz w:val="20"/>
          <w:szCs w:val="20"/>
        </w:rPr>
        <w:t xml:space="preserve"> </w:t>
      </w:r>
      <w:r w:rsidRPr="008C5F8D">
        <w:rPr>
          <w:rFonts w:ascii="Tahoma" w:hAnsi="Tahoma" w:cs="Tahoma"/>
          <w:sz w:val="20"/>
          <w:szCs w:val="20"/>
        </w:rPr>
        <w:t xml:space="preserve">jsou uvedeny v tabulce č. </w:t>
      </w:r>
      <w:r w:rsidR="008C5F8D" w:rsidRPr="008C5F8D">
        <w:rPr>
          <w:rFonts w:ascii="Tahoma" w:hAnsi="Tahoma" w:cs="Tahoma"/>
          <w:sz w:val="20"/>
          <w:szCs w:val="20"/>
        </w:rPr>
        <w:t>4</w:t>
      </w:r>
    </w:p>
    <w:p w14:paraId="09063506" w14:textId="77777777" w:rsidR="005B0B3E" w:rsidRPr="002F29F9" w:rsidRDefault="005B0B3E" w:rsidP="005B0B3E">
      <w:pPr>
        <w:pStyle w:val="Odstavecseseznamem"/>
        <w:spacing w:after="1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E2CEB97" w14:textId="77777777" w:rsidR="003659D6" w:rsidRPr="008C5F8D" w:rsidRDefault="005B0B3E" w:rsidP="002C34B5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Tabulka č. </w:t>
      </w:r>
      <w:r w:rsidR="008C5F8D" w:rsidRPr="008C5F8D">
        <w:rPr>
          <w:rFonts w:ascii="Tahoma" w:hAnsi="Tahoma" w:cs="Tahoma"/>
          <w:sz w:val="20"/>
          <w:szCs w:val="20"/>
        </w:rPr>
        <w:t>4</w:t>
      </w:r>
      <w:r w:rsidRPr="008C5F8D">
        <w:rPr>
          <w:rFonts w:ascii="Tahoma" w:hAnsi="Tahoma" w:cs="Tahoma"/>
          <w:sz w:val="20"/>
          <w:szCs w:val="20"/>
        </w:rPr>
        <w:t xml:space="preserve"> – </w:t>
      </w:r>
      <w:r w:rsidRPr="008C5F8D">
        <w:rPr>
          <w:rFonts w:ascii="Tahoma" w:hAnsi="Tahoma" w:cs="Tahoma"/>
          <w:b/>
          <w:i/>
          <w:sz w:val="20"/>
          <w:szCs w:val="20"/>
        </w:rPr>
        <w:t xml:space="preserve">Přehled 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 xml:space="preserve">služeb s </w:t>
      </w:r>
      <w:r w:rsidRPr="008C5F8D">
        <w:rPr>
          <w:rFonts w:ascii="Tahoma" w:hAnsi="Tahoma" w:cs="Tahoma"/>
          <w:b/>
          <w:i/>
          <w:sz w:val="20"/>
          <w:szCs w:val="20"/>
        </w:rPr>
        <w:t>navýšen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>ou</w:t>
      </w:r>
      <w:r w:rsidRPr="008C5F8D">
        <w:rPr>
          <w:rFonts w:ascii="Tahoma" w:hAnsi="Tahoma" w:cs="Tahoma"/>
          <w:b/>
          <w:i/>
          <w:sz w:val="20"/>
          <w:szCs w:val="20"/>
        </w:rPr>
        <w:t xml:space="preserve"> kapacit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>ou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2"/>
        <w:gridCol w:w="1223"/>
        <w:gridCol w:w="1432"/>
        <w:gridCol w:w="1686"/>
        <w:gridCol w:w="2679"/>
      </w:tblGrid>
      <w:tr w:rsidR="006E47D6" w:rsidRPr="002F29F9" w14:paraId="6176858F" w14:textId="77777777" w:rsidTr="0013061F">
        <w:trPr>
          <w:trHeight w:val="300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56D37A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Poskytovatel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FBBE13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IČ</w:t>
            </w:r>
            <w:r w:rsidR="003119A8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O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B78EB4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Identifikátor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EA8B3F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Druh služby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ECD364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Název služby</w:t>
            </w:r>
          </w:p>
        </w:tc>
      </w:tr>
      <w:tr w:rsidR="0013061F" w:rsidRPr="002F29F9" w14:paraId="1A86229E" w14:textId="77777777" w:rsidTr="0013061F">
        <w:trPr>
          <w:trHeight w:val="6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9DD0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Althaia</w:t>
            </w:r>
            <w:proofErr w:type="spellEnd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o.p.s.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E664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22892150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5C26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3324815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0522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AF69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Odborné sociální poradenství</w:t>
            </w:r>
          </w:p>
        </w:tc>
      </w:tr>
      <w:tr w:rsidR="0013061F" w:rsidRPr="002F29F9" w14:paraId="0141FBBB" w14:textId="77777777" w:rsidTr="0013061F">
        <w:trPr>
          <w:trHeight w:val="6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C837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Althaia</w:t>
            </w:r>
            <w:proofErr w:type="spellEnd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o.p.s.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9E08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22892150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474A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5799165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A611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BF41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Nízkoprahové zařízení - Klub Osa, Nízkoprahové zařízení - Klub Hlinka</w:t>
            </w:r>
          </w:p>
        </w:tc>
      </w:tr>
      <w:tr w:rsidR="0013061F" w:rsidRPr="002F29F9" w14:paraId="769322DF" w14:textId="77777777" w:rsidTr="0013061F">
        <w:trPr>
          <w:trHeight w:val="6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E39D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Althaia</w:t>
            </w:r>
            <w:proofErr w:type="spellEnd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o.p.s.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DE17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22892150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1EC6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8842992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8D0A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7CE4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Sociálně aktivizační služby pro rodiny s dětmi</w:t>
            </w:r>
          </w:p>
        </w:tc>
      </w:tr>
      <w:tr w:rsidR="0013061F" w:rsidRPr="002F29F9" w14:paraId="05E7B5B9" w14:textId="77777777" w:rsidTr="0013061F">
        <w:trPr>
          <w:trHeight w:val="6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C25F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Bunkr, o.p.s.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65A3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26617013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2815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7435832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8FDC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C9DC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Streetwork</w:t>
            </w:r>
            <w:proofErr w:type="spellEnd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v Třinci</w:t>
            </w:r>
          </w:p>
        </w:tc>
      </w:tr>
      <w:tr w:rsidR="0013061F" w:rsidRPr="002F29F9" w14:paraId="0E856D2D" w14:textId="77777777" w:rsidTr="0013061F">
        <w:trPr>
          <w:trHeight w:val="135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218C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Domov pro seniory Ludmila, příspěvková organizace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B933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71196978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9BFE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5971576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172B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B9CA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domovy pro seniory</w:t>
            </w:r>
          </w:p>
        </w:tc>
      </w:tr>
      <w:tr w:rsidR="0013061F" w:rsidRPr="002F29F9" w14:paraId="32E1853F" w14:textId="77777777" w:rsidTr="0013061F">
        <w:trPr>
          <w:trHeight w:val="135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1551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Obec Bystřice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8039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00296562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BC3C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1105153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261C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D19F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</w:tr>
      <w:tr w:rsidR="0013061F" w:rsidRPr="002F29F9" w14:paraId="63A6BF27" w14:textId="77777777" w:rsidTr="0013061F">
        <w:trPr>
          <w:trHeight w:val="135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9C7A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Seniorcentrum Opava, příspěvková organizace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BEF2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71196943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46D3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5115567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B856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911C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Domov pro seniory svaté Kateřiny</w:t>
            </w:r>
          </w:p>
        </w:tc>
      </w:tr>
      <w:tr w:rsidR="0013061F" w:rsidRPr="002F29F9" w14:paraId="4CA21634" w14:textId="77777777" w:rsidTr="0013061F">
        <w:trPr>
          <w:trHeight w:val="9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2F29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Slezská diakonie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F244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65468562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E149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1437997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8B68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DF1C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EDEN Nový Jičín, denní stacionář</w:t>
            </w:r>
          </w:p>
        </w:tc>
      </w:tr>
      <w:tr w:rsidR="0013061F" w:rsidRPr="002F29F9" w14:paraId="144547A4" w14:textId="77777777" w:rsidTr="0013061F">
        <w:trPr>
          <w:trHeight w:val="6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AB5A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Slezská diakonie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42BC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65468562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F220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2248240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940A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F203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RÚT Třinec, sociální rehabilitace</w:t>
            </w:r>
          </w:p>
        </w:tc>
      </w:tr>
      <w:tr w:rsidR="0013061F" w:rsidRPr="002F29F9" w14:paraId="5CBCADD1" w14:textId="77777777" w:rsidTr="0013061F">
        <w:trPr>
          <w:trHeight w:val="12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1D71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Slezská diakonie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611B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65468562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EF3E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4512437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24B1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8E37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EEFATHA Nový Jičín, Kopřivnice, sociálně terapeutické dílny</w:t>
            </w:r>
          </w:p>
        </w:tc>
      </w:tr>
      <w:tr w:rsidR="0013061F" w:rsidRPr="002F29F9" w14:paraId="2D94A1C1" w14:textId="77777777" w:rsidTr="0013061F">
        <w:trPr>
          <w:trHeight w:val="12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22F6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Slezská diakonie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10C2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65468562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B0B4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8788535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B525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raná péče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186B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Poradna rané péče MATANA</w:t>
            </w:r>
          </w:p>
        </w:tc>
      </w:tr>
      <w:tr w:rsidR="0013061F" w:rsidRPr="002F29F9" w14:paraId="77369289" w14:textId="77777777" w:rsidTr="0013061F">
        <w:trPr>
          <w:trHeight w:val="12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3DA2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Statutární město Ostrava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457E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00845451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E438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2703738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EBF8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68B4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</w:tr>
      <w:tr w:rsidR="0013061F" w:rsidRPr="002F29F9" w14:paraId="1FC9BDD5" w14:textId="77777777" w:rsidTr="0013061F">
        <w:trPr>
          <w:trHeight w:val="12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871C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z.s.</w:t>
            </w:r>
            <w:proofErr w:type="gramEnd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Filadelfie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0208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26548518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C3FA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7453469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03D8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4DE3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Nízkoprahový klub U-kryt</w:t>
            </w:r>
          </w:p>
        </w:tc>
      </w:tr>
    </w:tbl>
    <w:p w14:paraId="198448FB" w14:textId="77777777" w:rsidR="006E47D6" w:rsidRDefault="006E47D6" w:rsidP="00C74449">
      <w:pPr>
        <w:spacing w:after="1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6142DB2E" w14:textId="39E975A8" w:rsidR="00BB1DEF" w:rsidRPr="00D44388" w:rsidRDefault="0013061F" w:rsidP="0013061F">
      <w:pPr>
        <w:pStyle w:val="Odstavecseseznamem"/>
        <w:numPr>
          <w:ilvl w:val="0"/>
          <w:numId w:val="1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>Žádosti služeb</w:t>
      </w:r>
      <w:r>
        <w:rPr>
          <w:rFonts w:ascii="Tahoma" w:hAnsi="Tahoma" w:cs="Tahoma"/>
          <w:sz w:val="20"/>
          <w:szCs w:val="20"/>
        </w:rPr>
        <w:t>, kterým nebyla poskytnuta dotace v řádném kole dotačního řízení v</w:t>
      </w:r>
      <w:r w:rsidRPr="008C5F8D">
        <w:rPr>
          <w:rFonts w:ascii="Tahoma" w:hAnsi="Tahoma" w:cs="Tahoma"/>
          <w:sz w:val="20"/>
          <w:szCs w:val="20"/>
        </w:rPr>
        <w:t xml:space="preserve"> r. 201</w:t>
      </w:r>
      <w:r>
        <w:rPr>
          <w:rFonts w:ascii="Tahoma" w:hAnsi="Tahoma" w:cs="Tahoma"/>
          <w:sz w:val="20"/>
          <w:szCs w:val="20"/>
        </w:rPr>
        <w:t>9</w:t>
      </w:r>
      <w:r w:rsidR="00BB1DEF">
        <w:rPr>
          <w:rFonts w:ascii="Tahoma" w:hAnsi="Tahoma" w:cs="Tahoma"/>
          <w:sz w:val="20"/>
          <w:szCs w:val="20"/>
        </w:rPr>
        <w:t>,</w:t>
      </w:r>
      <w:r w:rsidRPr="008C5F8D">
        <w:rPr>
          <w:rFonts w:ascii="Tahoma" w:hAnsi="Tahoma" w:cs="Tahoma"/>
          <w:sz w:val="20"/>
          <w:szCs w:val="20"/>
        </w:rPr>
        <w:t xml:space="preserve"> jsou uvedeny v tabulce č. </w:t>
      </w:r>
      <w:r>
        <w:rPr>
          <w:rFonts w:ascii="Tahoma" w:hAnsi="Tahoma" w:cs="Tahoma"/>
          <w:sz w:val="20"/>
          <w:szCs w:val="20"/>
        </w:rPr>
        <w:t>5</w:t>
      </w:r>
    </w:p>
    <w:p w14:paraId="5CDF6DEB" w14:textId="77777777" w:rsidR="0013061F" w:rsidRPr="0013061F" w:rsidRDefault="0013061F" w:rsidP="0013061F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13061F">
        <w:rPr>
          <w:rFonts w:ascii="Tahoma" w:hAnsi="Tahoma" w:cs="Tahoma"/>
          <w:sz w:val="20"/>
          <w:szCs w:val="20"/>
        </w:rPr>
        <w:t>Tabulka č.</w:t>
      </w:r>
      <w:r w:rsidR="009911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</w:t>
      </w:r>
      <w:r w:rsidRPr="0013061F">
        <w:rPr>
          <w:rFonts w:ascii="Tahoma" w:hAnsi="Tahoma" w:cs="Tahoma"/>
          <w:sz w:val="20"/>
          <w:szCs w:val="20"/>
        </w:rPr>
        <w:t xml:space="preserve"> – </w:t>
      </w:r>
      <w:r w:rsidRPr="0013061F">
        <w:rPr>
          <w:rFonts w:ascii="Tahoma" w:hAnsi="Tahoma" w:cs="Tahoma"/>
          <w:b/>
          <w:i/>
          <w:sz w:val="20"/>
          <w:szCs w:val="20"/>
        </w:rPr>
        <w:t xml:space="preserve">Přehled </w:t>
      </w:r>
      <w:r>
        <w:rPr>
          <w:rFonts w:ascii="Tahoma" w:hAnsi="Tahoma" w:cs="Tahoma"/>
          <w:b/>
          <w:i/>
          <w:sz w:val="20"/>
          <w:szCs w:val="20"/>
        </w:rPr>
        <w:t xml:space="preserve">služeb, kterým nebyla poskytnuta dotace v řádném kole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1280"/>
        <w:gridCol w:w="1608"/>
        <w:gridCol w:w="1881"/>
        <w:gridCol w:w="2261"/>
      </w:tblGrid>
      <w:tr w:rsidR="0013061F" w:rsidRPr="002F29F9" w14:paraId="16FF8653" w14:textId="77777777" w:rsidTr="006A17E4">
        <w:trPr>
          <w:trHeight w:val="42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88CB08" w14:textId="77777777" w:rsidR="0013061F" w:rsidRPr="002F29F9" w:rsidRDefault="0013061F" w:rsidP="006A17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Poskytovatel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E1B2A5" w14:textId="77777777" w:rsidR="0013061F" w:rsidRPr="002F29F9" w:rsidRDefault="0013061F" w:rsidP="006A17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IČ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O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8F3B62" w14:textId="77777777" w:rsidR="0013061F" w:rsidRPr="002F29F9" w:rsidRDefault="0013061F" w:rsidP="006A17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Identifikátor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E60E79" w14:textId="77777777" w:rsidR="0013061F" w:rsidRPr="002F29F9" w:rsidRDefault="0013061F" w:rsidP="006A17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Druh služby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C5F2C6" w14:textId="77777777" w:rsidR="0013061F" w:rsidRPr="002F29F9" w:rsidRDefault="0013061F" w:rsidP="006A17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Název služby</w:t>
            </w:r>
          </w:p>
        </w:tc>
      </w:tr>
      <w:tr w:rsidR="0013061F" w:rsidRPr="002F29F9" w14:paraId="3A53F0FA" w14:textId="77777777" w:rsidTr="0013061F">
        <w:trPr>
          <w:trHeight w:val="691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E34F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Asociace rodičů a přátel zdravotně postižených dětí v </w:t>
            </w:r>
            <w:proofErr w:type="gramStart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ČR, z.s.</w:t>
            </w:r>
            <w:proofErr w:type="gramEnd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klub Stonožka Ostrava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40A3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68308892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9F7C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3285774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0B99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C539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Integrační centrum Ostrava</w:t>
            </w:r>
          </w:p>
        </w:tc>
      </w:tr>
      <w:tr w:rsidR="0013061F" w:rsidRPr="002F29F9" w14:paraId="6351F97E" w14:textId="77777777" w:rsidTr="0013061F">
        <w:trPr>
          <w:trHeight w:val="56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756C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Asociace rodičů a přátel zdravotně postižených dětí v </w:t>
            </w:r>
            <w:proofErr w:type="gramStart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ČR, z.s.</w:t>
            </w:r>
            <w:proofErr w:type="gramEnd"/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klub Stonožka Ostrava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7877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68308892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4AF7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9533187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C87D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2652" w14:textId="77777777" w:rsidR="0013061F" w:rsidRPr="00AB6F1B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B6F1B">
              <w:rPr>
                <w:rFonts w:ascii="Tahoma" w:hAnsi="Tahoma" w:cs="Tahoma"/>
                <w:color w:val="000000"/>
                <w:sz w:val="20"/>
                <w:szCs w:val="20"/>
              </w:rPr>
              <w:t>Integrační centrum Ostrava</w:t>
            </w:r>
          </w:p>
        </w:tc>
      </w:tr>
    </w:tbl>
    <w:p w14:paraId="778F8FCD" w14:textId="77777777" w:rsidR="002C34B5" w:rsidRPr="008C5F8D" w:rsidRDefault="005B0B3E" w:rsidP="00C74449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lastRenderedPageBreak/>
        <w:t>Ž</w:t>
      </w:r>
      <w:r w:rsidR="002C34B5" w:rsidRPr="008C5F8D">
        <w:rPr>
          <w:rFonts w:ascii="Tahoma" w:hAnsi="Tahoma" w:cs="Tahoma"/>
          <w:sz w:val="20"/>
          <w:szCs w:val="20"/>
        </w:rPr>
        <w:t xml:space="preserve">ádosti </w:t>
      </w:r>
      <w:r w:rsidRPr="008C5F8D">
        <w:rPr>
          <w:rFonts w:ascii="Tahoma" w:hAnsi="Tahoma" w:cs="Tahoma"/>
          <w:sz w:val="20"/>
          <w:szCs w:val="20"/>
        </w:rPr>
        <w:t>uvedené v </w:t>
      </w:r>
      <w:r w:rsidRPr="00BB1DEF">
        <w:rPr>
          <w:rFonts w:ascii="Tahoma" w:hAnsi="Tahoma" w:cs="Tahoma"/>
          <w:sz w:val="20"/>
          <w:szCs w:val="20"/>
        </w:rPr>
        <w:t xml:space="preserve">bodě </w:t>
      </w:r>
      <w:r w:rsidRPr="000528AF">
        <w:rPr>
          <w:rFonts w:ascii="Tahoma" w:hAnsi="Tahoma" w:cs="Tahoma"/>
          <w:b/>
          <w:sz w:val="20"/>
          <w:szCs w:val="20"/>
        </w:rPr>
        <w:t>a)</w:t>
      </w:r>
      <w:r w:rsidRPr="00BB1DEF">
        <w:rPr>
          <w:rFonts w:ascii="Tahoma" w:hAnsi="Tahoma" w:cs="Tahoma"/>
          <w:sz w:val="20"/>
          <w:szCs w:val="20"/>
        </w:rPr>
        <w:t xml:space="preserve"> a</w:t>
      </w:r>
      <w:r w:rsidR="00991125" w:rsidRPr="00BB1DEF">
        <w:rPr>
          <w:rFonts w:ascii="Tahoma" w:hAnsi="Tahoma" w:cs="Tahoma"/>
          <w:sz w:val="20"/>
          <w:szCs w:val="20"/>
        </w:rPr>
        <w:t>ž</w:t>
      </w:r>
      <w:r w:rsidRPr="00BB1DEF">
        <w:rPr>
          <w:rFonts w:ascii="Tahoma" w:hAnsi="Tahoma" w:cs="Tahoma"/>
          <w:sz w:val="20"/>
          <w:szCs w:val="20"/>
        </w:rPr>
        <w:t xml:space="preserve"> </w:t>
      </w:r>
      <w:r w:rsidR="00BB1DEF" w:rsidRPr="000528AF">
        <w:rPr>
          <w:rFonts w:ascii="Tahoma" w:hAnsi="Tahoma" w:cs="Tahoma"/>
          <w:b/>
          <w:sz w:val="20"/>
          <w:szCs w:val="20"/>
        </w:rPr>
        <w:t>b</w:t>
      </w:r>
      <w:r w:rsidRPr="000528AF">
        <w:rPr>
          <w:rFonts w:ascii="Tahoma" w:hAnsi="Tahoma" w:cs="Tahoma"/>
          <w:b/>
          <w:sz w:val="20"/>
          <w:szCs w:val="20"/>
        </w:rPr>
        <w:t>)</w:t>
      </w:r>
      <w:r w:rsidRPr="008C5F8D">
        <w:rPr>
          <w:rFonts w:ascii="Tahoma" w:hAnsi="Tahoma" w:cs="Tahoma"/>
          <w:sz w:val="20"/>
          <w:szCs w:val="20"/>
        </w:rPr>
        <w:t xml:space="preserve"> </w:t>
      </w:r>
      <w:r w:rsidR="002C34B5" w:rsidRPr="008C5F8D">
        <w:rPr>
          <w:rFonts w:ascii="Tahoma" w:hAnsi="Tahoma" w:cs="Tahoma"/>
          <w:sz w:val="20"/>
          <w:szCs w:val="20"/>
        </w:rPr>
        <w:t>byly posouzeny dle následujícího postupu:</w:t>
      </w:r>
    </w:p>
    <w:p w14:paraId="598CA109" w14:textId="10E4BFF6" w:rsidR="002C34B5" w:rsidRDefault="002C34B5" w:rsidP="00443EC1">
      <w:pPr>
        <w:pStyle w:val="Odstavecseseznamem"/>
        <w:numPr>
          <w:ilvl w:val="0"/>
          <w:numId w:val="1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0B3303">
        <w:rPr>
          <w:rFonts w:ascii="Tahoma" w:hAnsi="Tahoma" w:cs="Tahoma"/>
          <w:b/>
          <w:sz w:val="20"/>
          <w:szCs w:val="20"/>
        </w:rPr>
        <w:t>Vyjádření potřebnosti sociální služby</w:t>
      </w:r>
      <w:r w:rsidRPr="000B3303">
        <w:rPr>
          <w:rFonts w:ascii="Tahoma" w:hAnsi="Tahoma" w:cs="Tahoma"/>
          <w:sz w:val="20"/>
          <w:szCs w:val="20"/>
        </w:rPr>
        <w:t xml:space="preserve"> – posouzení, zda nová sociální služba nebo navýšená kapacita je zařazena v Krajské síti sociálních služeb</w:t>
      </w:r>
      <w:r w:rsidR="00B63D05" w:rsidRPr="000B3303">
        <w:rPr>
          <w:rFonts w:ascii="Tahoma" w:hAnsi="Tahoma" w:cs="Tahoma"/>
          <w:sz w:val="20"/>
          <w:szCs w:val="20"/>
        </w:rPr>
        <w:t xml:space="preserve">. </w:t>
      </w:r>
      <w:r w:rsidR="003119A8" w:rsidRPr="000B3303">
        <w:rPr>
          <w:rFonts w:ascii="Tahoma" w:hAnsi="Tahoma" w:cs="Tahoma"/>
          <w:sz w:val="20"/>
          <w:szCs w:val="20"/>
        </w:rPr>
        <w:t xml:space="preserve">V případě nesouladu mezi </w:t>
      </w:r>
      <w:r w:rsidR="008F4676">
        <w:rPr>
          <w:rFonts w:ascii="Tahoma" w:hAnsi="Tahoma" w:cs="Tahoma"/>
          <w:sz w:val="20"/>
          <w:szCs w:val="20"/>
        </w:rPr>
        <w:t>kapacitou zařazenou v</w:t>
      </w:r>
      <w:r w:rsidR="003119A8" w:rsidRPr="000B3303">
        <w:rPr>
          <w:rFonts w:ascii="Tahoma" w:hAnsi="Tahoma" w:cs="Tahoma"/>
          <w:sz w:val="20"/>
          <w:szCs w:val="20"/>
        </w:rPr>
        <w:t xml:space="preserve"> Krajské základní sít</w:t>
      </w:r>
      <w:r w:rsidR="008F4676">
        <w:rPr>
          <w:rFonts w:ascii="Tahoma" w:hAnsi="Tahoma" w:cs="Tahoma"/>
          <w:sz w:val="20"/>
          <w:szCs w:val="20"/>
        </w:rPr>
        <w:t>i</w:t>
      </w:r>
      <w:r w:rsidR="003119A8" w:rsidRPr="000B3303">
        <w:rPr>
          <w:rFonts w:ascii="Tahoma" w:hAnsi="Tahoma" w:cs="Tahoma"/>
          <w:sz w:val="20"/>
          <w:szCs w:val="20"/>
        </w:rPr>
        <w:t xml:space="preserve"> a žádostí o dotaci, byli žadatelé vyzváni k podání vysvětlení, příp. k doplnění žádosti. Takto byli vyzváni </w:t>
      </w:r>
      <w:r w:rsidR="00AB09B9">
        <w:rPr>
          <w:rFonts w:ascii="Tahoma" w:hAnsi="Tahoma" w:cs="Tahoma"/>
          <w:sz w:val="20"/>
          <w:szCs w:val="20"/>
        </w:rPr>
        <w:t>dva</w:t>
      </w:r>
      <w:r w:rsidR="003119A8" w:rsidRPr="000B3303">
        <w:rPr>
          <w:rFonts w:ascii="Tahoma" w:hAnsi="Tahoma" w:cs="Tahoma"/>
          <w:sz w:val="20"/>
          <w:szCs w:val="20"/>
        </w:rPr>
        <w:t xml:space="preserve"> žadatelé v případě </w:t>
      </w:r>
      <w:r w:rsidR="00AB09B9">
        <w:rPr>
          <w:rFonts w:ascii="Tahoma" w:hAnsi="Tahoma" w:cs="Tahoma"/>
          <w:sz w:val="20"/>
          <w:szCs w:val="20"/>
        </w:rPr>
        <w:t>dvou</w:t>
      </w:r>
      <w:r w:rsidR="003119A8" w:rsidRPr="000B3303">
        <w:rPr>
          <w:rFonts w:ascii="Tahoma" w:hAnsi="Tahoma" w:cs="Tahoma"/>
          <w:sz w:val="20"/>
          <w:szCs w:val="20"/>
        </w:rPr>
        <w:t xml:space="preserve"> služeb, přičemž u </w:t>
      </w:r>
      <w:r w:rsidR="00FD1267">
        <w:rPr>
          <w:rFonts w:ascii="Tahoma" w:hAnsi="Tahoma" w:cs="Tahoma"/>
          <w:sz w:val="20"/>
          <w:szCs w:val="20"/>
        </w:rPr>
        <w:t>jedné</w:t>
      </w:r>
      <w:r w:rsidR="000B3303" w:rsidRPr="000B3303">
        <w:rPr>
          <w:rFonts w:ascii="Tahoma" w:hAnsi="Tahoma" w:cs="Tahoma"/>
          <w:sz w:val="20"/>
          <w:szCs w:val="20"/>
        </w:rPr>
        <w:t xml:space="preserve"> služ</w:t>
      </w:r>
      <w:r w:rsidR="003119A8" w:rsidRPr="000B3303">
        <w:rPr>
          <w:rFonts w:ascii="Tahoma" w:hAnsi="Tahoma" w:cs="Tahoma"/>
          <w:sz w:val="20"/>
          <w:szCs w:val="20"/>
        </w:rPr>
        <w:t>b</w:t>
      </w:r>
      <w:r w:rsidR="000B3303" w:rsidRPr="000B3303">
        <w:rPr>
          <w:rFonts w:ascii="Tahoma" w:hAnsi="Tahoma" w:cs="Tahoma"/>
          <w:sz w:val="20"/>
          <w:szCs w:val="20"/>
        </w:rPr>
        <w:t>y</w:t>
      </w:r>
      <w:r w:rsidR="003119A8" w:rsidRPr="000B3303">
        <w:rPr>
          <w:rFonts w:ascii="Tahoma" w:hAnsi="Tahoma" w:cs="Tahoma"/>
          <w:sz w:val="20"/>
          <w:szCs w:val="20"/>
        </w:rPr>
        <w:t xml:space="preserve"> byl rozdíl zdůvodněn administrativní chyb</w:t>
      </w:r>
      <w:r w:rsidR="000B3303" w:rsidRPr="000B3303">
        <w:rPr>
          <w:rFonts w:ascii="Tahoma" w:hAnsi="Tahoma" w:cs="Tahoma"/>
          <w:sz w:val="20"/>
          <w:szCs w:val="20"/>
        </w:rPr>
        <w:t>o</w:t>
      </w:r>
      <w:r w:rsidR="00FD1267">
        <w:rPr>
          <w:rFonts w:ascii="Tahoma" w:hAnsi="Tahoma" w:cs="Tahoma"/>
          <w:sz w:val="20"/>
          <w:szCs w:val="20"/>
        </w:rPr>
        <w:t>u a</w:t>
      </w:r>
      <w:r w:rsidR="003119A8" w:rsidRPr="000B3303">
        <w:rPr>
          <w:rFonts w:ascii="Tahoma" w:hAnsi="Tahoma" w:cs="Tahoma"/>
          <w:sz w:val="20"/>
          <w:szCs w:val="20"/>
        </w:rPr>
        <w:t xml:space="preserve"> u </w:t>
      </w:r>
      <w:r w:rsidR="00FD1267">
        <w:rPr>
          <w:rFonts w:ascii="Tahoma" w:hAnsi="Tahoma" w:cs="Tahoma"/>
          <w:sz w:val="20"/>
          <w:szCs w:val="20"/>
        </w:rPr>
        <w:t>druhé</w:t>
      </w:r>
      <w:r w:rsidR="003119A8" w:rsidRPr="000B3303">
        <w:rPr>
          <w:rFonts w:ascii="Tahoma" w:hAnsi="Tahoma" w:cs="Tahoma"/>
          <w:sz w:val="20"/>
          <w:szCs w:val="20"/>
        </w:rPr>
        <w:t xml:space="preserve"> sociální služb</w:t>
      </w:r>
      <w:r w:rsidR="000B3303" w:rsidRPr="000B3303">
        <w:rPr>
          <w:rFonts w:ascii="Tahoma" w:hAnsi="Tahoma" w:cs="Tahoma"/>
          <w:sz w:val="20"/>
          <w:szCs w:val="20"/>
        </w:rPr>
        <w:t>y</w:t>
      </w:r>
      <w:r w:rsidR="003119A8" w:rsidRPr="000B3303">
        <w:rPr>
          <w:rFonts w:ascii="Tahoma" w:hAnsi="Tahoma" w:cs="Tahoma"/>
          <w:sz w:val="20"/>
          <w:szCs w:val="20"/>
        </w:rPr>
        <w:t xml:space="preserve"> doš</w:t>
      </w:r>
      <w:r w:rsidR="00FD1267">
        <w:rPr>
          <w:rFonts w:ascii="Tahoma" w:hAnsi="Tahoma" w:cs="Tahoma"/>
          <w:sz w:val="20"/>
          <w:szCs w:val="20"/>
        </w:rPr>
        <w:t>lo ke snížení požadované dotace.</w:t>
      </w:r>
    </w:p>
    <w:p w14:paraId="030AAFF6" w14:textId="77777777" w:rsidR="008F4676" w:rsidRPr="000B3303" w:rsidRDefault="008F4676" w:rsidP="008F4676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4C0D341A" w14:textId="77777777" w:rsidR="002C34B5" w:rsidRPr="008C5F8D" w:rsidRDefault="002C34B5" w:rsidP="002C34B5">
      <w:pPr>
        <w:pStyle w:val="Odstavecseseznamem"/>
        <w:numPr>
          <w:ilvl w:val="0"/>
          <w:numId w:val="1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b/>
          <w:sz w:val="20"/>
          <w:szCs w:val="20"/>
        </w:rPr>
        <w:t>Zhodnocení zajištění dalších zdrojů financování</w:t>
      </w:r>
      <w:r w:rsidRPr="008C5F8D">
        <w:rPr>
          <w:rFonts w:ascii="Tahoma" w:hAnsi="Tahoma" w:cs="Tahoma"/>
          <w:sz w:val="20"/>
          <w:szCs w:val="20"/>
        </w:rPr>
        <w:t xml:space="preserve"> sociální služby zejména vzhledem k druhu sociální služby a právní formě poskytovatele sociální služby</w:t>
      </w:r>
    </w:p>
    <w:p w14:paraId="3194AB15" w14:textId="31A11CAA" w:rsidR="002C34B5" w:rsidRPr="008C5F8D" w:rsidRDefault="002C34B5" w:rsidP="002C34B5">
      <w:pPr>
        <w:pStyle w:val="Odstavecseseznamem"/>
        <w:numPr>
          <w:ilvl w:val="0"/>
          <w:numId w:val="2"/>
        </w:numPr>
        <w:tabs>
          <w:tab w:val="left" w:pos="1560"/>
        </w:tabs>
        <w:spacing w:after="200" w:line="276" w:lineRule="auto"/>
        <w:ind w:left="1560" w:hanging="284"/>
        <w:jc w:val="both"/>
        <w:rPr>
          <w:rFonts w:ascii="Tahoma" w:hAnsi="Tahoma" w:cs="Tahoma"/>
          <w:b/>
          <w:sz w:val="20"/>
          <w:szCs w:val="20"/>
        </w:rPr>
      </w:pPr>
      <w:r w:rsidRPr="008C5F8D">
        <w:rPr>
          <w:rFonts w:ascii="Tahoma" w:hAnsi="Tahoma" w:cs="Tahoma"/>
          <w:b/>
          <w:sz w:val="20"/>
          <w:szCs w:val="20"/>
        </w:rPr>
        <w:t>Úhrady uživatelů</w:t>
      </w:r>
      <w:r w:rsidRPr="008C5F8D">
        <w:rPr>
          <w:rFonts w:ascii="Tahoma" w:hAnsi="Tahoma" w:cs="Tahoma"/>
          <w:sz w:val="20"/>
          <w:szCs w:val="20"/>
        </w:rPr>
        <w:t xml:space="preserve"> –</w:t>
      </w:r>
      <w:r w:rsidR="0060251C">
        <w:rPr>
          <w:rFonts w:ascii="Tahoma" w:hAnsi="Tahoma" w:cs="Tahoma"/>
          <w:sz w:val="20"/>
          <w:szCs w:val="20"/>
        </w:rPr>
        <w:t xml:space="preserve"> </w:t>
      </w:r>
      <w:r w:rsidRPr="008C5F8D">
        <w:rPr>
          <w:rFonts w:ascii="Tahoma" w:hAnsi="Tahoma" w:cs="Tahoma"/>
          <w:sz w:val="20"/>
          <w:szCs w:val="20"/>
        </w:rPr>
        <w:t>mi</w:t>
      </w:r>
      <w:r w:rsidR="0060251C">
        <w:rPr>
          <w:rFonts w:ascii="Tahoma" w:hAnsi="Tahoma" w:cs="Tahoma"/>
          <w:sz w:val="20"/>
          <w:szCs w:val="20"/>
        </w:rPr>
        <w:t>nimální výše úhrad od uživatelů</w:t>
      </w:r>
      <w:r w:rsidRPr="008C5F8D">
        <w:rPr>
          <w:rFonts w:ascii="Tahoma" w:hAnsi="Tahoma" w:cs="Tahoma"/>
          <w:sz w:val="20"/>
          <w:szCs w:val="20"/>
        </w:rPr>
        <w:t xml:space="preserve"> </w:t>
      </w:r>
      <w:r w:rsidR="0060251C">
        <w:rPr>
          <w:rFonts w:ascii="Tahoma" w:hAnsi="Tahoma" w:cs="Tahoma"/>
          <w:sz w:val="20"/>
          <w:szCs w:val="20"/>
        </w:rPr>
        <w:t>byly naplněny</w:t>
      </w:r>
    </w:p>
    <w:p w14:paraId="2F7402BF" w14:textId="6E7CB0A6" w:rsidR="002C34B5" w:rsidRPr="008C5F8D" w:rsidRDefault="002C34B5" w:rsidP="00B63D05">
      <w:pPr>
        <w:pStyle w:val="Odstavecseseznamem"/>
        <w:numPr>
          <w:ilvl w:val="0"/>
          <w:numId w:val="2"/>
        </w:numPr>
        <w:tabs>
          <w:tab w:val="left" w:pos="1560"/>
        </w:tabs>
        <w:spacing w:after="200" w:line="276" w:lineRule="auto"/>
        <w:ind w:left="1560" w:hanging="284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b/>
          <w:sz w:val="20"/>
          <w:szCs w:val="20"/>
        </w:rPr>
        <w:t>Úhrady z veřejného zdravotního pojištění</w:t>
      </w:r>
      <w:r w:rsidRPr="008C5F8D">
        <w:rPr>
          <w:rFonts w:ascii="Tahoma" w:hAnsi="Tahoma" w:cs="Tahoma"/>
          <w:sz w:val="20"/>
          <w:szCs w:val="20"/>
        </w:rPr>
        <w:t xml:space="preserve"> – </w:t>
      </w:r>
      <w:r w:rsidR="0060251C">
        <w:rPr>
          <w:rFonts w:ascii="Tahoma" w:hAnsi="Tahoma" w:cs="Tahoma"/>
          <w:sz w:val="20"/>
          <w:szCs w:val="20"/>
        </w:rPr>
        <w:t>úhrady byly naplněny</w:t>
      </w:r>
    </w:p>
    <w:p w14:paraId="109A231F" w14:textId="77777777" w:rsidR="002C34B5" w:rsidRPr="008C5F8D" w:rsidRDefault="002C34B5" w:rsidP="002C34B5">
      <w:pPr>
        <w:pStyle w:val="Odstavecseseznamem"/>
        <w:tabs>
          <w:tab w:val="left" w:pos="993"/>
        </w:tabs>
        <w:ind w:left="993" w:hanging="284"/>
        <w:jc w:val="both"/>
        <w:rPr>
          <w:rFonts w:ascii="Tahoma" w:hAnsi="Tahoma" w:cs="Tahoma"/>
          <w:sz w:val="20"/>
          <w:szCs w:val="20"/>
        </w:rPr>
      </w:pPr>
    </w:p>
    <w:p w14:paraId="73DBA8EB" w14:textId="1F806F22" w:rsidR="002C34B5" w:rsidRDefault="002C34B5" w:rsidP="002C34B5">
      <w:pPr>
        <w:pStyle w:val="Odstavecseseznamem"/>
        <w:numPr>
          <w:ilvl w:val="0"/>
          <w:numId w:val="1"/>
        </w:numPr>
        <w:tabs>
          <w:tab w:val="left" w:pos="993"/>
        </w:tabs>
        <w:spacing w:before="120"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9F0BB7">
        <w:rPr>
          <w:rFonts w:ascii="Tahoma" w:hAnsi="Tahoma" w:cs="Tahoma"/>
          <w:b/>
          <w:sz w:val="20"/>
          <w:szCs w:val="20"/>
        </w:rPr>
        <w:t>Výpočet optimálního návrhu dotace</w:t>
      </w:r>
      <w:r w:rsidRPr="009F0BB7">
        <w:rPr>
          <w:rFonts w:ascii="Tahoma" w:hAnsi="Tahoma" w:cs="Tahoma"/>
          <w:sz w:val="20"/>
          <w:szCs w:val="20"/>
        </w:rPr>
        <w:t xml:space="preserve"> – </w:t>
      </w:r>
      <w:r w:rsidR="009F0BB7" w:rsidRPr="009F0BB7">
        <w:rPr>
          <w:rFonts w:ascii="Tahoma" w:hAnsi="Tahoma" w:cs="Tahoma"/>
          <w:sz w:val="20"/>
          <w:szCs w:val="20"/>
        </w:rPr>
        <w:t>žádosti neobsahoval</w:t>
      </w:r>
      <w:r w:rsidR="004B7F05">
        <w:rPr>
          <w:rFonts w:ascii="Tahoma" w:hAnsi="Tahoma" w:cs="Tahoma"/>
          <w:sz w:val="20"/>
          <w:szCs w:val="20"/>
        </w:rPr>
        <w:t>y</w:t>
      </w:r>
      <w:r w:rsidR="009F0BB7" w:rsidRPr="009F0BB7">
        <w:rPr>
          <w:rFonts w:ascii="Tahoma" w:hAnsi="Tahoma" w:cs="Tahoma"/>
          <w:sz w:val="20"/>
          <w:szCs w:val="20"/>
        </w:rPr>
        <w:t xml:space="preserve"> neuznatelné a</w:t>
      </w:r>
      <w:r w:rsidR="004B7F05">
        <w:rPr>
          <w:rFonts w:ascii="Tahoma" w:hAnsi="Tahoma" w:cs="Tahoma"/>
          <w:sz w:val="20"/>
          <w:szCs w:val="20"/>
        </w:rPr>
        <w:t> </w:t>
      </w:r>
      <w:r w:rsidRPr="009F0BB7">
        <w:rPr>
          <w:rFonts w:ascii="Tahoma" w:hAnsi="Tahoma" w:cs="Tahoma"/>
          <w:sz w:val="20"/>
          <w:szCs w:val="20"/>
        </w:rPr>
        <w:t>nadhodnocené náklady</w:t>
      </w:r>
      <w:r w:rsidR="009F0BB7" w:rsidRPr="009F0BB7">
        <w:rPr>
          <w:rFonts w:ascii="Tahoma" w:hAnsi="Tahoma" w:cs="Tahoma"/>
          <w:sz w:val="20"/>
          <w:szCs w:val="20"/>
        </w:rPr>
        <w:t xml:space="preserve">, proto byl optimální návrh stanoven na úrovni požadavku </w:t>
      </w:r>
      <w:r w:rsidR="009F0BB7" w:rsidRPr="00BE1847">
        <w:rPr>
          <w:rFonts w:ascii="Tahoma" w:hAnsi="Tahoma" w:cs="Tahoma"/>
          <w:sz w:val="20"/>
          <w:szCs w:val="20"/>
        </w:rPr>
        <w:t>zaokrouhleného na tisícikoruny dolů v souladu s článkem</w:t>
      </w:r>
      <w:r w:rsidRPr="00BE1847">
        <w:rPr>
          <w:rFonts w:ascii="Tahoma" w:hAnsi="Tahoma" w:cs="Tahoma"/>
          <w:sz w:val="20"/>
          <w:szCs w:val="20"/>
        </w:rPr>
        <w:t xml:space="preserve"> V</w:t>
      </w:r>
      <w:r w:rsidR="00BE1847" w:rsidRPr="00BE1847">
        <w:rPr>
          <w:rFonts w:ascii="Tahoma" w:hAnsi="Tahoma" w:cs="Tahoma"/>
          <w:sz w:val="20"/>
          <w:szCs w:val="20"/>
        </w:rPr>
        <w:t>III odst. 4</w:t>
      </w:r>
      <w:r w:rsidRPr="00BE1847">
        <w:rPr>
          <w:rFonts w:ascii="Tahoma" w:hAnsi="Tahoma" w:cs="Tahoma"/>
          <w:sz w:val="20"/>
          <w:szCs w:val="20"/>
        </w:rPr>
        <w:t xml:space="preserve"> Podmínek</w:t>
      </w:r>
      <w:r w:rsidR="00BE1847" w:rsidRPr="00BE1847">
        <w:rPr>
          <w:rFonts w:ascii="Tahoma" w:hAnsi="Tahoma" w:cs="Tahoma"/>
          <w:sz w:val="20"/>
          <w:szCs w:val="20"/>
        </w:rPr>
        <w:t>.</w:t>
      </w:r>
      <w:r w:rsidRPr="009F0BB7">
        <w:rPr>
          <w:rFonts w:ascii="Tahoma" w:hAnsi="Tahoma" w:cs="Tahoma"/>
          <w:sz w:val="20"/>
          <w:szCs w:val="20"/>
        </w:rPr>
        <w:t xml:space="preserve"> </w:t>
      </w:r>
    </w:p>
    <w:p w14:paraId="089ECB4A" w14:textId="77777777" w:rsidR="009F0BB7" w:rsidRPr="009F0BB7" w:rsidRDefault="009F0BB7" w:rsidP="009F0BB7">
      <w:pPr>
        <w:pStyle w:val="Odstavecseseznamem"/>
        <w:tabs>
          <w:tab w:val="left" w:pos="993"/>
        </w:tabs>
        <w:spacing w:before="120"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4CEC3023" w14:textId="77777777" w:rsidR="002C34B5" w:rsidRPr="008C5F8D" w:rsidRDefault="002C34B5" w:rsidP="002C34B5">
      <w:pPr>
        <w:pStyle w:val="Odstavecseseznamem"/>
        <w:numPr>
          <w:ilvl w:val="0"/>
          <w:numId w:val="1"/>
        </w:numPr>
        <w:tabs>
          <w:tab w:val="left" w:pos="993"/>
        </w:tabs>
        <w:spacing w:before="120"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b/>
          <w:sz w:val="20"/>
          <w:szCs w:val="20"/>
        </w:rPr>
        <w:t>Výpočet návrhu dotace pro služby nově vzniklé nebo dosud z veřejných zdrojů nefinancované a návrhu dotace pro navýšení kapacity</w:t>
      </w:r>
    </w:p>
    <w:p w14:paraId="1BFF96CB" w14:textId="77777777" w:rsidR="002C34B5" w:rsidRPr="008C5F8D" w:rsidRDefault="002C34B5" w:rsidP="002C34B5">
      <w:pPr>
        <w:ind w:left="993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Výpočet byl proveden </w:t>
      </w:r>
      <w:r w:rsidRPr="00F952A0">
        <w:rPr>
          <w:rFonts w:ascii="Tahoma" w:hAnsi="Tahoma" w:cs="Tahoma"/>
          <w:sz w:val="20"/>
          <w:szCs w:val="20"/>
        </w:rPr>
        <w:t>dle článku VIII odst. 5 písm. b) Podmínek</w:t>
      </w:r>
      <w:r w:rsidRPr="008C5F8D">
        <w:rPr>
          <w:rFonts w:ascii="Tahoma" w:hAnsi="Tahoma" w:cs="Tahoma"/>
          <w:sz w:val="20"/>
          <w:szCs w:val="20"/>
        </w:rPr>
        <w:t xml:space="preserve"> dotačního programu, kdy</w:t>
      </w:r>
      <w:r w:rsidR="004726EF" w:rsidRPr="008C5F8D">
        <w:rPr>
          <w:rFonts w:ascii="Tahoma" w:hAnsi="Tahoma" w:cs="Tahoma"/>
          <w:sz w:val="20"/>
          <w:szCs w:val="20"/>
        </w:rPr>
        <w:t> </w:t>
      </w:r>
      <w:r w:rsidRPr="008C5F8D">
        <w:rPr>
          <w:rFonts w:ascii="Tahoma" w:hAnsi="Tahoma" w:cs="Tahoma"/>
          <w:sz w:val="20"/>
          <w:szCs w:val="20"/>
        </w:rPr>
        <w:t xml:space="preserve">byla pro každý druh služeb vypočtena průměrná výše dotace na úvazek/lůžko (průměrný náklad na úvazek/lůžko násobený průměrným procentem dotace v daném druhu služeb). Pro konkrétní službu byla následně průměrná výše dotace na úvazek/lůžko násobena počtem úvazků/lůžek zařazených v Krajské </w:t>
      </w:r>
      <w:r w:rsidR="00FD1267">
        <w:rPr>
          <w:rFonts w:ascii="Tahoma" w:hAnsi="Tahoma" w:cs="Tahoma"/>
          <w:sz w:val="20"/>
          <w:szCs w:val="20"/>
        </w:rPr>
        <w:t xml:space="preserve">základní </w:t>
      </w:r>
      <w:r w:rsidRPr="008C5F8D">
        <w:rPr>
          <w:rFonts w:ascii="Tahoma" w:hAnsi="Tahoma" w:cs="Tahoma"/>
          <w:sz w:val="20"/>
          <w:szCs w:val="20"/>
        </w:rPr>
        <w:t>síti.</w:t>
      </w:r>
    </w:p>
    <w:p w14:paraId="3748A8B0" w14:textId="77777777" w:rsidR="005274BD" w:rsidRPr="008C5F8D" w:rsidRDefault="002C34B5" w:rsidP="005B0B3E">
      <w:pPr>
        <w:ind w:left="993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Takto vypočtená částka byla snížena </w:t>
      </w:r>
      <w:r w:rsidRPr="00A51B8B">
        <w:rPr>
          <w:rFonts w:ascii="Tahoma" w:hAnsi="Tahoma" w:cs="Tahoma"/>
          <w:sz w:val="20"/>
          <w:szCs w:val="20"/>
        </w:rPr>
        <w:t>o 10 % s</w:t>
      </w:r>
      <w:r w:rsidRPr="008C5F8D">
        <w:rPr>
          <w:rFonts w:ascii="Tahoma" w:hAnsi="Tahoma" w:cs="Tahoma"/>
          <w:sz w:val="20"/>
          <w:szCs w:val="20"/>
        </w:rPr>
        <w:t> ohledem na požadavek zajištění vícezdrojového financování sociálních služeb a limitována maximální výší na úrovni optimálního návrhu pro jednotlivé služby.</w:t>
      </w:r>
      <w:r w:rsidR="005B0B3E" w:rsidRPr="008C5F8D">
        <w:rPr>
          <w:rFonts w:ascii="Tahoma" w:hAnsi="Tahoma" w:cs="Tahoma"/>
          <w:sz w:val="20"/>
          <w:szCs w:val="20"/>
        </w:rPr>
        <w:t xml:space="preserve"> </w:t>
      </w:r>
    </w:p>
    <w:p w14:paraId="797C3197" w14:textId="77777777" w:rsidR="00FD1267" w:rsidRDefault="00FD1267" w:rsidP="003119A8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2C875CE7" w14:textId="3DDDB85F" w:rsidR="003119A8" w:rsidRPr="00FD1267" w:rsidRDefault="003119A8" w:rsidP="003119A8">
      <w:pPr>
        <w:spacing w:after="120"/>
        <w:jc w:val="both"/>
        <w:rPr>
          <w:rFonts w:ascii="Tahoma" w:hAnsi="Tahoma" w:cs="Tahoma"/>
          <w:sz w:val="20"/>
          <w:szCs w:val="20"/>
          <w:highlight w:val="yellow"/>
        </w:rPr>
      </w:pPr>
      <w:r w:rsidRPr="00BE1847">
        <w:rPr>
          <w:rFonts w:ascii="Tahoma" w:hAnsi="Tahoma" w:cs="Tahoma"/>
          <w:sz w:val="20"/>
          <w:szCs w:val="20"/>
        </w:rPr>
        <w:t xml:space="preserve">Žádosti uvedené v bodě </w:t>
      </w:r>
      <w:r w:rsidRPr="000528AF">
        <w:rPr>
          <w:rFonts w:ascii="Tahoma" w:hAnsi="Tahoma" w:cs="Tahoma"/>
          <w:b/>
          <w:sz w:val="20"/>
          <w:szCs w:val="20"/>
        </w:rPr>
        <w:t>c)</w:t>
      </w:r>
      <w:r w:rsidRPr="00BE1847">
        <w:rPr>
          <w:rFonts w:ascii="Tahoma" w:hAnsi="Tahoma" w:cs="Tahoma"/>
          <w:sz w:val="20"/>
          <w:szCs w:val="20"/>
        </w:rPr>
        <w:t xml:space="preserve"> byly posouzeny dle článku VIII Podmínek následujícího postupu:</w:t>
      </w:r>
      <w:r w:rsidR="00FD1267" w:rsidRPr="00BE1847">
        <w:rPr>
          <w:rFonts w:ascii="Tahoma" w:hAnsi="Tahoma" w:cs="Tahoma"/>
          <w:sz w:val="20"/>
          <w:szCs w:val="20"/>
        </w:rPr>
        <w:t xml:space="preserve"> </w:t>
      </w:r>
    </w:p>
    <w:p w14:paraId="6003C4E3" w14:textId="77777777" w:rsidR="003119A8" w:rsidRPr="00BE1847" w:rsidRDefault="003119A8" w:rsidP="003119A8">
      <w:pPr>
        <w:pStyle w:val="Odstavecseseznamem"/>
        <w:numPr>
          <w:ilvl w:val="0"/>
          <w:numId w:val="29"/>
        </w:numPr>
        <w:spacing w:after="200" w:line="276" w:lineRule="auto"/>
        <w:ind w:left="709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E1847">
        <w:rPr>
          <w:rFonts w:ascii="Tahoma" w:hAnsi="Tahoma" w:cs="Tahoma"/>
          <w:b/>
          <w:sz w:val="20"/>
          <w:szCs w:val="20"/>
        </w:rPr>
        <w:t>Vyjádření potřebnosti sociální služby</w:t>
      </w:r>
      <w:r w:rsidRPr="00BE1847">
        <w:rPr>
          <w:rFonts w:ascii="Tahoma" w:hAnsi="Tahoma" w:cs="Tahoma"/>
          <w:sz w:val="20"/>
          <w:szCs w:val="20"/>
        </w:rPr>
        <w:t xml:space="preserve"> – posouzení, zda poskytování služby je či není v souladu se Střednědobým plánem rozvoje sociálních služeb v Moravskoslezském kraji na léta 2015 – 2020 (dále jen „SPRSS MSK“). Sociální služby zařazené do Krajské základní sítě jsou v souladu se SPRSS MSK a jsou navrženy k podpoře.</w:t>
      </w:r>
    </w:p>
    <w:p w14:paraId="0BA5106F" w14:textId="77777777" w:rsidR="003119A8" w:rsidRPr="00BE1847" w:rsidRDefault="003119A8" w:rsidP="003119A8">
      <w:pPr>
        <w:pStyle w:val="Odstavecseseznamem"/>
        <w:numPr>
          <w:ilvl w:val="0"/>
          <w:numId w:val="29"/>
        </w:numPr>
        <w:spacing w:after="12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BE1847">
        <w:rPr>
          <w:rFonts w:ascii="Tahoma" w:hAnsi="Tahoma" w:cs="Tahoma"/>
          <w:b/>
          <w:sz w:val="20"/>
          <w:szCs w:val="20"/>
        </w:rPr>
        <w:t>Zhodnocení přiměřenosti a hospodárnosti rozpočtu sociální služby, požadavku na dotaci a vymezení neuznatelných nákladů zahrnutých v požadavku na dotaci</w:t>
      </w:r>
      <w:r w:rsidRPr="00BE1847">
        <w:rPr>
          <w:rFonts w:ascii="Tahoma" w:hAnsi="Tahoma" w:cs="Tahoma"/>
          <w:sz w:val="20"/>
          <w:szCs w:val="20"/>
        </w:rPr>
        <w:t xml:space="preserve"> </w:t>
      </w:r>
    </w:p>
    <w:p w14:paraId="56742F3D" w14:textId="1CEA8FA8" w:rsidR="003119A8" w:rsidRPr="00BE1847" w:rsidRDefault="003119A8" w:rsidP="003119A8">
      <w:pPr>
        <w:pStyle w:val="Odstavecseseznamem"/>
        <w:numPr>
          <w:ilvl w:val="1"/>
          <w:numId w:val="30"/>
        </w:numPr>
        <w:spacing w:before="120" w:after="120" w:line="276" w:lineRule="auto"/>
        <w:ind w:left="1559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E1847">
        <w:rPr>
          <w:rFonts w:ascii="Tahoma" w:hAnsi="Tahoma" w:cs="Tahoma"/>
          <w:sz w:val="20"/>
          <w:szCs w:val="20"/>
        </w:rPr>
        <w:t xml:space="preserve">kontrola souladu kapacity s Krajskou </w:t>
      </w:r>
      <w:r w:rsidR="00B5099B" w:rsidRPr="00BE1847">
        <w:rPr>
          <w:rFonts w:ascii="Tahoma" w:hAnsi="Tahoma" w:cs="Tahoma"/>
          <w:sz w:val="20"/>
          <w:szCs w:val="20"/>
        </w:rPr>
        <w:t xml:space="preserve">základní </w:t>
      </w:r>
      <w:r w:rsidRPr="00BE1847">
        <w:rPr>
          <w:rFonts w:ascii="Tahoma" w:hAnsi="Tahoma" w:cs="Tahoma"/>
          <w:sz w:val="20"/>
          <w:szCs w:val="20"/>
        </w:rPr>
        <w:t xml:space="preserve">sítí sociálních služeb – </w:t>
      </w:r>
      <w:r w:rsidR="00C75950" w:rsidRPr="00BE1847">
        <w:rPr>
          <w:rFonts w:ascii="Tahoma" w:hAnsi="Tahoma" w:cs="Tahoma"/>
          <w:sz w:val="20"/>
          <w:szCs w:val="20"/>
        </w:rPr>
        <w:t xml:space="preserve">jedna žádost byla podána v tzv. koridoru Krajské základní sítě a druhá žádost byla podána pod tento koridor. </w:t>
      </w:r>
      <w:proofErr w:type="gramStart"/>
      <w:r w:rsidR="00C75950" w:rsidRPr="00BE1847">
        <w:rPr>
          <w:rFonts w:ascii="Tahoma" w:hAnsi="Tahoma" w:cs="Tahoma"/>
          <w:sz w:val="20"/>
          <w:szCs w:val="20"/>
        </w:rPr>
        <w:t>Služb</w:t>
      </w:r>
      <w:r w:rsidR="0020511F" w:rsidRPr="00BE1847">
        <w:rPr>
          <w:rFonts w:ascii="Tahoma" w:hAnsi="Tahoma" w:cs="Tahoma"/>
          <w:sz w:val="20"/>
          <w:szCs w:val="20"/>
        </w:rPr>
        <w:t>ě</w:t>
      </w:r>
      <w:r w:rsidR="00C75950" w:rsidRPr="00BE1847">
        <w:rPr>
          <w:rFonts w:ascii="Tahoma" w:hAnsi="Tahoma" w:cs="Tahoma"/>
          <w:sz w:val="20"/>
          <w:szCs w:val="20"/>
        </w:rPr>
        <w:t>, která</w:t>
      </w:r>
      <w:proofErr w:type="gramEnd"/>
      <w:r w:rsidR="00C75950" w:rsidRPr="00BE1847">
        <w:rPr>
          <w:rFonts w:ascii="Tahoma" w:hAnsi="Tahoma" w:cs="Tahoma"/>
          <w:sz w:val="20"/>
          <w:szCs w:val="20"/>
        </w:rPr>
        <w:t xml:space="preserve"> nepodala v žádost v koridoru bude </w:t>
      </w:r>
      <w:r w:rsidR="0020511F" w:rsidRPr="00BE1847">
        <w:rPr>
          <w:rFonts w:ascii="Tahoma" w:hAnsi="Tahoma" w:cs="Tahoma"/>
          <w:sz w:val="20"/>
          <w:szCs w:val="20"/>
        </w:rPr>
        <w:t xml:space="preserve">v případě přidělení dotace </w:t>
      </w:r>
      <w:r w:rsidR="00C75950" w:rsidRPr="00BE1847">
        <w:rPr>
          <w:rFonts w:ascii="Tahoma" w:hAnsi="Tahoma" w:cs="Tahoma"/>
          <w:sz w:val="20"/>
          <w:szCs w:val="20"/>
        </w:rPr>
        <w:t xml:space="preserve">v rámci Oznámení o poskytnutí dotace zaslána </w:t>
      </w:r>
      <w:proofErr w:type="gramStart"/>
      <w:r w:rsidR="00C75950" w:rsidRPr="00BE1847">
        <w:rPr>
          <w:rFonts w:ascii="Tahoma" w:hAnsi="Tahoma" w:cs="Tahoma"/>
          <w:sz w:val="20"/>
          <w:szCs w:val="20"/>
        </w:rPr>
        <w:t>informace, že</w:t>
      </w:r>
      <w:proofErr w:type="gramEnd"/>
      <w:r w:rsidR="00C75950" w:rsidRPr="00BE1847">
        <w:rPr>
          <w:rFonts w:ascii="Tahoma" w:hAnsi="Tahoma" w:cs="Tahoma"/>
          <w:sz w:val="20"/>
          <w:szCs w:val="20"/>
        </w:rPr>
        <w:t xml:space="preserve"> je nutné dodržet kapacitu zařazenou v Krajské základní síti.</w:t>
      </w:r>
    </w:p>
    <w:p w14:paraId="42452ADA" w14:textId="05DABC18" w:rsidR="003119A8" w:rsidRPr="00BE1847" w:rsidRDefault="00B5099B" w:rsidP="003119A8">
      <w:pPr>
        <w:pStyle w:val="Odstavecseseznamem"/>
        <w:numPr>
          <w:ilvl w:val="1"/>
          <w:numId w:val="30"/>
        </w:numPr>
        <w:spacing w:before="120" w:after="120" w:line="276" w:lineRule="auto"/>
        <w:ind w:left="1559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E1847">
        <w:rPr>
          <w:rFonts w:ascii="Tahoma" w:hAnsi="Tahoma" w:cs="Tahoma"/>
          <w:sz w:val="20"/>
          <w:szCs w:val="20"/>
        </w:rPr>
        <w:t>K</w:t>
      </w:r>
      <w:r w:rsidR="003119A8" w:rsidRPr="00BE1847">
        <w:rPr>
          <w:rFonts w:ascii="Tahoma" w:hAnsi="Tahoma" w:cs="Tahoma"/>
          <w:sz w:val="20"/>
          <w:szCs w:val="20"/>
        </w:rPr>
        <w:t>ontrola</w:t>
      </w:r>
      <w:r w:rsidRPr="00BE1847">
        <w:rPr>
          <w:rFonts w:ascii="Tahoma" w:hAnsi="Tahoma" w:cs="Tahoma"/>
          <w:sz w:val="20"/>
          <w:szCs w:val="20"/>
        </w:rPr>
        <w:t xml:space="preserve"> maximálního meziročního nárůstu</w:t>
      </w:r>
      <w:r w:rsidR="003119A8" w:rsidRPr="00BE1847">
        <w:rPr>
          <w:rFonts w:ascii="Tahoma" w:hAnsi="Tahoma" w:cs="Tahoma"/>
          <w:sz w:val="20"/>
          <w:szCs w:val="20"/>
        </w:rPr>
        <w:t xml:space="preserve"> rozpočtu </w:t>
      </w:r>
      <w:r w:rsidR="00C75950" w:rsidRPr="00BE1847">
        <w:rPr>
          <w:rFonts w:ascii="Tahoma" w:hAnsi="Tahoma" w:cs="Tahoma"/>
          <w:sz w:val="20"/>
          <w:szCs w:val="20"/>
        </w:rPr>
        <w:t>- při nezdůvodněném meziročním nárůstu rozpočtu vyšším než 15 % byl požadavek na dotaci krácen o</w:t>
      </w:r>
      <w:r w:rsidR="00BE1847">
        <w:rPr>
          <w:rFonts w:ascii="Tahoma" w:hAnsi="Tahoma" w:cs="Tahoma"/>
          <w:sz w:val="20"/>
          <w:szCs w:val="20"/>
        </w:rPr>
        <w:t> </w:t>
      </w:r>
      <w:r w:rsidR="00C75950" w:rsidRPr="00BE1847">
        <w:rPr>
          <w:rFonts w:ascii="Tahoma" w:hAnsi="Tahoma" w:cs="Tahoma"/>
          <w:sz w:val="20"/>
          <w:szCs w:val="20"/>
        </w:rPr>
        <w:t>nepřípustné meziroční navýšení.</w:t>
      </w:r>
    </w:p>
    <w:p w14:paraId="7289B20D" w14:textId="77777777" w:rsidR="00B5099B" w:rsidRPr="00BE1847" w:rsidRDefault="00B5099B" w:rsidP="003119A8">
      <w:pPr>
        <w:pStyle w:val="Odstavecseseznamem"/>
        <w:numPr>
          <w:ilvl w:val="1"/>
          <w:numId w:val="30"/>
        </w:numPr>
        <w:spacing w:before="120" w:after="120" w:line="276" w:lineRule="auto"/>
        <w:ind w:left="1559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E1847">
        <w:rPr>
          <w:rFonts w:ascii="Tahoma" w:hAnsi="Tahoma" w:cs="Tahoma"/>
          <w:sz w:val="20"/>
          <w:szCs w:val="20"/>
        </w:rPr>
        <w:t>Posouzení uznatelnosti nákladů a jejich přiměřenosti.</w:t>
      </w:r>
    </w:p>
    <w:p w14:paraId="0AB2FAB2" w14:textId="0BAE7A06" w:rsidR="00B5099B" w:rsidRDefault="00B5099B" w:rsidP="000A0023">
      <w:pPr>
        <w:pStyle w:val="Odstavecseseznamem"/>
        <w:numPr>
          <w:ilvl w:val="0"/>
          <w:numId w:val="29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BE1847">
        <w:rPr>
          <w:rFonts w:ascii="Tahoma" w:hAnsi="Tahoma" w:cs="Tahoma"/>
          <w:b/>
          <w:sz w:val="20"/>
          <w:szCs w:val="20"/>
        </w:rPr>
        <w:lastRenderedPageBreak/>
        <w:t>Zhodnocení zajištění dalších zdrojů financování sociální služby</w:t>
      </w:r>
      <w:r w:rsidRPr="00BE1847">
        <w:rPr>
          <w:rFonts w:ascii="Tahoma" w:hAnsi="Tahoma" w:cs="Tahoma"/>
          <w:sz w:val="20"/>
          <w:szCs w:val="20"/>
        </w:rPr>
        <w:t xml:space="preserve"> zejména vzhledem k druhu sociální služby a právní formě poskytovatele sociální služby</w:t>
      </w:r>
      <w:r w:rsidR="000A0023">
        <w:rPr>
          <w:rFonts w:ascii="Tahoma" w:hAnsi="Tahoma" w:cs="Tahoma"/>
          <w:sz w:val="20"/>
          <w:szCs w:val="20"/>
        </w:rPr>
        <w:t>.</w:t>
      </w:r>
    </w:p>
    <w:p w14:paraId="3F8BE91C" w14:textId="77777777" w:rsidR="000A0023" w:rsidRPr="000A0023" w:rsidRDefault="000A0023" w:rsidP="000A0023">
      <w:pPr>
        <w:pStyle w:val="Odstavecseseznamem"/>
        <w:spacing w:after="200" w:line="276" w:lineRule="auto"/>
        <w:jc w:val="both"/>
        <w:rPr>
          <w:rFonts w:ascii="Tahoma" w:hAnsi="Tahoma" w:cs="Tahoma"/>
          <w:sz w:val="20"/>
          <w:szCs w:val="20"/>
        </w:rPr>
      </w:pPr>
    </w:p>
    <w:p w14:paraId="0F483A9C" w14:textId="77777777" w:rsidR="00B5099B" w:rsidRPr="00BE1847" w:rsidRDefault="00B5099B" w:rsidP="00B5099B">
      <w:pPr>
        <w:pStyle w:val="Odstavecseseznamem"/>
        <w:numPr>
          <w:ilvl w:val="0"/>
          <w:numId w:val="29"/>
        </w:numPr>
        <w:spacing w:before="240" w:after="20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BE1847">
        <w:rPr>
          <w:rFonts w:ascii="Tahoma" w:hAnsi="Tahoma" w:cs="Tahoma"/>
          <w:b/>
          <w:sz w:val="20"/>
          <w:szCs w:val="20"/>
        </w:rPr>
        <w:t>Výpočet optimálního návrhu dotace</w:t>
      </w:r>
      <w:r w:rsidRPr="00BE1847">
        <w:rPr>
          <w:rFonts w:ascii="Tahoma" w:hAnsi="Tahoma" w:cs="Tahoma"/>
          <w:sz w:val="20"/>
          <w:szCs w:val="20"/>
        </w:rPr>
        <w:t xml:space="preserve"> – požadovaná dotace byla snížena o neuznatelné a nadhodnocené náklady dle článku V Podmínek a o případné další částky dle Podmínek (viz postup výše). </w:t>
      </w:r>
    </w:p>
    <w:p w14:paraId="35A338A2" w14:textId="357E0014" w:rsidR="003119A8" w:rsidRPr="00BE1847" w:rsidRDefault="00B5099B" w:rsidP="0020511F">
      <w:pPr>
        <w:pStyle w:val="Odstavecseseznamem"/>
        <w:numPr>
          <w:ilvl w:val="0"/>
          <w:numId w:val="29"/>
        </w:numPr>
        <w:spacing w:before="240" w:after="200" w:line="276" w:lineRule="auto"/>
        <w:jc w:val="both"/>
        <w:rPr>
          <w:rFonts w:ascii="Tahoma" w:hAnsi="Tahoma" w:cs="Tahoma"/>
          <w:sz w:val="20"/>
          <w:szCs w:val="20"/>
        </w:rPr>
      </w:pPr>
      <w:r w:rsidRPr="00BE1847">
        <w:rPr>
          <w:rFonts w:ascii="Tahoma" w:hAnsi="Tahoma" w:cs="Tahoma"/>
          <w:b/>
          <w:sz w:val="20"/>
          <w:szCs w:val="20"/>
        </w:rPr>
        <w:t>Stanovení minimální výše dotace pro rok 201</w:t>
      </w:r>
      <w:r w:rsidR="00FE069F" w:rsidRPr="00BE1847">
        <w:rPr>
          <w:rFonts w:ascii="Tahoma" w:hAnsi="Tahoma" w:cs="Tahoma"/>
          <w:b/>
          <w:sz w:val="20"/>
          <w:szCs w:val="20"/>
        </w:rPr>
        <w:t>9</w:t>
      </w:r>
      <w:r w:rsidRPr="00BE1847">
        <w:rPr>
          <w:rFonts w:ascii="Tahoma" w:hAnsi="Tahoma" w:cs="Tahoma"/>
          <w:b/>
          <w:sz w:val="20"/>
          <w:szCs w:val="20"/>
        </w:rPr>
        <w:t xml:space="preserve"> pro služby zařazené v Krajské základní síti sociálních služeb v Moravskoslezském kraji  </w:t>
      </w:r>
      <w:r w:rsidRPr="00BE1847">
        <w:rPr>
          <w:rFonts w:ascii="Tahoma" w:hAnsi="Tahoma" w:cs="Tahoma"/>
          <w:sz w:val="20"/>
          <w:szCs w:val="20"/>
        </w:rPr>
        <w:t>- za výchozí hodnotu</w:t>
      </w:r>
      <w:r w:rsidR="009F0BB7" w:rsidRPr="00BE1847">
        <w:rPr>
          <w:rFonts w:ascii="Tahoma" w:hAnsi="Tahoma" w:cs="Tahoma"/>
          <w:sz w:val="20"/>
          <w:szCs w:val="20"/>
        </w:rPr>
        <w:t xml:space="preserve"> byla</w:t>
      </w:r>
      <w:r w:rsidRPr="00BE1847">
        <w:rPr>
          <w:rFonts w:ascii="Tahoma" w:hAnsi="Tahoma" w:cs="Tahoma"/>
          <w:b/>
          <w:sz w:val="20"/>
          <w:szCs w:val="20"/>
        </w:rPr>
        <w:t xml:space="preserve"> </w:t>
      </w:r>
      <w:r w:rsidRPr="00BE1847">
        <w:rPr>
          <w:rFonts w:ascii="Tahoma" w:hAnsi="Tahoma" w:cs="Tahoma"/>
          <w:sz w:val="20"/>
          <w:szCs w:val="20"/>
        </w:rPr>
        <w:t>považována dotace roku 201</w:t>
      </w:r>
      <w:r w:rsidR="00FE069F" w:rsidRPr="00BE1847">
        <w:rPr>
          <w:rFonts w:ascii="Tahoma" w:hAnsi="Tahoma" w:cs="Tahoma"/>
          <w:sz w:val="20"/>
          <w:szCs w:val="20"/>
        </w:rPr>
        <w:t>8</w:t>
      </w:r>
      <w:r w:rsidRPr="00BE1847">
        <w:rPr>
          <w:rFonts w:ascii="Tahoma" w:hAnsi="Tahoma" w:cs="Tahoma"/>
          <w:sz w:val="20"/>
          <w:szCs w:val="20"/>
        </w:rPr>
        <w:t xml:space="preserve"> přiznaná v Programu pro rok 201</w:t>
      </w:r>
      <w:r w:rsidR="00FE069F" w:rsidRPr="00BE1847">
        <w:rPr>
          <w:rFonts w:ascii="Tahoma" w:hAnsi="Tahoma" w:cs="Tahoma"/>
          <w:sz w:val="20"/>
          <w:szCs w:val="20"/>
        </w:rPr>
        <w:t>8</w:t>
      </w:r>
      <w:r w:rsidRPr="00BE1847">
        <w:rPr>
          <w:rFonts w:ascii="Tahoma" w:hAnsi="Tahoma" w:cs="Tahoma"/>
          <w:sz w:val="20"/>
          <w:szCs w:val="20"/>
        </w:rPr>
        <w:t xml:space="preserve"> v řádném kole dotačního řízení</w:t>
      </w:r>
      <w:r w:rsidR="00BE1847">
        <w:rPr>
          <w:rFonts w:ascii="Tahoma" w:hAnsi="Tahoma" w:cs="Tahoma"/>
          <w:sz w:val="20"/>
          <w:szCs w:val="20"/>
        </w:rPr>
        <w:t>.</w:t>
      </w:r>
    </w:p>
    <w:p w14:paraId="40AED8D3" w14:textId="77777777" w:rsidR="009F0BB7" w:rsidRPr="00FD1267" w:rsidRDefault="009F0BB7" w:rsidP="009F0BB7">
      <w:pPr>
        <w:pStyle w:val="Odstavecseseznamem"/>
        <w:spacing w:before="240" w:after="200" w:line="276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3B5A9FB2" w14:textId="10307C14" w:rsidR="00FE069F" w:rsidRPr="000A0023" w:rsidRDefault="003119A8" w:rsidP="000A0023">
      <w:pPr>
        <w:pStyle w:val="Odstavecseseznamem"/>
        <w:numPr>
          <w:ilvl w:val="0"/>
          <w:numId w:val="29"/>
        </w:numPr>
        <w:spacing w:before="120" w:after="20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E1847">
        <w:rPr>
          <w:rFonts w:ascii="Tahoma" w:hAnsi="Tahoma" w:cs="Tahoma"/>
          <w:b/>
          <w:sz w:val="20"/>
          <w:szCs w:val="20"/>
        </w:rPr>
        <w:t xml:space="preserve">Výpočet návrhu dotace </w:t>
      </w:r>
      <w:r w:rsidR="00B5099B" w:rsidRPr="00BE1847">
        <w:rPr>
          <w:rFonts w:ascii="Tahoma" w:hAnsi="Tahoma" w:cs="Tahoma"/>
          <w:b/>
          <w:sz w:val="20"/>
          <w:szCs w:val="20"/>
        </w:rPr>
        <w:t xml:space="preserve">u stávajících služeb </w:t>
      </w:r>
      <w:r w:rsidR="00B5099B" w:rsidRPr="00600467">
        <w:rPr>
          <w:rFonts w:ascii="Tahoma" w:hAnsi="Tahoma" w:cs="Tahoma"/>
          <w:b/>
          <w:sz w:val="20"/>
          <w:szCs w:val="20"/>
        </w:rPr>
        <w:t>financovaných</w:t>
      </w:r>
      <w:r w:rsidR="00B5099B" w:rsidRPr="00BE1847">
        <w:rPr>
          <w:rFonts w:ascii="Tahoma" w:hAnsi="Tahoma" w:cs="Tahoma"/>
          <w:b/>
          <w:sz w:val="20"/>
          <w:szCs w:val="20"/>
        </w:rPr>
        <w:t xml:space="preserve"> v roce 201</w:t>
      </w:r>
      <w:r w:rsidR="00841497">
        <w:rPr>
          <w:rFonts w:ascii="Tahoma" w:hAnsi="Tahoma" w:cs="Tahoma"/>
          <w:b/>
          <w:sz w:val="20"/>
          <w:szCs w:val="20"/>
        </w:rPr>
        <w:t>8</w:t>
      </w:r>
      <w:r w:rsidR="00B5099B" w:rsidRPr="00BE1847">
        <w:rPr>
          <w:rFonts w:ascii="Tahoma" w:hAnsi="Tahoma" w:cs="Tahoma"/>
          <w:b/>
          <w:sz w:val="20"/>
          <w:szCs w:val="20"/>
        </w:rPr>
        <w:t xml:space="preserve"> v rámci Programu na podporu poskytování sociálních služeb, kter</w:t>
      </w:r>
      <w:r w:rsidR="00FE069F" w:rsidRPr="00BE1847">
        <w:rPr>
          <w:rFonts w:ascii="Tahoma" w:hAnsi="Tahoma" w:cs="Tahoma"/>
          <w:b/>
          <w:sz w:val="20"/>
          <w:szCs w:val="20"/>
        </w:rPr>
        <w:t>ý</w:t>
      </w:r>
      <w:r w:rsidR="0020511F" w:rsidRPr="00BE1847">
        <w:rPr>
          <w:rFonts w:ascii="Tahoma" w:hAnsi="Tahoma" w:cs="Tahoma"/>
          <w:b/>
          <w:sz w:val="20"/>
          <w:szCs w:val="20"/>
        </w:rPr>
        <w:t>m</w:t>
      </w:r>
      <w:r w:rsidR="00B5099B" w:rsidRPr="00BE1847">
        <w:rPr>
          <w:rFonts w:ascii="Tahoma" w:hAnsi="Tahoma" w:cs="Tahoma"/>
          <w:b/>
          <w:sz w:val="20"/>
          <w:szCs w:val="20"/>
        </w:rPr>
        <w:t xml:space="preserve"> </w:t>
      </w:r>
      <w:r w:rsidR="00FE069F" w:rsidRPr="00BE1847">
        <w:rPr>
          <w:rFonts w:ascii="Tahoma" w:hAnsi="Tahoma" w:cs="Tahoma"/>
          <w:b/>
          <w:sz w:val="20"/>
          <w:szCs w:val="20"/>
        </w:rPr>
        <w:t xml:space="preserve">nebyla poskytnuta dotace </w:t>
      </w:r>
      <w:r w:rsidR="000A0023">
        <w:rPr>
          <w:rFonts w:ascii="Tahoma" w:hAnsi="Tahoma" w:cs="Tahoma"/>
          <w:b/>
          <w:sz w:val="20"/>
          <w:szCs w:val="20"/>
        </w:rPr>
        <w:t>v řádném kole</w:t>
      </w:r>
    </w:p>
    <w:p w14:paraId="45EF9614" w14:textId="021823D6" w:rsidR="00FE069F" w:rsidRPr="00B23C71" w:rsidRDefault="00FE069F" w:rsidP="00FE069F">
      <w:pPr>
        <w:ind w:left="426"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 xml:space="preserve">Výpočet </w:t>
      </w:r>
      <w:r w:rsidR="00D44388">
        <w:rPr>
          <w:rFonts w:ascii="Tahoma" w:hAnsi="Tahoma" w:cs="Tahoma"/>
          <w:sz w:val="20"/>
          <w:szCs w:val="20"/>
        </w:rPr>
        <w:t>byl</w:t>
      </w:r>
      <w:r w:rsidRPr="00B23C71">
        <w:rPr>
          <w:rFonts w:ascii="Tahoma" w:hAnsi="Tahoma" w:cs="Tahoma"/>
          <w:sz w:val="20"/>
          <w:szCs w:val="20"/>
        </w:rPr>
        <w:t xml:space="preserve"> proveden dle článku VIII odst. 5 písm. a) Podmínek, kdy jsou jednotlivé služby rozděleny do 5 tříd prostřednictvím následujícího mechanismu:</w:t>
      </w:r>
    </w:p>
    <w:p w14:paraId="135D6831" w14:textId="3CCB655A" w:rsidR="00FE069F" w:rsidRPr="00B23C71" w:rsidRDefault="00FE069F" w:rsidP="00FE069F">
      <w:pPr>
        <w:numPr>
          <w:ilvl w:val="0"/>
          <w:numId w:val="33"/>
        </w:numPr>
        <w:spacing w:after="200" w:line="276" w:lineRule="auto"/>
        <w:ind w:left="993"/>
        <w:contextualSpacing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>Pro každou službu jsou vypočteny přepočtené roční náklady – z maximální výše oprávněných provozních nákladů v daném druhu služeb a z počtu úvazků v přímé péči v</w:t>
      </w:r>
      <w:r w:rsidR="00D44388">
        <w:rPr>
          <w:rFonts w:ascii="Tahoma" w:hAnsi="Tahoma" w:cs="Tahoma"/>
          <w:sz w:val="20"/>
          <w:szCs w:val="20"/>
        </w:rPr>
        <w:t> </w:t>
      </w:r>
      <w:r w:rsidRPr="00B23C71">
        <w:rPr>
          <w:rFonts w:ascii="Tahoma" w:hAnsi="Tahoma" w:cs="Tahoma"/>
          <w:sz w:val="20"/>
          <w:szCs w:val="20"/>
        </w:rPr>
        <w:t>konkrétní službě (u pobytových z počtu lůžek) zařazených v Krajské základní síti -  a</w:t>
      </w:r>
      <w:r w:rsidR="00D44388">
        <w:rPr>
          <w:rFonts w:ascii="Tahoma" w:hAnsi="Tahoma" w:cs="Tahoma"/>
          <w:sz w:val="20"/>
          <w:szCs w:val="20"/>
        </w:rPr>
        <w:t> </w:t>
      </w:r>
      <w:r w:rsidRPr="00B23C71">
        <w:rPr>
          <w:rFonts w:ascii="Tahoma" w:hAnsi="Tahoma" w:cs="Tahoma"/>
          <w:sz w:val="20"/>
          <w:szCs w:val="20"/>
        </w:rPr>
        <w:t>k</w:t>
      </w:r>
      <w:r w:rsidR="00D44388">
        <w:rPr>
          <w:rFonts w:ascii="Tahoma" w:hAnsi="Tahoma" w:cs="Tahoma"/>
          <w:sz w:val="20"/>
          <w:szCs w:val="20"/>
        </w:rPr>
        <w:t> </w:t>
      </w:r>
      <w:r w:rsidRPr="00B23C71">
        <w:rPr>
          <w:rFonts w:ascii="Tahoma" w:hAnsi="Tahoma" w:cs="Tahoma"/>
          <w:sz w:val="20"/>
          <w:szCs w:val="20"/>
        </w:rPr>
        <w:t>těmto přepočteným nákladům procento dotace poskytnuté v rámci Programu v</w:t>
      </w:r>
      <w:r w:rsidR="00D44388">
        <w:rPr>
          <w:rFonts w:ascii="Tahoma" w:hAnsi="Tahoma" w:cs="Tahoma"/>
          <w:sz w:val="20"/>
          <w:szCs w:val="20"/>
        </w:rPr>
        <w:t> </w:t>
      </w:r>
      <w:r w:rsidRPr="00B23C71">
        <w:rPr>
          <w:rFonts w:ascii="Tahoma" w:hAnsi="Tahoma" w:cs="Tahoma"/>
          <w:sz w:val="20"/>
          <w:szCs w:val="20"/>
        </w:rPr>
        <w:t>předchozím období.</w:t>
      </w:r>
    </w:p>
    <w:p w14:paraId="0172DB00" w14:textId="77777777" w:rsidR="00FE069F" w:rsidRPr="00B23C71" w:rsidRDefault="00FE069F" w:rsidP="00FE069F">
      <w:pPr>
        <w:numPr>
          <w:ilvl w:val="0"/>
          <w:numId w:val="33"/>
        </w:numPr>
        <w:spacing w:after="200" w:line="276" w:lineRule="auto"/>
        <w:ind w:left="993"/>
        <w:contextualSpacing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>Procento dotace poskytnuté v rámci Programu v r. 2018 vypočtené pro každou službu je porovnáváno s průměrným procentem dotace v daném druhu služby.</w:t>
      </w:r>
    </w:p>
    <w:p w14:paraId="2E482F25" w14:textId="77777777" w:rsidR="00FE069F" w:rsidRPr="00B23C71" w:rsidRDefault="00FE069F" w:rsidP="00FE069F">
      <w:pPr>
        <w:numPr>
          <w:ilvl w:val="0"/>
          <w:numId w:val="33"/>
        </w:numPr>
        <w:spacing w:after="200" w:line="276" w:lineRule="auto"/>
        <w:ind w:left="993"/>
        <w:contextualSpacing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 xml:space="preserve">Na základě zjištěných odchylek jsou stanoveny třídy, kdy služby s nejmenším procentem dotace poskytnuté v rámci Programu v r. 2018 budou zařazeny do třídy 1, služby s největším procentem dotace do třídy 5. </w:t>
      </w:r>
    </w:p>
    <w:p w14:paraId="2245755D" w14:textId="1AEDF923" w:rsidR="00FE069F" w:rsidRPr="00B23C71" w:rsidRDefault="00FE069F" w:rsidP="00FE069F">
      <w:pPr>
        <w:numPr>
          <w:ilvl w:val="0"/>
          <w:numId w:val="33"/>
        </w:numPr>
        <w:spacing w:after="200" w:line="276" w:lineRule="auto"/>
        <w:ind w:left="993"/>
        <w:contextualSpacing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>Služby, které v r. 2018 nebyly podpořeny v rámci dotačního Programu, jsou zařazeny do</w:t>
      </w:r>
      <w:r w:rsidR="00D44388">
        <w:rPr>
          <w:rFonts w:ascii="Tahoma" w:hAnsi="Tahoma" w:cs="Tahoma"/>
          <w:sz w:val="20"/>
          <w:szCs w:val="20"/>
        </w:rPr>
        <w:t> </w:t>
      </w:r>
      <w:r w:rsidRPr="00B23C71">
        <w:rPr>
          <w:rFonts w:ascii="Tahoma" w:hAnsi="Tahoma" w:cs="Tahoma"/>
          <w:sz w:val="20"/>
          <w:szCs w:val="20"/>
        </w:rPr>
        <w:t>třídy 3. Služby, které vznikly rozdělením, jsou zařazeny do tříd dle původní (zaniklé) služby.</w:t>
      </w:r>
    </w:p>
    <w:p w14:paraId="62A9F0D2" w14:textId="77777777" w:rsidR="00B5099B" w:rsidRPr="00FD1267" w:rsidRDefault="00B5099B" w:rsidP="007376AD">
      <w:pPr>
        <w:ind w:left="709"/>
        <w:contextualSpacing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B1BFD10" w14:textId="595F2451" w:rsidR="00FE069F" w:rsidRPr="00BE1847" w:rsidRDefault="00FE069F" w:rsidP="00FE069F">
      <w:pPr>
        <w:ind w:left="284"/>
        <w:jc w:val="both"/>
        <w:rPr>
          <w:rFonts w:ascii="Tahoma" w:hAnsi="Tahoma" w:cs="Tahoma"/>
          <w:sz w:val="20"/>
          <w:szCs w:val="20"/>
        </w:rPr>
      </w:pPr>
      <w:r w:rsidRPr="00BE1847">
        <w:rPr>
          <w:rFonts w:ascii="Tahoma" w:hAnsi="Tahoma" w:cs="Tahoma"/>
          <w:sz w:val="20"/>
          <w:szCs w:val="20"/>
        </w:rPr>
        <w:t xml:space="preserve">Dle rozdělení do tříd je vypočtena dotace pro jednotlivé služby jako minimální výše dotace pro rok 2019 násobená příslušným koeficientem. V závislosti na objemu přidělených finančních prostředků pro r. 2019 </w:t>
      </w:r>
      <w:r w:rsidR="00D44388">
        <w:rPr>
          <w:rFonts w:ascii="Tahoma" w:hAnsi="Tahoma" w:cs="Tahoma"/>
          <w:sz w:val="20"/>
          <w:szCs w:val="20"/>
        </w:rPr>
        <w:t>byly zastupitelstvem kraje</w:t>
      </w:r>
      <w:r w:rsidR="00600467" w:rsidRPr="00600467">
        <w:rPr>
          <w:rFonts w:ascii="Tahoma" w:hAnsi="Tahoma" w:cs="Tahoma"/>
          <w:sz w:val="20"/>
          <w:szCs w:val="20"/>
        </w:rPr>
        <w:t xml:space="preserve"> </w:t>
      </w:r>
      <w:r w:rsidR="00600467" w:rsidRPr="00FD4D0E">
        <w:rPr>
          <w:rFonts w:ascii="Tahoma" w:hAnsi="Tahoma" w:cs="Tahoma"/>
          <w:sz w:val="20"/>
          <w:szCs w:val="20"/>
        </w:rPr>
        <w:t>usnesením č. 11/1361 ze dne 13.</w:t>
      </w:r>
      <w:r w:rsidR="00600467">
        <w:rPr>
          <w:rFonts w:ascii="Tahoma" w:hAnsi="Tahoma" w:cs="Tahoma"/>
          <w:sz w:val="20"/>
          <w:szCs w:val="20"/>
        </w:rPr>
        <w:t> </w:t>
      </w:r>
      <w:r w:rsidR="00600467" w:rsidRPr="00FD4D0E">
        <w:rPr>
          <w:rFonts w:ascii="Tahoma" w:hAnsi="Tahoma" w:cs="Tahoma"/>
          <w:sz w:val="20"/>
          <w:szCs w:val="20"/>
        </w:rPr>
        <w:t>3. 2019</w:t>
      </w:r>
      <w:r w:rsidR="00D44388">
        <w:rPr>
          <w:rFonts w:ascii="Tahoma" w:hAnsi="Tahoma" w:cs="Tahoma"/>
          <w:sz w:val="20"/>
          <w:szCs w:val="20"/>
        </w:rPr>
        <w:t xml:space="preserve"> stanoveny</w:t>
      </w:r>
      <w:r w:rsidRPr="00BE1847">
        <w:rPr>
          <w:rFonts w:ascii="Tahoma" w:hAnsi="Tahoma" w:cs="Tahoma"/>
          <w:sz w:val="20"/>
          <w:szCs w:val="20"/>
        </w:rPr>
        <w:t xml:space="preserve"> následující koeficienty:</w:t>
      </w:r>
    </w:p>
    <w:p w14:paraId="1BC8018B" w14:textId="77777777" w:rsidR="00FE069F" w:rsidRPr="00BE1847" w:rsidRDefault="00FE069F" w:rsidP="00FE069F">
      <w:pPr>
        <w:pStyle w:val="Odstavecseseznamem"/>
        <w:numPr>
          <w:ilvl w:val="0"/>
          <w:numId w:val="34"/>
        </w:numPr>
        <w:tabs>
          <w:tab w:val="left" w:pos="1843"/>
        </w:tabs>
        <w:spacing w:after="200" w:line="276" w:lineRule="auto"/>
        <w:ind w:firstLine="840"/>
        <w:jc w:val="both"/>
        <w:rPr>
          <w:rFonts w:ascii="Tahoma" w:hAnsi="Tahoma" w:cs="Tahoma"/>
          <w:sz w:val="20"/>
          <w:szCs w:val="20"/>
        </w:rPr>
      </w:pPr>
      <w:r w:rsidRPr="00BE1847">
        <w:rPr>
          <w:rFonts w:ascii="Tahoma" w:hAnsi="Tahoma" w:cs="Tahoma"/>
          <w:sz w:val="20"/>
          <w:szCs w:val="20"/>
        </w:rPr>
        <w:t>Třída I</w:t>
      </w:r>
      <w:r w:rsidRPr="00BE1847">
        <w:rPr>
          <w:rFonts w:ascii="Tahoma" w:hAnsi="Tahoma" w:cs="Tahoma"/>
          <w:sz w:val="20"/>
          <w:szCs w:val="20"/>
        </w:rPr>
        <w:tab/>
        <w:t>1,090</w:t>
      </w:r>
    </w:p>
    <w:p w14:paraId="62EFE3D9" w14:textId="77777777" w:rsidR="00FE069F" w:rsidRPr="00BE1847" w:rsidRDefault="00FE069F" w:rsidP="00FE069F">
      <w:pPr>
        <w:pStyle w:val="Odstavecseseznamem"/>
        <w:numPr>
          <w:ilvl w:val="0"/>
          <w:numId w:val="34"/>
        </w:numPr>
        <w:tabs>
          <w:tab w:val="left" w:pos="1843"/>
        </w:tabs>
        <w:spacing w:after="200" w:line="276" w:lineRule="auto"/>
        <w:ind w:firstLine="840"/>
        <w:jc w:val="both"/>
        <w:rPr>
          <w:rFonts w:ascii="Tahoma" w:hAnsi="Tahoma" w:cs="Tahoma"/>
          <w:sz w:val="20"/>
          <w:szCs w:val="20"/>
        </w:rPr>
      </w:pPr>
      <w:r w:rsidRPr="00BE1847">
        <w:rPr>
          <w:rFonts w:ascii="Tahoma" w:hAnsi="Tahoma" w:cs="Tahoma"/>
          <w:sz w:val="20"/>
          <w:szCs w:val="20"/>
        </w:rPr>
        <w:t>Třída II</w:t>
      </w:r>
      <w:r w:rsidRPr="00BE1847">
        <w:rPr>
          <w:rFonts w:ascii="Tahoma" w:hAnsi="Tahoma" w:cs="Tahoma"/>
          <w:sz w:val="20"/>
          <w:szCs w:val="20"/>
        </w:rPr>
        <w:tab/>
        <w:t>1,070</w:t>
      </w:r>
    </w:p>
    <w:p w14:paraId="2804D812" w14:textId="77777777" w:rsidR="00FE069F" w:rsidRPr="00BE1847" w:rsidRDefault="00FE069F" w:rsidP="00FE069F">
      <w:pPr>
        <w:pStyle w:val="Odstavecseseznamem"/>
        <w:numPr>
          <w:ilvl w:val="0"/>
          <w:numId w:val="34"/>
        </w:numPr>
        <w:tabs>
          <w:tab w:val="left" w:pos="1843"/>
        </w:tabs>
        <w:spacing w:after="200" w:line="276" w:lineRule="auto"/>
        <w:ind w:firstLine="840"/>
        <w:jc w:val="both"/>
        <w:rPr>
          <w:rFonts w:ascii="Tahoma" w:hAnsi="Tahoma" w:cs="Tahoma"/>
          <w:sz w:val="20"/>
          <w:szCs w:val="20"/>
        </w:rPr>
      </w:pPr>
      <w:r w:rsidRPr="00BE1847">
        <w:rPr>
          <w:rFonts w:ascii="Tahoma" w:hAnsi="Tahoma" w:cs="Tahoma"/>
          <w:sz w:val="20"/>
          <w:szCs w:val="20"/>
        </w:rPr>
        <w:t>Třída III</w:t>
      </w:r>
      <w:r w:rsidRPr="00BE1847">
        <w:rPr>
          <w:rFonts w:ascii="Tahoma" w:hAnsi="Tahoma" w:cs="Tahoma"/>
          <w:sz w:val="20"/>
          <w:szCs w:val="20"/>
        </w:rPr>
        <w:tab/>
        <w:t>1,050</w:t>
      </w:r>
    </w:p>
    <w:p w14:paraId="5CE1F504" w14:textId="77777777" w:rsidR="00FE069F" w:rsidRPr="00BE1847" w:rsidRDefault="00FE069F" w:rsidP="00FE069F">
      <w:pPr>
        <w:pStyle w:val="Odstavecseseznamem"/>
        <w:numPr>
          <w:ilvl w:val="0"/>
          <w:numId w:val="34"/>
        </w:numPr>
        <w:tabs>
          <w:tab w:val="left" w:pos="1843"/>
        </w:tabs>
        <w:spacing w:after="200" w:line="276" w:lineRule="auto"/>
        <w:ind w:firstLine="840"/>
        <w:jc w:val="both"/>
        <w:rPr>
          <w:rFonts w:ascii="Tahoma" w:hAnsi="Tahoma" w:cs="Tahoma"/>
          <w:sz w:val="20"/>
          <w:szCs w:val="20"/>
        </w:rPr>
      </w:pPr>
      <w:r w:rsidRPr="00BE1847">
        <w:rPr>
          <w:rFonts w:ascii="Tahoma" w:hAnsi="Tahoma" w:cs="Tahoma"/>
          <w:sz w:val="20"/>
          <w:szCs w:val="20"/>
        </w:rPr>
        <w:t>Třída IV</w:t>
      </w:r>
      <w:r w:rsidRPr="00BE1847">
        <w:rPr>
          <w:rFonts w:ascii="Tahoma" w:hAnsi="Tahoma" w:cs="Tahoma"/>
          <w:sz w:val="20"/>
          <w:szCs w:val="20"/>
        </w:rPr>
        <w:tab/>
        <w:t>1,030</w:t>
      </w:r>
    </w:p>
    <w:p w14:paraId="6381896C" w14:textId="77777777" w:rsidR="00FE069F" w:rsidRPr="00BE1847" w:rsidRDefault="00FE069F" w:rsidP="00FE069F">
      <w:pPr>
        <w:pStyle w:val="Odstavecseseznamem"/>
        <w:numPr>
          <w:ilvl w:val="0"/>
          <w:numId w:val="34"/>
        </w:numPr>
        <w:tabs>
          <w:tab w:val="left" w:pos="1843"/>
        </w:tabs>
        <w:spacing w:after="200" w:line="276" w:lineRule="auto"/>
        <w:ind w:firstLine="840"/>
        <w:jc w:val="both"/>
        <w:rPr>
          <w:rFonts w:ascii="Tahoma" w:hAnsi="Tahoma" w:cs="Tahoma"/>
          <w:sz w:val="20"/>
          <w:szCs w:val="20"/>
        </w:rPr>
      </w:pPr>
      <w:r w:rsidRPr="00BE1847">
        <w:rPr>
          <w:rFonts w:ascii="Tahoma" w:hAnsi="Tahoma" w:cs="Tahoma"/>
          <w:sz w:val="20"/>
          <w:szCs w:val="20"/>
        </w:rPr>
        <w:t>Třída V </w:t>
      </w:r>
      <w:r w:rsidRPr="00BE1847">
        <w:rPr>
          <w:rFonts w:ascii="Tahoma" w:hAnsi="Tahoma" w:cs="Tahoma"/>
          <w:sz w:val="20"/>
          <w:szCs w:val="20"/>
        </w:rPr>
        <w:tab/>
        <w:t>1,020</w:t>
      </w:r>
    </w:p>
    <w:p w14:paraId="7B81CE72" w14:textId="75A9BEB0" w:rsidR="00FE069F" w:rsidRDefault="00FE069F" w:rsidP="00FE069F">
      <w:pPr>
        <w:ind w:left="284"/>
        <w:jc w:val="both"/>
        <w:rPr>
          <w:rFonts w:ascii="Tahoma" w:hAnsi="Tahoma" w:cs="Tahoma"/>
          <w:sz w:val="20"/>
          <w:szCs w:val="20"/>
        </w:rPr>
      </w:pPr>
      <w:r w:rsidRPr="00BE1847">
        <w:rPr>
          <w:rFonts w:ascii="Tahoma" w:hAnsi="Tahoma" w:cs="Tahoma"/>
          <w:sz w:val="20"/>
          <w:szCs w:val="20"/>
        </w:rPr>
        <w:t>Takto vypočtená dotace bude limitována na úrovni optimálního návrhu pro jednotlivé služby pro</w:t>
      </w:r>
      <w:r w:rsidR="00D44388">
        <w:rPr>
          <w:rFonts w:ascii="Tahoma" w:hAnsi="Tahoma" w:cs="Tahoma"/>
          <w:sz w:val="20"/>
          <w:szCs w:val="20"/>
        </w:rPr>
        <w:t> </w:t>
      </w:r>
      <w:r w:rsidRPr="00BE1847">
        <w:rPr>
          <w:rFonts w:ascii="Tahoma" w:hAnsi="Tahoma" w:cs="Tahoma"/>
          <w:sz w:val="20"/>
          <w:szCs w:val="20"/>
        </w:rPr>
        <w:t>rok 2019.</w:t>
      </w:r>
    </w:p>
    <w:p w14:paraId="0C054DB7" w14:textId="77777777" w:rsidR="00D44388" w:rsidRDefault="00D44388" w:rsidP="00FE069F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4E2A220A" w14:textId="77777777" w:rsidR="000A0023" w:rsidRDefault="000A0023" w:rsidP="00FE069F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42832EFC" w14:textId="77777777" w:rsidR="00D44388" w:rsidRDefault="00D44388" w:rsidP="00FE069F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3E4E3A44" w14:textId="77777777" w:rsidR="00FD1267" w:rsidRPr="002F29F9" w:rsidRDefault="00FD1267" w:rsidP="005B0B3E">
      <w:pPr>
        <w:ind w:left="993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5A1E119A" w14:textId="77777777" w:rsidR="005B0B3E" w:rsidRPr="004D7943" w:rsidRDefault="008C5F8D" w:rsidP="0013061F">
      <w:pPr>
        <w:pStyle w:val="Odstavecseseznamem"/>
        <w:numPr>
          <w:ilvl w:val="0"/>
          <w:numId w:val="16"/>
        </w:num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4D7943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lastRenderedPageBreak/>
        <w:t>Ž</w:t>
      </w:r>
      <w:r w:rsidR="00231A7F" w:rsidRPr="004D7943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ádosti o dofinancování sociální služby podané písemnou formou </w:t>
      </w:r>
    </w:p>
    <w:p w14:paraId="4E96250D" w14:textId="77777777" w:rsidR="003C2A3B" w:rsidRPr="008C5F8D" w:rsidRDefault="003C2A3B" w:rsidP="003C2A3B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711830F9" w14:textId="77777777" w:rsidR="00231A7F" w:rsidRPr="002F29F9" w:rsidRDefault="00231A7F" w:rsidP="005B0B3E">
      <w:pPr>
        <w:pStyle w:val="Odstavecseseznamem"/>
        <w:jc w:val="both"/>
        <w:rPr>
          <w:rFonts w:ascii="Tahoma" w:hAnsi="Tahoma" w:cs="Tahoma"/>
          <w:sz w:val="20"/>
          <w:szCs w:val="20"/>
          <w:highlight w:val="yellow"/>
        </w:rPr>
      </w:pPr>
      <w:r w:rsidRPr="008C5F8D">
        <w:rPr>
          <w:rFonts w:ascii="Tahoma" w:hAnsi="Tahoma" w:cs="Tahoma"/>
          <w:sz w:val="20"/>
          <w:szCs w:val="20"/>
        </w:rPr>
        <w:t xml:space="preserve">Optimální návrh dotace byl </w:t>
      </w:r>
      <w:r w:rsidR="005B0B3E" w:rsidRPr="008C5F8D">
        <w:rPr>
          <w:rFonts w:ascii="Tahoma" w:hAnsi="Tahoma" w:cs="Tahoma"/>
          <w:sz w:val="20"/>
          <w:szCs w:val="20"/>
        </w:rPr>
        <w:t xml:space="preserve">u písemných žádostí </w:t>
      </w:r>
      <w:r w:rsidRPr="008C5F8D">
        <w:rPr>
          <w:rFonts w:ascii="Tahoma" w:hAnsi="Tahoma" w:cs="Tahoma"/>
          <w:sz w:val="20"/>
          <w:szCs w:val="20"/>
        </w:rPr>
        <w:t xml:space="preserve">stanoven v řádném kole dotačního řízení. Pokud byla žádost o dofinancování podána na částku přesahující rozdíl mezi optimálním návrhem a přiznanou dotací v řádném kole, nebyla tato žádost dále hodnocena a </w:t>
      </w:r>
      <w:r w:rsidR="00DE6083" w:rsidRPr="008C5F8D">
        <w:rPr>
          <w:rFonts w:ascii="Tahoma" w:hAnsi="Tahoma" w:cs="Tahoma"/>
          <w:sz w:val="20"/>
          <w:szCs w:val="20"/>
        </w:rPr>
        <w:t xml:space="preserve">byl </w:t>
      </w:r>
      <w:r w:rsidRPr="008C5F8D">
        <w:rPr>
          <w:rFonts w:ascii="Tahoma" w:hAnsi="Tahoma" w:cs="Tahoma"/>
          <w:sz w:val="20"/>
          <w:szCs w:val="20"/>
        </w:rPr>
        <w:t xml:space="preserve">stanoven návrh </w:t>
      </w:r>
      <w:r w:rsidRPr="00F952A0">
        <w:rPr>
          <w:rFonts w:ascii="Tahoma" w:hAnsi="Tahoma" w:cs="Tahoma"/>
          <w:sz w:val="20"/>
          <w:szCs w:val="20"/>
        </w:rPr>
        <w:t>dofinancování ve výši 0 Kč v souladu s čl. X odst. 1 písm. a) Podmín</w:t>
      </w:r>
      <w:r w:rsidR="008C5F8D" w:rsidRPr="00F952A0">
        <w:rPr>
          <w:rFonts w:ascii="Tahoma" w:hAnsi="Tahoma" w:cs="Tahoma"/>
          <w:sz w:val="20"/>
          <w:szCs w:val="20"/>
        </w:rPr>
        <w:t>e</w:t>
      </w:r>
      <w:r w:rsidRPr="00F952A0">
        <w:rPr>
          <w:rFonts w:ascii="Tahoma" w:hAnsi="Tahoma" w:cs="Tahoma"/>
          <w:sz w:val="20"/>
          <w:szCs w:val="20"/>
        </w:rPr>
        <w:t>k</w:t>
      </w:r>
      <w:r w:rsidRPr="008C5F8D">
        <w:rPr>
          <w:rFonts w:ascii="Tahoma" w:hAnsi="Tahoma" w:cs="Tahoma"/>
          <w:sz w:val="20"/>
          <w:szCs w:val="20"/>
        </w:rPr>
        <w:t xml:space="preserve"> (viz výše). </w:t>
      </w:r>
    </w:p>
    <w:p w14:paraId="481BA4B6" w14:textId="77777777" w:rsidR="00231A7F" w:rsidRDefault="00231A7F" w:rsidP="004243C8">
      <w:pPr>
        <w:spacing w:before="360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8C5F8D">
        <w:rPr>
          <w:rFonts w:ascii="Tahoma" w:hAnsi="Tahoma" w:cs="Tahoma"/>
          <w:b/>
          <w:sz w:val="20"/>
          <w:szCs w:val="20"/>
        </w:rPr>
        <w:t xml:space="preserve">Výpočet návrhu navýšení dotace (dofinancování) </w:t>
      </w:r>
    </w:p>
    <w:p w14:paraId="678AB574" w14:textId="77777777" w:rsidR="009B41F7" w:rsidRDefault="009B41F7" w:rsidP="003E6F54">
      <w:pPr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Výpočet byl proveden dle článku VII</w:t>
      </w:r>
      <w:r w:rsidR="00CF6FBF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odst. 5 písm. a) Podmínek, kdy byly jednotlivé služby rozděleny do 5 tříd </w:t>
      </w:r>
      <w:r w:rsidRPr="00BE1847">
        <w:rPr>
          <w:rFonts w:ascii="Tahoma" w:hAnsi="Tahoma" w:cs="Tahoma"/>
          <w:sz w:val="20"/>
          <w:szCs w:val="20"/>
        </w:rPr>
        <w:t>(viz postup v bodu c) odst. 6.).</w:t>
      </w:r>
      <w:r>
        <w:rPr>
          <w:rFonts w:ascii="Tahoma" w:hAnsi="Tahoma" w:cs="Tahoma"/>
          <w:sz w:val="20"/>
          <w:szCs w:val="20"/>
        </w:rPr>
        <w:t xml:space="preserve"> Dle rozdělení do tříd byl návrh navýšení dotace (dofinancování) stanoven jako požadavek o dofinancování násobený příslušným koeficientem: </w:t>
      </w:r>
    </w:p>
    <w:p w14:paraId="4F600D17" w14:textId="0A72424E" w:rsidR="009B41F7" w:rsidRPr="00DB64DA" w:rsidRDefault="009B41F7" w:rsidP="009B41F7">
      <w:pPr>
        <w:numPr>
          <w:ilvl w:val="0"/>
          <w:numId w:val="36"/>
        </w:numPr>
        <w:spacing w:after="0" w:line="276" w:lineRule="auto"/>
        <w:ind w:left="426" w:firstLine="1134"/>
        <w:jc w:val="both"/>
        <w:rPr>
          <w:rFonts w:ascii="Tahoma" w:hAnsi="Tahoma" w:cs="Tahoma"/>
          <w:sz w:val="20"/>
          <w:szCs w:val="20"/>
        </w:rPr>
      </w:pPr>
      <w:r w:rsidRPr="00DB64DA">
        <w:rPr>
          <w:rFonts w:ascii="Tahoma" w:hAnsi="Tahoma" w:cs="Tahoma"/>
          <w:sz w:val="20"/>
          <w:szCs w:val="20"/>
        </w:rPr>
        <w:t xml:space="preserve">třída I. </w:t>
      </w:r>
      <w:r w:rsidRPr="00DB64DA">
        <w:rPr>
          <w:rFonts w:ascii="Tahoma" w:hAnsi="Tahoma" w:cs="Tahoma"/>
          <w:sz w:val="20"/>
          <w:szCs w:val="20"/>
        </w:rPr>
        <w:tab/>
      </w:r>
      <w:r w:rsidRPr="00DB64DA">
        <w:rPr>
          <w:rFonts w:ascii="Tahoma" w:hAnsi="Tahoma" w:cs="Tahoma"/>
          <w:sz w:val="20"/>
          <w:szCs w:val="20"/>
        </w:rPr>
        <w:tab/>
      </w:r>
      <w:r w:rsidR="00DB64DA" w:rsidRPr="00DB64DA">
        <w:rPr>
          <w:rFonts w:ascii="Tahoma" w:hAnsi="Tahoma" w:cs="Tahoma"/>
          <w:sz w:val="20"/>
          <w:szCs w:val="20"/>
        </w:rPr>
        <w:t>0,</w:t>
      </w:r>
      <w:r w:rsidR="003079EE">
        <w:rPr>
          <w:rFonts w:ascii="Tahoma" w:hAnsi="Tahoma" w:cs="Tahoma"/>
          <w:sz w:val="20"/>
          <w:szCs w:val="20"/>
        </w:rPr>
        <w:t>7</w:t>
      </w:r>
      <w:r w:rsidR="0020511F">
        <w:rPr>
          <w:rFonts w:ascii="Tahoma" w:hAnsi="Tahoma" w:cs="Tahoma"/>
          <w:sz w:val="20"/>
          <w:szCs w:val="20"/>
        </w:rPr>
        <w:t>8</w:t>
      </w:r>
    </w:p>
    <w:p w14:paraId="32E2FF0D" w14:textId="77777777" w:rsidR="009B41F7" w:rsidRPr="00DB64DA" w:rsidRDefault="00DB64DA" w:rsidP="009B41F7">
      <w:pPr>
        <w:numPr>
          <w:ilvl w:val="0"/>
          <w:numId w:val="36"/>
        </w:numPr>
        <w:spacing w:after="0" w:line="276" w:lineRule="auto"/>
        <w:ind w:left="426" w:firstLine="1134"/>
        <w:jc w:val="both"/>
        <w:rPr>
          <w:rFonts w:ascii="Tahoma" w:hAnsi="Tahoma" w:cs="Tahoma"/>
          <w:sz w:val="20"/>
          <w:szCs w:val="20"/>
        </w:rPr>
      </w:pPr>
      <w:r w:rsidRPr="00DB64DA">
        <w:rPr>
          <w:rFonts w:ascii="Tahoma" w:hAnsi="Tahoma" w:cs="Tahoma"/>
          <w:sz w:val="20"/>
          <w:szCs w:val="20"/>
        </w:rPr>
        <w:t>třída II.</w:t>
      </w:r>
      <w:r w:rsidRPr="00DB64DA">
        <w:rPr>
          <w:rFonts w:ascii="Tahoma" w:hAnsi="Tahoma" w:cs="Tahoma"/>
          <w:sz w:val="20"/>
          <w:szCs w:val="20"/>
        </w:rPr>
        <w:tab/>
      </w:r>
      <w:r w:rsidRPr="00DB64DA">
        <w:rPr>
          <w:rFonts w:ascii="Tahoma" w:hAnsi="Tahoma" w:cs="Tahoma"/>
          <w:sz w:val="20"/>
          <w:szCs w:val="20"/>
        </w:rPr>
        <w:tab/>
        <w:t>0,</w:t>
      </w:r>
      <w:r w:rsidR="003079EE">
        <w:rPr>
          <w:rFonts w:ascii="Tahoma" w:hAnsi="Tahoma" w:cs="Tahoma"/>
          <w:sz w:val="20"/>
          <w:szCs w:val="20"/>
        </w:rPr>
        <w:t>65</w:t>
      </w:r>
    </w:p>
    <w:p w14:paraId="495F6B71" w14:textId="77777777" w:rsidR="009B41F7" w:rsidRPr="00DB64DA" w:rsidRDefault="003079EE" w:rsidP="009B41F7">
      <w:pPr>
        <w:numPr>
          <w:ilvl w:val="0"/>
          <w:numId w:val="36"/>
        </w:numPr>
        <w:spacing w:after="0" w:line="276" w:lineRule="auto"/>
        <w:ind w:left="426" w:firstLine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třída III.</w:t>
      </w:r>
      <w:r>
        <w:rPr>
          <w:rFonts w:ascii="Tahoma" w:hAnsi="Tahoma" w:cs="Tahoma"/>
          <w:sz w:val="20"/>
          <w:szCs w:val="20"/>
        </w:rPr>
        <w:tab/>
        <w:t>0,50</w:t>
      </w:r>
      <w:r w:rsidR="009B41F7" w:rsidRPr="00DB64DA">
        <w:rPr>
          <w:rFonts w:ascii="Tahoma" w:hAnsi="Tahoma" w:cs="Tahoma"/>
          <w:sz w:val="20"/>
          <w:szCs w:val="20"/>
        </w:rPr>
        <w:t xml:space="preserve"> </w:t>
      </w:r>
    </w:p>
    <w:p w14:paraId="6CA9A018" w14:textId="77777777" w:rsidR="009B41F7" w:rsidRPr="00DB64DA" w:rsidRDefault="003079EE" w:rsidP="009B41F7">
      <w:pPr>
        <w:numPr>
          <w:ilvl w:val="0"/>
          <w:numId w:val="36"/>
        </w:numPr>
        <w:spacing w:after="0" w:line="276" w:lineRule="auto"/>
        <w:ind w:left="426" w:firstLine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třída IV.</w:t>
      </w:r>
      <w:r>
        <w:rPr>
          <w:rFonts w:ascii="Tahoma" w:hAnsi="Tahoma" w:cs="Tahoma"/>
          <w:sz w:val="20"/>
          <w:szCs w:val="20"/>
        </w:rPr>
        <w:tab/>
        <w:t>0,40</w:t>
      </w:r>
    </w:p>
    <w:p w14:paraId="426FB4F3" w14:textId="77777777" w:rsidR="009B41F7" w:rsidRPr="00DB64DA" w:rsidRDefault="003079EE" w:rsidP="009B41F7">
      <w:pPr>
        <w:numPr>
          <w:ilvl w:val="0"/>
          <w:numId w:val="36"/>
        </w:numPr>
        <w:spacing w:after="0" w:line="276" w:lineRule="auto"/>
        <w:ind w:left="426" w:firstLine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třída V.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0,30</w:t>
      </w:r>
    </w:p>
    <w:p w14:paraId="527DAE69" w14:textId="55F36768" w:rsidR="009B41F7" w:rsidRDefault="009B41F7" w:rsidP="009B41F7">
      <w:pPr>
        <w:spacing w:before="240"/>
        <w:ind w:left="426"/>
        <w:jc w:val="both"/>
        <w:rPr>
          <w:rFonts w:ascii="Tahoma" w:hAnsi="Tahoma" w:cs="Tahoma"/>
          <w:sz w:val="20"/>
          <w:szCs w:val="20"/>
        </w:rPr>
      </w:pPr>
      <w:r w:rsidRPr="009B41F7">
        <w:rPr>
          <w:rFonts w:ascii="Tahoma" w:hAnsi="Tahoma" w:cs="Tahoma"/>
          <w:sz w:val="20"/>
          <w:szCs w:val="20"/>
        </w:rPr>
        <w:t>Takto vypočtená částka dofinancování byla limitována maximální výší na úrovni</w:t>
      </w:r>
      <w:r>
        <w:rPr>
          <w:rFonts w:ascii="Tahoma" w:hAnsi="Tahoma" w:cs="Tahoma"/>
          <w:sz w:val="20"/>
          <w:szCs w:val="20"/>
        </w:rPr>
        <w:t xml:space="preserve"> </w:t>
      </w:r>
      <w:r w:rsidR="003079EE">
        <w:rPr>
          <w:rFonts w:ascii="Tahoma" w:hAnsi="Tahoma" w:cs="Tahoma"/>
          <w:b/>
          <w:sz w:val="20"/>
          <w:szCs w:val="20"/>
        </w:rPr>
        <w:t>100</w:t>
      </w:r>
      <w:r w:rsidRPr="009B41F7">
        <w:rPr>
          <w:rFonts w:ascii="Tahoma" w:hAnsi="Tahoma" w:cs="Tahoma"/>
          <w:b/>
          <w:sz w:val="20"/>
          <w:szCs w:val="20"/>
        </w:rPr>
        <w:t xml:space="preserve"> % dotace</w:t>
      </w:r>
      <w:r w:rsidRPr="009B41F7">
        <w:rPr>
          <w:rFonts w:ascii="Tahoma" w:hAnsi="Tahoma" w:cs="Tahoma"/>
          <w:sz w:val="20"/>
          <w:szCs w:val="20"/>
        </w:rPr>
        <w:t xml:space="preserve"> poskytnuté v řádném kole dotačního řízení. Celková částka dotace (dofinancování + dotace přiznaná v řádném kole dotačního řízení) byla limitována optimálním návrhem stanoveným v řádném kole dotačního řízení. </w:t>
      </w:r>
      <w:r w:rsidR="009B2445">
        <w:rPr>
          <w:rFonts w:ascii="Tahoma" w:hAnsi="Tahoma" w:cs="Tahoma"/>
          <w:sz w:val="20"/>
          <w:szCs w:val="20"/>
        </w:rPr>
        <w:t xml:space="preserve">Vypočtená částka je </w:t>
      </w:r>
      <w:r w:rsidR="0016308B">
        <w:rPr>
          <w:rFonts w:ascii="Tahoma" w:hAnsi="Tahoma" w:cs="Tahoma"/>
          <w:sz w:val="20"/>
          <w:szCs w:val="20"/>
        </w:rPr>
        <w:t xml:space="preserve">v souladu s Rozhodnutím MPSV </w:t>
      </w:r>
      <w:r w:rsidR="009B2445">
        <w:rPr>
          <w:rFonts w:ascii="Tahoma" w:hAnsi="Tahoma" w:cs="Tahoma"/>
          <w:sz w:val="20"/>
          <w:szCs w:val="20"/>
        </w:rPr>
        <w:t>určena na</w:t>
      </w:r>
      <w:r w:rsidR="00D44388">
        <w:rPr>
          <w:rFonts w:ascii="Tahoma" w:hAnsi="Tahoma" w:cs="Tahoma"/>
          <w:sz w:val="20"/>
          <w:szCs w:val="20"/>
        </w:rPr>
        <w:t> </w:t>
      </w:r>
      <w:r w:rsidR="009B2445" w:rsidRPr="004D7530">
        <w:rPr>
          <w:rFonts w:ascii="Tahoma" w:hAnsi="Tahoma" w:cs="Tahoma"/>
          <w:sz w:val="20"/>
          <w:szCs w:val="20"/>
        </w:rPr>
        <w:t>platy, mzdy a jejich navýšení</w:t>
      </w:r>
      <w:r w:rsidR="009B2445">
        <w:rPr>
          <w:rFonts w:ascii="Tahoma" w:hAnsi="Tahoma" w:cs="Tahoma"/>
          <w:sz w:val="20"/>
          <w:szCs w:val="20"/>
        </w:rPr>
        <w:t>.</w:t>
      </w:r>
    </w:p>
    <w:p w14:paraId="3A98CDB5" w14:textId="3C053595" w:rsidR="003079EE" w:rsidRPr="009B41F7" w:rsidRDefault="003079EE" w:rsidP="009B41F7">
      <w:pPr>
        <w:spacing w:before="24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Vypočtená částka byla zaokrouhlena na celé tis</w:t>
      </w:r>
      <w:r w:rsidR="00D44388">
        <w:rPr>
          <w:rFonts w:ascii="Tahoma" w:hAnsi="Tahoma" w:cs="Tahoma"/>
          <w:sz w:val="20"/>
          <w:szCs w:val="20"/>
        </w:rPr>
        <w:t>í</w:t>
      </w:r>
      <w:r>
        <w:rPr>
          <w:rFonts w:ascii="Tahoma" w:hAnsi="Tahoma" w:cs="Tahoma"/>
          <w:sz w:val="20"/>
          <w:szCs w:val="20"/>
        </w:rPr>
        <w:t xml:space="preserve">cikoruny dolů. V případě, že takto vypočtená částka byla nižší než 20.000 Kč, je dotace dofinancování stanovena na částku 20.000 Kč. </w:t>
      </w:r>
    </w:p>
    <w:p w14:paraId="1318713F" w14:textId="77777777" w:rsidR="00F952A0" w:rsidRPr="00F952A0" w:rsidRDefault="00F952A0" w:rsidP="00F952A0">
      <w:pPr>
        <w:jc w:val="both"/>
        <w:rPr>
          <w:rFonts w:ascii="Tahoma" w:hAnsi="Tahoma" w:cs="Tahoma"/>
          <w:b/>
          <w:sz w:val="20"/>
          <w:szCs w:val="20"/>
        </w:rPr>
      </w:pPr>
      <w:r w:rsidRPr="003079EE">
        <w:rPr>
          <w:rFonts w:ascii="Tahoma" w:hAnsi="Tahoma" w:cs="Tahoma"/>
          <w:b/>
          <w:sz w:val="20"/>
          <w:szCs w:val="20"/>
        </w:rPr>
        <w:t>U reg</w:t>
      </w:r>
      <w:r w:rsidR="00166612" w:rsidRPr="003079EE">
        <w:rPr>
          <w:rFonts w:ascii="Tahoma" w:hAnsi="Tahoma" w:cs="Tahoma"/>
          <w:b/>
          <w:sz w:val="20"/>
          <w:szCs w:val="20"/>
        </w:rPr>
        <w:t>istrovaných</w:t>
      </w:r>
      <w:r w:rsidRPr="003079EE">
        <w:rPr>
          <w:rFonts w:ascii="Tahoma" w:hAnsi="Tahoma" w:cs="Tahoma"/>
          <w:b/>
          <w:sz w:val="20"/>
          <w:szCs w:val="20"/>
        </w:rPr>
        <w:t xml:space="preserve"> soc</w:t>
      </w:r>
      <w:r w:rsidR="00166612" w:rsidRPr="003079EE">
        <w:rPr>
          <w:rFonts w:ascii="Tahoma" w:hAnsi="Tahoma" w:cs="Tahoma"/>
          <w:b/>
          <w:sz w:val="20"/>
          <w:szCs w:val="20"/>
        </w:rPr>
        <w:t>iálních</w:t>
      </w:r>
      <w:r w:rsidRPr="003079EE">
        <w:rPr>
          <w:rFonts w:ascii="Tahoma" w:hAnsi="Tahoma" w:cs="Tahoma"/>
          <w:b/>
          <w:sz w:val="20"/>
          <w:szCs w:val="20"/>
        </w:rPr>
        <w:t xml:space="preserve"> služeb s návrhem dofinancování a zároveň s návrhem dotace na navýšenou kapacitu dle bodu b) se výsledná částka návrhu navýšení dotace stanoví jako součet návrhu dotace na navýšenou kapacitu dle bodu </w:t>
      </w:r>
      <w:r w:rsidR="00A24879" w:rsidRPr="003079EE">
        <w:rPr>
          <w:rFonts w:ascii="Tahoma" w:hAnsi="Tahoma" w:cs="Tahoma"/>
          <w:b/>
          <w:sz w:val="20"/>
          <w:szCs w:val="20"/>
        </w:rPr>
        <w:t>b</w:t>
      </w:r>
      <w:r w:rsidRPr="003079EE">
        <w:rPr>
          <w:rFonts w:ascii="Tahoma" w:hAnsi="Tahoma" w:cs="Tahoma"/>
          <w:b/>
          <w:sz w:val="20"/>
          <w:szCs w:val="20"/>
        </w:rPr>
        <w:t xml:space="preserve">) a návrhem dofinancování dle bodu </w:t>
      </w:r>
      <w:r w:rsidR="003079EE" w:rsidRPr="003079EE">
        <w:rPr>
          <w:rFonts w:ascii="Tahoma" w:hAnsi="Tahoma" w:cs="Tahoma"/>
          <w:b/>
          <w:sz w:val="20"/>
          <w:szCs w:val="20"/>
        </w:rPr>
        <w:t>d</w:t>
      </w:r>
      <w:r w:rsidRPr="003079EE">
        <w:rPr>
          <w:rFonts w:ascii="Tahoma" w:hAnsi="Tahoma" w:cs="Tahoma"/>
          <w:b/>
          <w:sz w:val="20"/>
          <w:szCs w:val="20"/>
        </w:rPr>
        <w:t>).</w:t>
      </w:r>
    </w:p>
    <w:p w14:paraId="2BBD4538" w14:textId="77777777" w:rsidR="009D79BD" w:rsidRPr="002F29F9" w:rsidRDefault="009D79BD" w:rsidP="009D79BD">
      <w:pPr>
        <w:pStyle w:val="Odstavecseseznamem"/>
        <w:ind w:left="144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7154C30" w14:textId="77777777" w:rsidR="00231A7F" w:rsidRPr="00412A4B" w:rsidRDefault="00231A7F" w:rsidP="003C2674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 w:rsidRPr="00412A4B">
        <w:rPr>
          <w:rFonts w:ascii="Tahoma" w:hAnsi="Tahoma" w:cs="Tahoma"/>
          <w:b/>
          <w:sz w:val="20"/>
          <w:szCs w:val="20"/>
        </w:rPr>
        <w:t xml:space="preserve">Individuální posouzení </w:t>
      </w:r>
    </w:p>
    <w:p w14:paraId="271894EC" w14:textId="77777777" w:rsidR="000F1346" w:rsidRPr="00412A4B" w:rsidRDefault="00231A7F" w:rsidP="00F65008">
      <w:pPr>
        <w:spacing w:after="120"/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412A4B">
        <w:rPr>
          <w:rFonts w:ascii="Tahoma" w:hAnsi="Tahoma" w:cs="Tahoma"/>
          <w:sz w:val="20"/>
          <w:szCs w:val="20"/>
        </w:rPr>
        <w:t xml:space="preserve">Dle Podmínek Programu byly sociální služby individuálně posouzeny na základě odůvodnění v žádosti o dofinancování, popř. dalšího individuálního zdůvodnění, a byly zohledněny jejich </w:t>
      </w:r>
      <w:r w:rsidRPr="00F952A0">
        <w:rPr>
          <w:rFonts w:ascii="Tahoma" w:hAnsi="Tahoma" w:cs="Tahoma"/>
          <w:sz w:val="20"/>
          <w:szCs w:val="20"/>
        </w:rPr>
        <w:t xml:space="preserve">specifické potřeby generované ze znalosti místních podmínek a bylo postupováno v souladu s článkem VIII odst. 6 </w:t>
      </w:r>
      <w:r w:rsidRPr="00412A4B">
        <w:rPr>
          <w:rFonts w:ascii="Tahoma" w:hAnsi="Tahoma" w:cs="Tahoma"/>
          <w:sz w:val="20"/>
          <w:szCs w:val="20"/>
        </w:rPr>
        <w:t xml:space="preserve">Podmínek. </w:t>
      </w:r>
      <w:r w:rsidR="000F1346" w:rsidRPr="00412A4B">
        <w:rPr>
          <w:rFonts w:ascii="Tahoma" w:hAnsi="Tahoma" w:cs="Tahoma"/>
          <w:sz w:val="20"/>
          <w:szCs w:val="20"/>
        </w:rPr>
        <w:t>Návrh částky dofinancování je stanoven jako součet individuálního posouzení a vypočtené částky dle bod</w:t>
      </w:r>
      <w:r w:rsidR="00CE4D37">
        <w:rPr>
          <w:rFonts w:ascii="Tahoma" w:hAnsi="Tahoma" w:cs="Tahoma"/>
          <w:sz w:val="20"/>
          <w:szCs w:val="20"/>
        </w:rPr>
        <w:t>ů</w:t>
      </w:r>
      <w:r w:rsidR="000F1346" w:rsidRPr="00412A4B">
        <w:rPr>
          <w:rFonts w:ascii="Tahoma" w:hAnsi="Tahoma" w:cs="Tahoma"/>
          <w:sz w:val="20"/>
          <w:szCs w:val="20"/>
        </w:rPr>
        <w:t xml:space="preserve"> </w:t>
      </w:r>
      <w:r w:rsidR="00CE4D37">
        <w:rPr>
          <w:rFonts w:ascii="Tahoma" w:hAnsi="Tahoma" w:cs="Tahoma"/>
          <w:sz w:val="20"/>
          <w:szCs w:val="20"/>
        </w:rPr>
        <w:t xml:space="preserve">b) a </w:t>
      </w:r>
      <w:r w:rsidR="003079EE">
        <w:rPr>
          <w:rFonts w:ascii="Tahoma" w:hAnsi="Tahoma" w:cs="Tahoma"/>
          <w:sz w:val="20"/>
          <w:szCs w:val="20"/>
        </w:rPr>
        <w:t>d</w:t>
      </w:r>
      <w:r w:rsidR="000F1346" w:rsidRPr="00412A4B">
        <w:rPr>
          <w:rFonts w:ascii="Tahoma" w:hAnsi="Tahoma" w:cs="Tahoma"/>
          <w:sz w:val="20"/>
          <w:szCs w:val="20"/>
        </w:rPr>
        <w:t>).</w:t>
      </w:r>
    </w:p>
    <w:p w14:paraId="7515E026" w14:textId="77777777" w:rsidR="00231A7F" w:rsidRPr="00412A4B" w:rsidRDefault="00231A7F" w:rsidP="00F65008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  <w:r w:rsidRPr="00412A4B">
        <w:rPr>
          <w:rFonts w:ascii="Tahoma" w:hAnsi="Tahoma" w:cs="Tahoma"/>
          <w:sz w:val="20"/>
          <w:szCs w:val="20"/>
        </w:rPr>
        <w:t>Individuální posouzení se týká:</w:t>
      </w:r>
    </w:p>
    <w:p w14:paraId="6344F768" w14:textId="77777777" w:rsidR="00690D2E" w:rsidRPr="001D6DA7" w:rsidRDefault="00690D2E" w:rsidP="00F65008">
      <w:pPr>
        <w:pStyle w:val="Odstavecseseznamem"/>
        <w:spacing w:after="0" w:line="240" w:lineRule="auto"/>
        <w:ind w:left="1775"/>
        <w:jc w:val="both"/>
        <w:rPr>
          <w:rFonts w:ascii="Tahoma" w:hAnsi="Tahoma" w:cs="Tahoma"/>
          <w:b/>
          <w:sz w:val="20"/>
          <w:szCs w:val="20"/>
        </w:rPr>
      </w:pPr>
    </w:p>
    <w:p w14:paraId="67D4364F" w14:textId="7E9CD14A" w:rsidR="00233E4A" w:rsidRPr="001D6DA7" w:rsidRDefault="000F1346" w:rsidP="007A16FE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D6DA7">
        <w:rPr>
          <w:rFonts w:ascii="Tahoma" w:hAnsi="Tahoma" w:cs="Tahoma"/>
          <w:sz w:val="20"/>
          <w:szCs w:val="20"/>
        </w:rPr>
        <w:t xml:space="preserve">sociální služby, u níž došlo k navýšení kapacity z důvodu bezplatného poskytování </w:t>
      </w:r>
      <w:r w:rsidR="007D1677">
        <w:rPr>
          <w:rFonts w:ascii="Tahoma" w:hAnsi="Tahoma" w:cs="Tahoma"/>
          <w:sz w:val="20"/>
          <w:szCs w:val="20"/>
        </w:rPr>
        <w:t>pečovatelské služby účastníku odboje</w:t>
      </w:r>
      <w:r w:rsidR="009F3E6F" w:rsidRPr="001D6DA7">
        <w:rPr>
          <w:rFonts w:ascii="Tahoma" w:hAnsi="Tahoma" w:cs="Tahoma"/>
          <w:sz w:val="20"/>
          <w:szCs w:val="20"/>
        </w:rPr>
        <w:t>. Bezplatné poskytování služby vyplývá ze</w:t>
      </w:r>
      <w:r w:rsidR="00D44388">
        <w:rPr>
          <w:rFonts w:ascii="Tahoma" w:hAnsi="Tahoma" w:cs="Tahoma"/>
          <w:sz w:val="20"/>
          <w:szCs w:val="20"/>
        </w:rPr>
        <w:t> </w:t>
      </w:r>
      <w:r w:rsidR="009F3E6F" w:rsidRPr="001D6DA7">
        <w:rPr>
          <w:rFonts w:ascii="Tahoma" w:hAnsi="Tahoma" w:cs="Tahoma"/>
          <w:sz w:val="20"/>
          <w:szCs w:val="20"/>
        </w:rPr>
        <w:t>zákona č. 108/2006 Sb., o sociálních službách, ve znění pozdějších předpisů</w:t>
      </w:r>
      <w:r w:rsidR="00233E4A" w:rsidRPr="001D6DA7">
        <w:rPr>
          <w:rFonts w:ascii="Tahoma" w:hAnsi="Tahoma" w:cs="Tahoma"/>
          <w:sz w:val="20"/>
          <w:szCs w:val="20"/>
        </w:rPr>
        <w:t xml:space="preserve">, § 75, odst. 2, písm. </w:t>
      </w:r>
      <w:r w:rsidR="007D1677">
        <w:rPr>
          <w:rFonts w:ascii="Tahoma" w:hAnsi="Tahoma" w:cs="Tahoma"/>
          <w:sz w:val="20"/>
          <w:szCs w:val="20"/>
        </w:rPr>
        <w:t>b</w:t>
      </w:r>
      <w:r w:rsidR="00233E4A" w:rsidRPr="001D6DA7">
        <w:rPr>
          <w:rFonts w:ascii="Tahoma" w:hAnsi="Tahoma" w:cs="Tahoma"/>
          <w:sz w:val="20"/>
          <w:szCs w:val="20"/>
        </w:rPr>
        <w:t>)</w:t>
      </w:r>
    </w:p>
    <w:p w14:paraId="53345342" w14:textId="77777777" w:rsidR="00233E4A" w:rsidRPr="001D6DA7" w:rsidRDefault="00233E4A" w:rsidP="00233E4A">
      <w:pPr>
        <w:pStyle w:val="Odstavecseseznamem"/>
        <w:spacing w:before="120" w:after="0" w:line="240" w:lineRule="auto"/>
        <w:ind w:left="1776"/>
        <w:jc w:val="both"/>
        <w:rPr>
          <w:rFonts w:ascii="Tahoma" w:hAnsi="Tahoma" w:cs="Tahoma"/>
          <w:b/>
          <w:sz w:val="16"/>
          <w:szCs w:val="16"/>
        </w:rPr>
      </w:pPr>
    </w:p>
    <w:p w14:paraId="196AEDA9" w14:textId="1A6D7E1A" w:rsidR="00A51B8B" w:rsidRPr="00AE0266" w:rsidRDefault="00110595" w:rsidP="007A16FE">
      <w:pPr>
        <w:pStyle w:val="Odstavecseseznamem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AE0266">
        <w:rPr>
          <w:rFonts w:ascii="Tahoma" w:hAnsi="Tahoma" w:cs="Tahoma"/>
          <w:sz w:val="20"/>
          <w:szCs w:val="20"/>
        </w:rPr>
        <w:t>zohlednění plánovaných oprav a materiálně-technického zabezpečení služeb</w:t>
      </w:r>
      <w:r w:rsidR="007A16FE" w:rsidRPr="00AE0266">
        <w:rPr>
          <w:rFonts w:ascii="Tahoma" w:hAnsi="Tahoma" w:cs="Tahoma"/>
          <w:sz w:val="20"/>
          <w:szCs w:val="20"/>
        </w:rPr>
        <w:t xml:space="preserve"> z důvodu transformace pobytových služeb pro</w:t>
      </w:r>
      <w:r w:rsidR="000B6525">
        <w:rPr>
          <w:rFonts w:ascii="Tahoma" w:hAnsi="Tahoma" w:cs="Tahoma"/>
          <w:sz w:val="20"/>
          <w:szCs w:val="20"/>
        </w:rPr>
        <w:t xml:space="preserve"> osoby se zdravotním postižením </w:t>
      </w:r>
    </w:p>
    <w:p w14:paraId="362C2857" w14:textId="77777777" w:rsidR="00A51B8B" w:rsidRPr="00AE0266" w:rsidRDefault="00A51B8B" w:rsidP="00A51B8B">
      <w:pPr>
        <w:pStyle w:val="Odstavecseseznamem"/>
        <w:rPr>
          <w:rFonts w:ascii="Tahoma" w:hAnsi="Tahoma" w:cs="Tahoma"/>
          <w:sz w:val="20"/>
          <w:szCs w:val="20"/>
        </w:rPr>
      </w:pPr>
    </w:p>
    <w:p w14:paraId="08C82B5E" w14:textId="3DE03686" w:rsidR="002F394B" w:rsidRDefault="00AE0266" w:rsidP="007136F2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0B6525">
        <w:rPr>
          <w:rFonts w:ascii="Tahoma" w:hAnsi="Tahoma" w:cs="Tahoma"/>
          <w:sz w:val="20"/>
          <w:szCs w:val="20"/>
        </w:rPr>
        <w:t xml:space="preserve">při výpočtu návrhu dotace zůstaly nerozděleny finanční prostředky ve výši </w:t>
      </w:r>
      <w:r w:rsidR="007136F2">
        <w:rPr>
          <w:rFonts w:ascii="Tahoma" w:hAnsi="Tahoma" w:cs="Tahoma"/>
          <w:sz w:val="20"/>
          <w:szCs w:val="20"/>
        </w:rPr>
        <w:t>13</w:t>
      </w:r>
      <w:r w:rsidRPr="000B6525">
        <w:rPr>
          <w:rFonts w:ascii="Tahoma" w:hAnsi="Tahoma" w:cs="Tahoma"/>
          <w:sz w:val="20"/>
          <w:szCs w:val="20"/>
        </w:rPr>
        <w:t xml:space="preserve">.580 Kč, které nebylo možné dále poměrově rozdělit mezi všechny sociální </w:t>
      </w:r>
      <w:r w:rsidRPr="000B6525">
        <w:rPr>
          <w:rFonts w:ascii="Tahoma" w:hAnsi="Tahoma" w:cs="Tahoma"/>
          <w:sz w:val="20"/>
          <w:szCs w:val="20"/>
        </w:rPr>
        <w:lastRenderedPageBreak/>
        <w:t xml:space="preserve">služby. Z důvodu dočerpání celé alokované částky pro Program je zbylých </w:t>
      </w:r>
      <w:r w:rsidR="007136F2">
        <w:rPr>
          <w:rFonts w:ascii="Tahoma" w:hAnsi="Tahoma" w:cs="Tahoma"/>
          <w:sz w:val="20"/>
          <w:szCs w:val="20"/>
        </w:rPr>
        <w:t>13</w:t>
      </w:r>
      <w:r w:rsidRPr="000B6525">
        <w:rPr>
          <w:rFonts w:ascii="Tahoma" w:hAnsi="Tahoma" w:cs="Tahoma"/>
          <w:sz w:val="20"/>
          <w:szCs w:val="20"/>
        </w:rPr>
        <w:t xml:space="preserve">.580 Kč navrhováno přidělit individuálně na sociální službu </w:t>
      </w:r>
      <w:r w:rsidR="007136F2">
        <w:rPr>
          <w:rFonts w:ascii="Tahoma" w:hAnsi="Tahoma" w:cs="Tahoma"/>
          <w:sz w:val="20"/>
          <w:szCs w:val="20"/>
        </w:rPr>
        <w:t>odlehčovací služba</w:t>
      </w:r>
      <w:r w:rsidRPr="000B6525">
        <w:rPr>
          <w:rFonts w:ascii="Tahoma" w:hAnsi="Tahoma" w:cs="Tahoma"/>
          <w:sz w:val="20"/>
          <w:szCs w:val="20"/>
        </w:rPr>
        <w:t xml:space="preserve">, která má nejnižší poskytnutou dotaci v řádném kole spolu s navrhovanou částkou dofinancování a </w:t>
      </w:r>
      <w:r w:rsidR="007136F2">
        <w:rPr>
          <w:rFonts w:ascii="Tahoma" w:hAnsi="Tahoma" w:cs="Tahoma"/>
          <w:sz w:val="20"/>
          <w:szCs w:val="20"/>
        </w:rPr>
        <w:t xml:space="preserve">současně je zařazena do třídy 1. </w:t>
      </w:r>
    </w:p>
    <w:p w14:paraId="31817E12" w14:textId="77777777" w:rsidR="002F394B" w:rsidRPr="002F394B" w:rsidRDefault="002F394B" w:rsidP="002F394B">
      <w:pPr>
        <w:pStyle w:val="Odstavecseseznamem"/>
        <w:rPr>
          <w:rFonts w:ascii="Tahoma" w:hAnsi="Tahoma" w:cs="Tahoma"/>
          <w:sz w:val="20"/>
          <w:szCs w:val="20"/>
        </w:rPr>
      </w:pPr>
    </w:p>
    <w:p w14:paraId="4176F39C" w14:textId="2E7E1DE7" w:rsidR="008D1FB2" w:rsidRDefault="0020511F" w:rsidP="002F394B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 důvodu snížení kapacity poskytované pobytové služby od 1. 9. 2019 byl vypočtený návrh dofinancování snížen poměrově s ohledem na sníženou kapacitu a počet měsíců, po které je kapacita v krajské základní síti </w:t>
      </w:r>
      <w:r w:rsidR="0016308B">
        <w:rPr>
          <w:rFonts w:ascii="Tahoma" w:hAnsi="Tahoma" w:cs="Tahoma"/>
          <w:sz w:val="20"/>
          <w:szCs w:val="20"/>
        </w:rPr>
        <w:t xml:space="preserve">v r. 2019 </w:t>
      </w:r>
      <w:r>
        <w:rPr>
          <w:rFonts w:ascii="Tahoma" w:hAnsi="Tahoma" w:cs="Tahoma"/>
          <w:sz w:val="20"/>
          <w:szCs w:val="20"/>
        </w:rPr>
        <w:t>snížena</w:t>
      </w:r>
    </w:p>
    <w:p w14:paraId="467D0447" w14:textId="77777777" w:rsidR="00D44388" w:rsidRPr="00D44388" w:rsidRDefault="00D44388" w:rsidP="00D44388">
      <w:pPr>
        <w:pStyle w:val="Odstavecseseznamem"/>
        <w:rPr>
          <w:rFonts w:ascii="Tahoma" w:hAnsi="Tahoma" w:cs="Tahoma"/>
          <w:sz w:val="20"/>
          <w:szCs w:val="20"/>
        </w:rPr>
      </w:pPr>
    </w:p>
    <w:p w14:paraId="374E00AF" w14:textId="77777777" w:rsidR="00D44388" w:rsidRPr="002F394B" w:rsidRDefault="00D44388" w:rsidP="00D44388">
      <w:pPr>
        <w:pStyle w:val="Odstavecseseznamem"/>
        <w:spacing w:before="120" w:after="0" w:line="240" w:lineRule="auto"/>
        <w:ind w:left="1776"/>
        <w:jc w:val="both"/>
        <w:rPr>
          <w:rFonts w:ascii="Tahoma" w:hAnsi="Tahoma" w:cs="Tahoma"/>
          <w:sz w:val="20"/>
          <w:szCs w:val="20"/>
        </w:rPr>
      </w:pPr>
    </w:p>
    <w:p w14:paraId="0B6C79DF" w14:textId="3442356E" w:rsidR="008C5F8D" w:rsidRDefault="00780291" w:rsidP="008C5F8D">
      <w:pPr>
        <w:pStyle w:val="Odstavecseseznamem"/>
        <w:numPr>
          <w:ilvl w:val="0"/>
          <w:numId w:val="13"/>
        </w:num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Stanovení a úprava nákladových </w:t>
      </w:r>
      <w:r w:rsidR="008C5F8D">
        <w:rPr>
          <w:rFonts w:ascii="Tahoma" w:hAnsi="Tahoma" w:cs="Tahoma"/>
          <w:b/>
          <w:sz w:val="20"/>
          <w:szCs w:val="20"/>
        </w:rPr>
        <w:t>limitů</w:t>
      </w:r>
    </w:p>
    <w:p w14:paraId="1D826E66" w14:textId="77777777" w:rsidR="00D44388" w:rsidRDefault="00D44388" w:rsidP="00D44388">
      <w:pPr>
        <w:pStyle w:val="Odstavecseseznamem"/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B8C1D74" w14:textId="550F40CD" w:rsidR="00412A4B" w:rsidRDefault="00412A4B" w:rsidP="00780291">
      <w:pPr>
        <w:pStyle w:val="Odstavecseseznamem"/>
        <w:numPr>
          <w:ilvl w:val="0"/>
          <w:numId w:val="38"/>
        </w:numPr>
        <w:spacing w:before="120" w:after="12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780291">
        <w:rPr>
          <w:rFonts w:ascii="Tahoma" w:hAnsi="Tahoma" w:cs="Tahoma"/>
          <w:b/>
          <w:sz w:val="20"/>
          <w:szCs w:val="20"/>
        </w:rPr>
        <w:t xml:space="preserve">Stanovení </w:t>
      </w:r>
      <w:r w:rsidR="00780291" w:rsidRPr="00780291">
        <w:rPr>
          <w:rFonts w:ascii="Tahoma" w:hAnsi="Tahoma" w:cs="Tahoma"/>
          <w:b/>
          <w:sz w:val="20"/>
          <w:szCs w:val="20"/>
        </w:rPr>
        <w:t>nákladových</w:t>
      </w:r>
      <w:r w:rsidRPr="00780291">
        <w:rPr>
          <w:rFonts w:ascii="Tahoma" w:hAnsi="Tahoma" w:cs="Tahoma"/>
          <w:b/>
          <w:sz w:val="20"/>
          <w:szCs w:val="20"/>
        </w:rPr>
        <w:t xml:space="preserve"> limitů pro nové služby</w:t>
      </w:r>
    </w:p>
    <w:p w14:paraId="6E5F6772" w14:textId="77777777" w:rsidR="000A0023" w:rsidRPr="00780291" w:rsidRDefault="000A0023" w:rsidP="000A0023">
      <w:pPr>
        <w:pStyle w:val="Odstavecseseznamem"/>
        <w:spacing w:before="120" w:after="12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399CAD97" w14:textId="77777777" w:rsidR="00780291" w:rsidRPr="004A1DBB" w:rsidRDefault="00780291" w:rsidP="00780291">
      <w:pPr>
        <w:pStyle w:val="Odstavecseseznamem"/>
        <w:numPr>
          <w:ilvl w:val="1"/>
          <w:numId w:val="38"/>
        </w:numPr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Základem pro stanovení </w:t>
      </w:r>
      <w:r>
        <w:rPr>
          <w:rFonts w:ascii="Tahoma" w:hAnsi="Tahoma" w:cs="Tahoma"/>
          <w:sz w:val="20"/>
          <w:szCs w:val="20"/>
        </w:rPr>
        <w:t>nákladových</w:t>
      </w:r>
      <w:r w:rsidRPr="004A1DBB">
        <w:rPr>
          <w:rFonts w:ascii="Tahoma" w:hAnsi="Tahoma" w:cs="Tahoma"/>
          <w:sz w:val="20"/>
          <w:szCs w:val="20"/>
        </w:rPr>
        <w:t xml:space="preserve"> limitů je požadovaná dotace na osobní náklady a provozní náklady. </w:t>
      </w:r>
    </w:p>
    <w:p w14:paraId="4ABC56B1" w14:textId="77777777" w:rsidR="00780291" w:rsidRPr="004A1DBB" w:rsidRDefault="00780291" w:rsidP="00780291">
      <w:pPr>
        <w:pStyle w:val="Odstavecseseznamem"/>
        <w:numPr>
          <w:ilvl w:val="1"/>
          <w:numId w:val="38"/>
        </w:numPr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Nákladový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Pr="004A1DBB">
        <w:rPr>
          <w:rFonts w:ascii="Tahoma" w:hAnsi="Tahoma" w:cs="Tahoma"/>
          <w:b/>
          <w:sz w:val="20"/>
          <w:szCs w:val="20"/>
        </w:rPr>
        <w:t>limit na osobní náklady</w:t>
      </w:r>
      <w:r w:rsidRPr="004A1DBB">
        <w:rPr>
          <w:rFonts w:ascii="Tahoma" w:hAnsi="Tahoma" w:cs="Tahoma"/>
          <w:sz w:val="20"/>
          <w:szCs w:val="20"/>
        </w:rPr>
        <w:t xml:space="preserve"> je stanoven ve výši požadované dotace na osobní náklady, v případě neuznatelného nákladu vztahujícího se k osobním nákladům snížený o částku neuznatelného nákladu. </w:t>
      </w:r>
    </w:p>
    <w:p w14:paraId="3656A02A" w14:textId="7BAAA985" w:rsidR="00780291" w:rsidRPr="004A1DBB" w:rsidRDefault="00780291" w:rsidP="00780291">
      <w:pPr>
        <w:pStyle w:val="Odstavecseseznamem"/>
        <w:numPr>
          <w:ilvl w:val="1"/>
          <w:numId w:val="38"/>
        </w:numPr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Nákladový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Pr="004A1DBB">
        <w:rPr>
          <w:rFonts w:ascii="Tahoma" w:hAnsi="Tahoma" w:cs="Tahoma"/>
          <w:b/>
          <w:sz w:val="20"/>
          <w:szCs w:val="20"/>
        </w:rPr>
        <w:t>limit na provozní náklady</w:t>
      </w:r>
      <w:r w:rsidRPr="004A1DBB">
        <w:rPr>
          <w:rFonts w:ascii="Tahoma" w:hAnsi="Tahoma" w:cs="Tahoma"/>
          <w:sz w:val="20"/>
          <w:szCs w:val="20"/>
        </w:rPr>
        <w:t xml:space="preserve"> je stanoven ve výši požadované dotace na </w:t>
      </w:r>
      <w:r w:rsidR="00632895">
        <w:rPr>
          <w:rFonts w:ascii="Tahoma" w:hAnsi="Tahoma" w:cs="Tahoma"/>
          <w:sz w:val="20"/>
          <w:szCs w:val="20"/>
        </w:rPr>
        <w:t>provozní</w:t>
      </w:r>
      <w:r w:rsidRPr="004A1DBB">
        <w:rPr>
          <w:rFonts w:ascii="Tahoma" w:hAnsi="Tahoma" w:cs="Tahoma"/>
          <w:sz w:val="20"/>
          <w:szCs w:val="20"/>
        </w:rPr>
        <w:t xml:space="preserve"> náklady, v případě neuznatelného nákladu vztahujícího se k provozním nákladům snížený o</w:t>
      </w:r>
      <w:r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částku neuznatelného nákladu.</w:t>
      </w:r>
    </w:p>
    <w:p w14:paraId="344B3942" w14:textId="77777777" w:rsidR="00780291" w:rsidRPr="004A1DBB" w:rsidRDefault="00780291" w:rsidP="00780291">
      <w:pPr>
        <w:pStyle w:val="Odstavecseseznamem"/>
        <w:numPr>
          <w:ilvl w:val="1"/>
          <w:numId w:val="38"/>
        </w:numPr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V případě neuznatelného nákladu vztahujícímu se jak k provozním, tak i osobním nákladům je tento neuznatelný náklad rozdělen na dvě částky odpovídající poměru požadované dotace na</w:t>
      </w:r>
      <w:r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 xml:space="preserve">osobní a provozní náklady a následně jsou tyto částky odečteny od příslušného </w:t>
      </w:r>
      <w:r>
        <w:rPr>
          <w:rFonts w:ascii="Tahoma" w:hAnsi="Tahoma" w:cs="Tahoma"/>
          <w:sz w:val="20"/>
          <w:szCs w:val="20"/>
        </w:rPr>
        <w:t>nákladového</w:t>
      </w:r>
      <w:r w:rsidRPr="004A1DBB">
        <w:rPr>
          <w:rFonts w:ascii="Tahoma" w:hAnsi="Tahoma" w:cs="Tahoma"/>
          <w:sz w:val="20"/>
          <w:szCs w:val="20"/>
        </w:rPr>
        <w:t xml:space="preserve"> limitu.</w:t>
      </w:r>
    </w:p>
    <w:p w14:paraId="44E07630" w14:textId="77777777" w:rsidR="00780291" w:rsidRDefault="00780291" w:rsidP="00780291">
      <w:pPr>
        <w:pStyle w:val="Odstavecseseznamem"/>
        <w:numPr>
          <w:ilvl w:val="1"/>
          <w:numId w:val="38"/>
        </w:numPr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V případě, že byla dotace požadována pouze na osobní náklady a dotace není navrhována ve</w:t>
      </w:r>
      <w:r>
        <w:rPr>
          <w:rFonts w:ascii="Tahoma" w:hAnsi="Tahoma" w:cs="Tahoma"/>
          <w:sz w:val="20"/>
          <w:szCs w:val="20"/>
        </w:rPr>
        <w:t> výši požadavku, je nákladový</w:t>
      </w:r>
      <w:r w:rsidRPr="004A1DBB">
        <w:rPr>
          <w:rFonts w:ascii="Tahoma" w:hAnsi="Tahoma" w:cs="Tahoma"/>
          <w:sz w:val="20"/>
          <w:szCs w:val="20"/>
        </w:rPr>
        <w:t xml:space="preserve"> limit stanoven ve výši navrhované dotace. </w:t>
      </w:r>
      <w:r>
        <w:rPr>
          <w:rFonts w:ascii="Tahoma" w:hAnsi="Tahoma" w:cs="Tahoma"/>
          <w:sz w:val="20"/>
          <w:szCs w:val="20"/>
        </w:rPr>
        <w:t xml:space="preserve">Nákladový </w:t>
      </w:r>
      <w:r w:rsidRPr="004A1DBB">
        <w:rPr>
          <w:rFonts w:ascii="Tahoma" w:hAnsi="Tahoma" w:cs="Tahoma"/>
          <w:sz w:val="20"/>
          <w:szCs w:val="20"/>
        </w:rPr>
        <w:t>limit na</w:t>
      </w:r>
      <w:r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provozní náklady je v tomto případě nulový.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AEFDAF6" w14:textId="77777777" w:rsidR="00780291" w:rsidRDefault="00780291" w:rsidP="00780291">
      <w:pPr>
        <w:pStyle w:val="Odstavecseseznamem"/>
        <w:spacing w:after="200" w:line="276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14:paraId="1A0F53FF" w14:textId="77777777" w:rsidR="00412A4B" w:rsidRDefault="00C56FA5" w:rsidP="00780291">
      <w:pPr>
        <w:pStyle w:val="Odstavecseseznamem"/>
        <w:numPr>
          <w:ilvl w:val="0"/>
          <w:numId w:val="38"/>
        </w:numPr>
        <w:spacing w:before="120" w:after="120" w:line="240" w:lineRule="auto"/>
        <w:ind w:left="709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Úprava nákladových</w:t>
      </w:r>
      <w:r w:rsidR="00412A4B">
        <w:rPr>
          <w:rFonts w:ascii="Tahoma" w:hAnsi="Tahoma" w:cs="Tahoma"/>
          <w:b/>
          <w:sz w:val="20"/>
          <w:szCs w:val="20"/>
        </w:rPr>
        <w:t xml:space="preserve"> limitů pro navýšené kapacity</w:t>
      </w:r>
    </w:p>
    <w:p w14:paraId="5916306E" w14:textId="50D29310" w:rsidR="00412A4B" w:rsidRDefault="00412A4B" w:rsidP="00780291">
      <w:pPr>
        <w:pStyle w:val="Odstavecseseznamem"/>
        <w:spacing w:before="120" w:after="120" w:line="240" w:lineRule="auto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FD4D0E">
        <w:rPr>
          <w:rFonts w:ascii="Tahoma" w:hAnsi="Tahoma" w:cs="Tahoma"/>
          <w:sz w:val="20"/>
          <w:szCs w:val="20"/>
        </w:rPr>
        <w:t>K </w:t>
      </w:r>
      <w:r w:rsidR="00C56FA5" w:rsidRPr="00FD4D0E">
        <w:rPr>
          <w:rFonts w:ascii="Tahoma" w:hAnsi="Tahoma" w:cs="Tahoma"/>
          <w:sz w:val="20"/>
          <w:szCs w:val="20"/>
        </w:rPr>
        <w:t>nákladovým</w:t>
      </w:r>
      <w:r w:rsidRPr="00FD4D0E">
        <w:rPr>
          <w:rFonts w:ascii="Tahoma" w:hAnsi="Tahoma" w:cs="Tahoma"/>
          <w:sz w:val="20"/>
          <w:szCs w:val="20"/>
        </w:rPr>
        <w:t xml:space="preserve"> </w:t>
      </w:r>
      <w:r w:rsidR="00F952A0" w:rsidRPr="00FD4D0E">
        <w:rPr>
          <w:rFonts w:ascii="Tahoma" w:hAnsi="Tahoma" w:cs="Tahoma"/>
          <w:sz w:val="20"/>
          <w:szCs w:val="20"/>
        </w:rPr>
        <w:t xml:space="preserve">limitům stanoveným zastupitelstvem kraje usnesením č. </w:t>
      </w:r>
      <w:r w:rsidR="00780291" w:rsidRPr="00FD4D0E">
        <w:rPr>
          <w:rFonts w:ascii="Tahoma" w:hAnsi="Tahoma" w:cs="Tahoma"/>
          <w:sz w:val="20"/>
          <w:szCs w:val="20"/>
        </w:rPr>
        <w:t>11</w:t>
      </w:r>
      <w:r w:rsidR="00F952A0" w:rsidRPr="00FD4D0E">
        <w:rPr>
          <w:rFonts w:ascii="Tahoma" w:hAnsi="Tahoma" w:cs="Tahoma"/>
          <w:sz w:val="20"/>
          <w:szCs w:val="20"/>
        </w:rPr>
        <w:t>/</w:t>
      </w:r>
      <w:r w:rsidR="00780291" w:rsidRPr="00FD4D0E">
        <w:rPr>
          <w:rFonts w:ascii="Tahoma" w:hAnsi="Tahoma" w:cs="Tahoma"/>
          <w:sz w:val="20"/>
          <w:szCs w:val="20"/>
        </w:rPr>
        <w:t>1361</w:t>
      </w:r>
      <w:r w:rsidR="00F952A0" w:rsidRPr="00FD4D0E">
        <w:rPr>
          <w:rFonts w:ascii="Tahoma" w:hAnsi="Tahoma" w:cs="Tahoma"/>
          <w:sz w:val="20"/>
          <w:szCs w:val="20"/>
        </w:rPr>
        <w:t xml:space="preserve"> ze dne 1</w:t>
      </w:r>
      <w:r w:rsidR="00780291" w:rsidRPr="00FD4D0E">
        <w:rPr>
          <w:rFonts w:ascii="Tahoma" w:hAnsi="Tahoma" w:cs="Tahoma"/>
          <w:sz w:val="20"/>
          <w:szCs w:val="20"/>
        </w:rPr>
        <w:t>3</w:t>
      </w:r>
      <w:r w:rsidR="00F952A0" w:rsidRPr="00FD4D0E">
        <w:rPr>
          <w:rFonts w:ascii="Tahoma" w:hAnsi="Tahoma" w:cs="Tahoma"/>
          <w:sz w:val="20"/>
          <w:szCs w:val="20"/>
        </w:rPr>
        <w:t>.</w:t>
      </w:r>
      <w:r w:rsidR="0016308B">
        <w:rPr>
          <w:rFonts w:ascii="Tahoma" w:hAnsi="Tahoma" w:cs="Tahoma"/>
          <w:sz w:val="20"/>
          <w:szCs w:val="20"/>
        </w:rPr>
        <w:t> </w:t>
      </w:r>
      <w:r w:rsidR="00F952A0" w:rsidRPr="00FD4D0E">
        <w:rPr>
          <w:rFonts w:ascii="Tahoma" w:hAnsi="Tahoma" w:cs="Tahoma"/>
          <w:sz w:val="20"/>
          <w:szCs w:val="20"/>
        </w:rPr>
        <w:t>3. 201</w:t>
      </w:r>
      <w:r w:rsidR="00780291" w:rsidRPr="00FD4D0E">
        <w:rPr>
          <w:rFonts w:ascii="Tahoma" w:hAnsi="Tahoma" w:cs="Tahoma"/>
          <w:sz w:val="20"/>
          <w:szCs w:val="20"/>
        </w:rPr>
        <w:t>9</w:t>
      </w:r>
      <w:r w:rsidR="00F952A0" w:rsidRPr="00FD4D0E">
        <w:rPr>
          <w:rFonts w:ascii="Tahoma" w:hAnsi="Tahoma" w:cs="Tahoma"/>
          <w:sz w:val="20"/>
          <w:szCs w:val="20"/>
        </w:rPr>
        <w:t>, tj.</w:t>
      </w:r>
      <w:r w:rsidRPr="00FD4D0E">
        <w:rPr>
          <w:rFonts w:ascii="Tahoma" w:hAnsi="Tahoma" w:cs="Tahoma"/>
          <w:sz w:val="20"/>
          <w:szCs w:val="20"/>
        </w:rPr>
        <w:t xml:space="preserve"> v řádném kole jsou přičteny </w:t>
      </w:r>
      <w:r w:rsidR="00C56FA5" w:rsidRPr="00FD4D0E">
        <w:rPr>
          <w:rFonts w:ascii="Tahoma" w:hAnsi="Tahoma" w:cs="Tahoma"/>
          <w:sz w:val="20"/>
          <w:szCs w:val="20"/>
        </w:rPr>
        <w:t>nákladové</w:t>
      </w:r>
      <w:r w:rsidRPr="00FD4D0E">
        <w:rPr>
          <w:rFonts w:ascii="Tahoma" w:hAnsi="Tahoma" w:cs="Tahoma"/>
          <w:sz w:val="20"/>
          <w:szCs w:val="20"/>
        </w:rPr>
        <w:t xml:space="preserve"> limity na navýšenou kapacitu</w:t>
      </w:r>
      <w:r w:rsidR="00A24879" w:rsidRPr="00FD4D0E">
        <w:rPr>
          <w:rFonts w:ascii="Tahoma" w:hAnsi="Tahoma" w:cs="Tahoma"/>
          <w:sz w:val="20"/>
          <w:szCs w:val="20"/>
        </w:rPr>
        <w:t xml:space="preserve"> stanovené </w:t>
      </w:r>
      <w:r w:rsidRPr="00FD4D0E">
        <w:rPr>
          <w:rFonts w:ascii="Tahoma" w:hAnsi="Tahoma" w:cs="Tahoma"/>
          <w:sz w:val="20"/>
          <w:szCs w:val="20"/>
        </w:rPr>
        <w:t>dle bodu A. tohoto článku.</w:t>
      </w:r>
    </w:p>
    <w:p w14:paraId="2FD208B6" w14:textId="77777777" w:rsidR="00D44388" w:rsidRPr="00FD4D0E" w:rsidRDefault="00D44388" w:rsidP="00780291">
      <w:pPr>
        <w:pStyle w:val="Odstavecseseznamem"/>
        <w:spacing w:before="120" w:after="120" w:line="240" w:lineRule="auto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434CE126" w14:textId="77777777" w:rsidR="00412A4B" w:rsidRPr="00FD4D0E" w:rsidRDefault="00C56FA5" w:rsidP="00780291">
      <w:pPr>
        <w:pStyle w:val="Odstavecseseznamem"/>
        <w:numPr>
          <w:ilvl w:val="0"/>
          <w:numId w:val="38"/>
        </w:numPr>
        <w:spacing w:before="120" w:after="120" w:line="240" w:lineRule="auto"/>
        <w:ind w:left="709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FD4D0E">
        <w:rPr>
          <w:rFonts w:ascii="Tahoma" w:hAnsi="Tahoma" w:cs="Tahoma"/>
          <w:b/>
          <w:sz w:val="20"/>
          <w:szCs w:val="20"/>
        </w:rPr>
        <w:t>Úprava nákladových</w:t>
      </w:r>
      <w:r w:rsidR="00412A4B" w:rsidRPr="00FD4D0E">
        <w:rPr>
          <w:rFonts w:ascii="Tahoma" w:hAnsi="Tahoma" w:cs="Tahoma"/>
          <w:b/>
          <w:sz w:val="20"/>
          <w:szCs w:val="20"/>
        </w:rPr>
        <w:t xml:space="preserve"> limitů při dofinancování</w:t>
      </w:r>
    </w:p>
    <w:p w14:paraId="77664BF0" w14:textId="3C963063" w:rsidR="00412A4B" w:rsidRPr="00412A4B" w:rsidRDefault="00412A4B" w:rsidP="00780291">
      <w:pPr>
        <w:pStyle w:val="Odstavecseseznamem"/>
        <w:spacing w:before="120"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FD4D0E">
        <w:rPr>
          <w:rFonts w:ascii="Tahoma" w:hAnsi="Tahoma" w:cs="Tahoma"/>
          <w:sz w:val="20"/>
          <w:szCs w:val="20"/>
        </w:rPr>
        <w:t xml:space="preserve">V případě, že při dofinancování přesáhne </w:t>
      </w:r>
      <w:r w:rsidR="0016308B" w:rsidRPr="00FD4D0E">
        <w:rPr>
          <w:rFonts w:ascii="Tahoma" w:hAnsi="Tahoma" w:cs="Tahoma"/>
          <w:sz w:val="20"/>
          <w:szCs w:val="20"/>
        </w:rPr>
        <w:t xml:space="preserve">pro danou sociální službu </w:t>
      </w:r>
      <w:r w:rsidRPr="00FD4D0E">
        <w:rPr>
          <w:rFonts w:ascii="Tahoma" w:hAnsi="Tahoma" w:cs="Tahoma"/>
          <w:sz w:val="20"/>
          <w:szCs w:val="20"/>
        </w:rPr>
        <w:t xml:space="preserve">navrhovaná výše dotace (včetně navýšení) součet </w:t>
      </w:r>
      <w:r w:rsidR="00C56FA5" w:rsidRPr="00FD4D0E">
        <w:rPr>
          <w:rFonts w:ascii="Tahoma" w:hAnsi="Tahoma" w:cs="Tahoma"/>
          <w:sz w:val="20"/>
          <w:szCs w:val="20"/>
        </w:rPr>
        <w:t>nákladových</w:t>
      </w:r>
      <w:r w:rsidRPr="00FD4D0E">
        <w:rPr>
          <w:rFonts w:ascii="Tahoma" w:hAnsi="Tahoma" w:cs="Tahoma"/>
          <w:sz w:val="20"/>
          <w:szCs w:val="20"/>
        </w:rPr>
        <w:t xml:space="preserve"> limitů stanovených </w:t>
      </w:r>
      <w:r w:rsidR="00F952A0" w:rsidRPr="00FD4D0E">
        <w:rPr>
          <w:rFonts w:ascii="Tahoma" w:hAnsi="Tahoma" w:cs="Tahoma"/>
          <w:sz w:val="20"/>
          <w:szCs w:val="20"/>
        </w:rPr>
        <w:t>zastupitelstvem kraje usnesením č.</w:t>
      </w:r>
      <w:r w:rsidR="0016308B">
        <w:rPr>
          <w:rFonts w:ascii="Tahoma" w:hAnsi="Tahoma" w:cs="Tahoma"/>
          <w:sz w:val="20"/>
          <w:szCs w:val="20"/>
        </w:rPr>
        <w:t> </w:t>
      </w:r>
      <w:r w:rsidR="00FD4D0E" w:rsidRPr="00FD4D0E">
        <w:rPr>
          <w:rFonts w:ascii="Tahoma" w:hAnsi="Tahoma" w:cs="Tahoma"/>
          <w:sz w:val="20"/>
          <w:szCs w:val="20"/>
        </w:rPr>
        <w:t>11</w:t>
      </w:r>
      <w:r w:rsidR="00F952A0" w:rsidRPr="00FD4D0E">
        <w:rPr>
          <w:rFonts w:ascii="Tahoma" w:hAnsi="Tahoma" w:cs="Tahoma"/>
          <w:sz w:val="20"/>
          <w:szCs w:val="20"/>
        </w:rPr>
        <w:t>/</w:t>
      </w:r>
      <w:r w:rsidR="00FD4D0E" w:rsidRPr="00FD4D0E">
        <w:rPr>
          <w:rFonts w:ascii="Tahoma" w:hAnsi="Tahoma" w:cs="Tahoma"/>
          <w:sz w:val="20"/>
          <w:szCs w:val="20"/>
        </w:rPr>
        <w:t>1361</w:t>
      </w:r>
      <w:r w:rsidR="00F952A0" w:rsidRPr="00FD4D0E">
        <w:rPr>
          <w:rFonts w:ascii="Tahoma" w:hAnsi="Tahoma" w:cs="Tahoma"/>
          <w:sz w:val="20"/>
          <w:szCs w:val="20"/>
        </w:rPr>
        <w:t xml:space="preserve"> ze dne 1</w:t>
      </w:r>
      <w:r w:rsidR="00FD4D0E" w:rsidRPr="00FD4D0E">
        <w:rPr>
          <w:rFonts w:ascii="Tahoma" w:hAnsi="Tahoma" w:cs="Tahoma"/>
          <w:sz w:val="20"/>
          <w:szCs w:val="20"/>
        </w:rPr>
        <w:t>3</w:t>
      </w:r>
      <w:r w:rsidR="00F952A0" w:rsidRPr="00FD4D0E">
        <w:rPr>
          <w:rFonts w:ascii="Tahoma" w:hAnsi="Tahoma" w:cs="Tahoma"/>
          <w:sz w:val="20"/>
          <w:szCs w:val="20"/>
        </w:rPr>
        <w:t>.</w:t>
      </w:r>
      <w:r w:rsidR="00FD4D0E" w:rsidRPr="00FD4D0E">
        <w:rPr>
          <w:rFonts w:ascii="Tahoma" w:hAnsi="Tahoma" w:cs="Tahoma"/>
          <w:sz w:val="20"/>
          <w:szCs w:val="20"/>
        </w:rPr>
        <w:t> </w:t>
      </w:r>
      <w:r w:rsidR="00F952A0" w:rsidRPr="00FD4D0E">
        <w:rPr>
          <w:rFonts w:ascii="Tahoma" w:hAnsi="Tahoma" w:cs="Tahoma"/>
          <w:sz w:val="20"/>
          <w:szCs w:val="20"/>
        </w:rPr>
        <w:t>3.</w:t>
      </w:r>
      <w:r w:rsidR="00FD4D0E" w:rsidRPr="00FD4D0E">
        <w:rPr>
          <w:rFonts w:ascii="Tahoma" w:hAnsi="Tahoma" w:cs="Tahoma"/>
          <w:sz w:val="20"/>
          <w:szCs w:val="20"/>
        </w:rPr>
        <w:t> </w:t>
      </w:r>
      <w:r w:rsidR="00F952A0" w:rsidRPr="00FD4D0E">
        <w:rPr>
          <w:rFonts w:ascii="Tahoma" w:hAnsi="Tahoma" w:cs="Tahoma"/>
          <w:sz w:val="20"/>
          <w:szCs w:val="20"/>
        </w:rPr>
        <w:t>201</w:t>
      </w:r>
      <w:r w:rsidR="00FD4D0E" w:rsidRPr="00FD4D0E">
        <w:rPr>
          <w:rFonts w:ascii="Tahoma" w:hAnsi="Tahoma" w:cs="Tahoma"/>
          <w:sz w:val="20"/>
          <w:szCs w:val="20"/>
        </w:rPr>
        <w:t>9</w:t>
      </w:r>
      <w:r w:rsidR="00F952A0" w:rsidRPr="00FD4D0E">
        <w:rPr>
          <w:rFonts w:ascii="Tahoma" w:hAnsi="Tahoma" w:cs="Tahoma"/>
          <w:sz w:val="20"/>
          <w:szCs w:val="20"/>
        </w:rPr>
        <w:t>, tj. v řádném kole</w:t>
      </w:r>
      <w:r w:rsidRPr="00FD4D0E">
        <w:rPr>
          <w:rFonts w:ascii="Tahoma" w:hAnsi="Tahoma" w:cs="Tahoma"/>
          <w:sz w:val="20"/>
          <w:szCs w:val="20"/>
        </w:rPr>
        <w:t xml:space="preserve">, je zvýšen příslušný </w:t>
      </w:r>
      <w:r w:rsidR="00C56FA5" w:rsidRPr="00FD4D0E">
        <w:rPr>
          <w:rFonts w:ascii="Tahoma" w:hAnsi="Tahoma" w:cs="Tahoma"/>
          <w:sz w:val="20"/>
          <w:szCs w:val="20"/>
        </w:rPr>
        <w:t>nákladový</w:t>
      </w:r>
      <w:r w:rsidRPr="00FD4D0E">
        <w:rPr>
          <w:rFonts w:ascii="Tahoma" w:hAnsi="Tahoma" w:cs="Tahoma"/>
          <w:sz w:val="20"/>
          <w:szCs w:val="20"/>
        </w:rPr>
        <w:t xml:space="preserve"> limit dle</w:t>
      </w:r>
      <w:r w:rsidR="0016308B">
        <w:rPr>
          <w:rFonts w:ascii="Tahoma" w:hAnsi="Tahoma" w:cs="Tahoma"/>
          <w:sz w:val="20"/>
          <w:szCs w:val="20"/>
        </w:rPr>
        <w:t> </w:t>
      </w:r>
      <w:r w:rsidRPr="00FD4D0E">
        <w:rPr>
          <w:rFonts w:ascii="Tahoma" w:hAnsi="Tahoma" w:cs="Tahoma"/>
          <w:sz w:val="20"/>
          <w:szCs w:val="20"/>
        </w:rPr>
        <w:t xml:space="preserve">žádosti o dofinancování tak, aby součet </w:t>
      </w:r>
      <w:r w:rsidR="00C56FA5" w:rsidRPr="00FD4D0E">
        <w:rPr>
          <w:rFonts w:ascii="Tahoma" w:hAnsi="Tahoma" w:cs="Tahoma"/>
          <w:sz w:val="20"/>
          <w:szCs w:val="20"/>
        </w:rPr>
        <w:t xml:space="preserve">nákladových </w:t>
      </w:r>
      <w:r w:rsidRPr="00FD4D0E">
        <w:rPr>
          <w:rFonts w:ascii="Tahoma" w:hAnsi="Tahoma" w:cs="Tahoma"/>
          <w:sz w:val="20"/>
          <w:szCs w:val="20"/>
        </w:rPr>
        <w:t>limitů odpovídal navrhované výš</w:t>
      </w:r>
      <w:r w:rsidR="00A24879" w:rsidRPr="00FD4D0E">
        <w:rPr>
          <w:rFonts w:ascii="Tahoma" w:hAnsi="Tahoma" w:cs="Tahoma"/>
          <w:sz w:val="20"/>
          <w:szCs w:val="20"/>
        </w:rPr>
        <w:t>i</w:t>
      </w:r>
      <w:r w:rsidRPr="00FD4D0E">
        <w:rPr>
          <w:rFonts w:ascii="Tahoma" w:hAnsi="Tahoma" w:cs="Tahoma"/>
          <w:sz w:val="20"/>
          <w:szCs w:val="20"/>
        </w:rPr>
        <w:t xml:space="preserve"> dotace, včetně navýšení.</w:t>
      </w:r>
      <w:bookmarkStart w:id="0" w:name="_GoBack"/>
      <w:bookmarkEnd w:id="0"/>
    </w:p>
    <w:sectPr w:rsidR="00412A4B" w:rsidRPr="00412A4B" w:rsidSect="002C06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09DAE" w14:textId="77777777" w:rsidR="004463CE" w:rsidRDefault="004463CE" w:rsidP="00BD6677">
      <w:pPr>
        <w:spacing w:after="0" w:line="240" w:lineRule="auto"/>
      </w:pPr>
      <w:r>
        <w:separator/>
      </w:r>
    </w:p>
  </w:endnote>
  <w:endnote w:type="continuationSeparator" w:id="0">
    <w:p w14:paraId="2A408B53" w14:textId="77777777" w:rsidR="004463CE" w:rsidRDefault="004463CE" w:rsidP="00BD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939928"/>
      <w:docPartObj>
        <w:docPartGallery w:val="Page Numbers (Bottom of Page)"/>
        <w:docPartUnique/>
      </w:docPartObj>
    </w:sdtPr>
    <w:sdtEndPr/>
    <w:sdtContent>
      <w:p w14:paraId="398DAC17" w14:textId="77777777" w:rsidR="00532320" w:rsidRDefault="00FD4D0E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07EE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B0FAF2C" w14:textId="77777777" w:rsidR="00532320" w:rsidRDefault="005323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A4448" w14:textId="77777777" w:rsidR="004463CE" w:rsidRDefault="004463CE" w:rsidP="00BD6677">
      <w:pPr>
        <w:spacing w:after="0" w:line="240" w:lineRule="auto"/>
      </w:pPr>
      <w:r>
        <w:separator/>
      </w:r>
    </w:p>
  </w:footnote>
  <w:footnote w:type="continuationSeparator" w:id="0">
    <w:p w14:paraId="7417833C" w14:textId="77777777" w:rsidR="004463CE" w:rsidRDefault="004463CE" w:rsidP="00BD6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7EE"/>
    <w:multiLevelType w:val="hybridMultilevel"/>
    <w:tmpl w:val="2DB611EC"/>
    <w:lvl w:ilvl="0" w:tplc="040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4569" w:hanging="360"/>
      </w:pPr>
    </w:lvl>
    <w:lvl w:ilvl="2" w:tplc="0405001B" w:tentative="1">
      <w:start w:val="1"/>
      <w:numFmt w:val="lowerRoman"/>
      <w:lvlText w:val="%3."/>
      <w:lvlJc w:val="right"/>
      <w:pPr>
        <w:ind w:left="5289" w:hanging="180"/>
      </w:pPr>
    </w:lvl>
    <w:lvl w:ilvl="3" w:tplc="0405000F" w:tentative="1">
      <w:start w:val="1"/>
      <w:numFmt w:val="decimal"/>
      <w:lvlText w:val="%4."/>
      <w:lvlJc w:val="left"/>
      <w:pPr>
        <w:ind w:left="6009" w:hanging="360"/>
      </w:pPr>
    </w:lvl>
    <w:lvl w:ilvl="4" w:tplc="04050019" w:tentative="1">
      <w:start w:val="1"/>
      <w:numFmt w:val="lowerLetter"/>
      <w:lvlText w:val="%5."/>
      <w:lvlJc w:val="left"/>
      <w:pPr>
        <w:ind w:left="6729" w:hanging="360"/>
      </w:pPr>
    </w:lvl>
    <w:lvl w:ilvl="5" w:tplc="0405001B" w:tentative="1">
      <w:start w:val="1"/>
      <w:numFmt w:val="lowerRoman"/>
      <w:lvlText w:val="%6."/>
      <w:lvlJc w:val="right"/>
      <w:pPr>
        <w:ind w:left="7449" w:hanging="180"/>
      </w:pPr>
    </w:lvl>
    <w:lvl w:ilvl="6" w:tplc="0405000F" w:tentative="1">
      <w:start w:val="1"/>
      <w:numFmt w:val="decimal"/>
      <w:lvlText w:val="%7."/>
      <w:lvlJc w:val="left"/>
      <w:pPr>
        <w:ind w:left="8169" w:hanging="360"/>
      </w:pPr>
    </w:lvl>
    <w:lvl w:ilvl="7" w:tplc="04050019" w:tentative="1">
      <w:start w:val="1"/>
      <w:numFmt w:val="lowerLetter"/>
      <w:lvlText w:val="%8."/>
      <w:lvlJc w:val="left"/>
      <w:pPr>
        <w:ind w:left="8889" w:hanging="360"/>
      </w:pPr>
    </w:lvl>
    <w:lvl w:ilvl="8" w:tplc="0405001B" w:tentative="1">
      <w:start w:val="1"/>
      <w:numFmt w:val="lowerRoman"/>
      <w:lvlText w:val="%9."/>
      <w:lvlJc w:val="right"/>
      <w:pPr>
        <w:ind w:left="9609" w:hanging="180"/>
      </w:pPr>
    </w:lvl>
  </w:abstractNum>
  <w:abstractNum w:abstractNumId="1" w15:restartNumberingAfterBreak="0">
    <w:nsid w:val="0101358C"/>
    <w:multiLevelType w:val="hybridMultilevel"/>
    <w:tmpl w:val="5C908E66"/>
    <w:lvl w:ilvl="0" w:tplc="3A6EE9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93AE7"/>
    <w:multiLevelType w:val="hybridMultilevel"/>
    <w:tmpl w:val="BBC03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90DBF"/>
    <w:multiLevelType w:val="multilevel"/>
    <w:tmpl w:val="33E8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410EB"/>
    <w:multiLevelType w:val="hybridMultilevel"/>
    <w:tmpl w:val="16C25EF8"/>
    <w:lvl w:ilvl="0" w:tplc="DEBED014">
      <w:start w:val="2"/>
      <w:numFmt w:val="bullet"/>
      <w:lvlText w:val="-"/>
      <w:lvlJc w:val="left"/>
      <w:pPr>
        <w:ind w:left="1353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E2F42A7"/>
    <w:multiLevelType w:val="hybridMultilevel"/>
    <w:tmpl w:val="B0B0CD4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F63DA3"/>
    <w:multiLevelType w:val="hybridMultilevel"/>
    <w:tmpl w:val="C24EA8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087F42"/>
    <w:multiLevelType w:val="hybridMultilevel"/>
    <w:tmpl w:val="061488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D42200C"/>
    <w:multiLevelType w:val="hybridMultilevel"/>
    <w:tmpl w:val="BC5A448C"/>
    <w:lvl w:ilvl="0" w:tplc="040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3E00ECC"/>
    <w:multiLevelType w:val="hybridMultilevel"/>
    <w:tmpl w:val="D870C68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E06A1"/>
    <w:multiLevelType w:val="hybridMultilevel"/>
    <w:tmpl w:val="DE78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91CF2"/>
    <w:multiLevelType w:val="hybridMultilevel"/>
    <w:tmpl w:val="A9A0D34C"/>
    <w:lvl w:ilvl="0" w:tplc="0405000F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DFB3E7D"/>
    <w:multiLevelType w:val="multilevel"/>
    <w:tmpl w:val="F2D8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F50B6"/>
    <w:multiLevelType w:val="hybridMultilevel"/>
    <w:tmpl w:val="3678E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F5C41"/>
    <w:multiLevelType w:val="hybridMultilevel"/>
    <w:tmpl w:val="032C2A80"/>
    <w:lvl w:ilvl="0" w:tplc="D4EA8C8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202AAA"/>
    <w:multiLevelType w:val="hybridMultilevel"/>
    <w:tmpl w:val="875EBE38"/>
    <w:lvl w:ilvl="0" w:tplc="F3BE8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715FC"/>
    <w:multiLevelType w:val="hybridMultilevel"/>
    <w:tmpl w:val="079C56AE"/>
    <w:lvl w:ilvl="0" w:tplc="88E2DA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59EE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67268"/>
    <w:multiLevelType w:val="hybridMultilevel"/>
    <w:tmpl w:val="7A44F086"/>
    <w:lvl w:ilvl="0" w:tplc="F3BE8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C55D6"/>
    <w:multiLevelType w:val="hybridMultilevel"/>
    <w:tmpl w:val="737CF69E"/>
    <w:lvl w:ilvl="0" w:tplc="73AAB70A">
      <w:start w:val="2"/>
      <w:numFmt w:val="bullet"/>
      <w:lvlText w:val="-"/>
      <w:lvlJc w:val="left"/>
      <w:pPr>
        <w:ind w:left="1860" w:hanging="360"/>
      </w:pPr>
      <w:rPr>
        <w:rFonts w:ascii="Tahoma" w:eastAsiaTheme="minorHAnsi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430025A8"/>
    <w:multiLevelType w:val="hybridMultilevel"/>
    <w:tmpl w:val="BE068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9538B"/>
    <w:multiLevelType w:val="hybridMultilevel"/>
    <w:tmpl w:val="274C149E"/>
    <w:lvl w:ilvl="0" w:tplc="46F20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34786"/>
    <w:multiLevelType w:val="hybridMultilevel"/>
    <w:tmpl w:val="3F16C3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44CAD"/>
    <w:multiLevelType w:val="hybridMultilevel"/>
    <w:tmpl w:val="043E1908"/>
    <w:lvl w:ilvl="0" w:tplc="B7D64588">
      <w:start w:val="1"/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F357A76"/>
    <w:multiLevelType w:val="hybridMultilevel"/>
    <w:tmpl w:val="58C039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6B7C1F"/>
    <w:multiLevelType w:val="hybridMultilevel"/>
    <w:tmpl w:val="3B4E749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5DC1D38"/>
    <w:multiLevelType w:val="hybridMultilevel"/>
    <w:tmpl w:val="C098F71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9B5A83"/>
    <w:multiLevelType w:val="hybridMultilevel"/>
    <w:tmpl w:val="15220D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2013C8"/>
    <w:multiLevelType w:val="hybridMultilevel"/>
    <w:tmpl w:val="8F842C28"/>
    <w:lvl w:ilvl="0" w:tplc="78BC4DB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91842"/>
    <w:multiLevelType w:val="hybridMultilevel"/>
    <w:tmpl w:val="BFF6E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13999"/>
    <w:multiLevelType w:val="hybridMultilevel"/>
    <w:tmpl w:val="D3A4B3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007C6"/>
    <w:multiLevelType w:val="hybridMultilevel"/>
    <w:tmpl w:val="AE962EAE"/>
    <w:lvl w:ilvl="0" w:tplc="F58CA288">
      <w:start w:val="5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401A5"/>
    <w:multiLevelType w:val="hybridMultilevel"/>
    <w:tmpl w:val="826E543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FD810A6"/>
    <w:multiLevelType w:val="hybridMultilevel"/>
    <w:tmpl w:val="47C82FB0"/>
    <w:lvl w:ilvl="0" w:tplc="D9589F80">
      <w:start w:val="1"/>
      <w:numFmt w:val="upperLetter"/>
      <w:lvlText w:val="%1."/>
      <w:lvlJc w:val="left"/>
      <w:pPr>
        <w:ind w:left="1776" w:hanging="360"/>
      </w:pPr>
      <w:rPr>
        <w:rFonts w:ascii="Tahoma" w:eastAsiaTheme="minorHAnsi" w:hAnsi="Tahoma" w:cs="Tahoma"/>
      </w:rPr>
    </w:lvl>
    <w:lvl w:ilvl="1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21D04DB"/>
    <w:multiLevelType w:val="hybridMultilevel"/>
    <w:tmpl w:val="DCE84AD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FF195F"/>
    <w:multiLevelType w:val="hybridMultilevel"/>
    <w:tmpl w:val="860CF046"/>
    <w:lvl w:ilvl="0" w:tplc="46F20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E7162"/>
    <w:multiLevelType w:val="hybridMultilevel"/>
    <w:tmpl w:val="3FE24390"/>
    <w:lvl w:ilvl="0" w:tplc="E1E6DD56">
      <w:start w:val="1"/>
      <w:numFmt w:val="bullet"/>
      <w:lvlText w:val="-"/>
      <w:lvlJc w:val="left"/>
      <w:pPr>
        <w:ind w:left="25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6" w15:restartNumberingAfterBreak="0">
    <w:nsid w:val="7C755BF0"/>
    <w:multiLevelType w:val="hybridMultilevel"/>
    <w:tmpl w:val="EA44BB24"/>
    <w:lvl w:ilvl="0" w:tplc="0405000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3918" w:hanging="360"/>
      </w:pPr>
    </w:lvl>
    <w:lvl w:ilvl="2" w:tplc="0405001B" w:tentative="1">
      <w:start w:val="1"/>
      <w:numFmt w:val="lowerRoman"/>
      <w:lvlText w:val="%3."/>
      <w:lvlJc w:val="right"/>
      <w:pPr>
        <w:ind w:left="4638" w:hanging="180"/>
      </w:pPr>
    </w:lvl>
    <w:lvl w:ilvl="3" w:tplc="0405000F" w:tentative="1">
      <w:start w:val="1"/>
      <w:numFmt w:val="decimal"/>
      <w:lvlText w:val="%4."/>
      <w:lvlJc w:val="left"/>
      <w:pPr>
        <w:ind w:left="5358" w:hanging="360"/>
      </w:pPr>
    </w:lvl>
    <w:lvl w:ilvl="4" w:tplc="04050019" w:tentative="1">
      <w:start w:val="1"/>
      <w:numFmt w:val="lowerLetter"/>
      <w:lvlText w:val="%5."/>
      <w:lvlJc w:val="left"/>
      <w:pPr>
        <w:ind w:left="6078" w:hanging="360"/>
      </w:pPr>
    </w:lvl>
    <w:lvl w:ilvl="5" w:tplc="0405001B" w:tentative="1">
      <w:start w:val="1"/>
      <w:numFmt w:val="lowerRoman"/>
      <w:lvlText w:val="%6."/>
      <w:lvlJc w:val="right"/>
      <w:pPr>
        <w:ind w:left="6798" w:hanging="180"/>
      </w:pPr>
    </w:lvl>
    <w:lvl w:ilvl="6" w:tplc="0405000F" w:tentative="1">
      <w:start w:val="1"/>
      <w:numFmt w:val="decimal"/>
      <w:lvlText w:val="%7."/>
      <w:lvlJc w:val="left"/>
      <w:pPr>
        <w:ind w:left="7518" w:hanging="360"/>
      </w:pPr>
    </w:lvl>
    <w:lvl w:ilvl="7" w:tplc="04050019" w:tentative="1">
      <w:start w:val="1"/>
      <w:numFmt w:val="lowerLetter"/>
      <w:lvlText w:val="%8."/>
      <w:lvlJc w:val="left"/>
      <w:pPr>
        <w:ind w:left="8238" w:hanging="360"/>
      </w:pPr>
    </w:lvl>
    <w:lvl w:ilvl="8" w:tplc="0405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37" w15:restartNumberingAfterBreak="0">
    <w:nsid w:val="7CFC24F8"/>
    <w:multiLevelType w:val="hybridMultilevel"/>
    <w:tmpl w:val="E32E1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5"/>
  </w:num>
  <w:num w:numId="4">
    <w:abstractNumId w:val="0"/>
  </w:num>
  <w:num w:numId="5">
    <w:abstractNumId w:val="16"/>
  </w:num>
  <w:num w:numId="6">
    <w:abstractNumId w:val="4"/>
  </w:num>
  <w:num w:numId="7">
    <w:abstractNumId w:val="8"/>
  </w:num>
  <w:num w:numId="8">
    <w:abstractNumId w:val="11"/>
  </w:num>
  <w:num w:numId="9">
    <w:abstractNumId w:val="18"/>
  </w:num>
  <w:num w:numId="10">
    <w:abstractNumId w:val="7"/>
  </w:num>
  <w:num w:numId="11">
    <w:abstractNumId w:val="36"/>
  </w:num>
  <w:num w:numId="12">
    <w:abstractNumId w:val="35"/>
  </w:num>
  <w:num w:numId="13">
    <w:abstractNumId w:val="21"/>
  </w:num>
  <w:num w:numId="14">
    <w:abstractNumId w:val="25"/>
  </w:num>
  <w:num w:numId="15">
    <w:abstractNumId w:val="29"/>
  </w:num>
  <w:num w:numId="16">
    <w:abstractNumId w:val="15"/>
  </w:num>
  <w:num w:numId="17">
    <w:abstractNumId w:val="27"/>
  </w:num>
  <w:num w:numId="18">
    <w:abstractNumId w:val="31"/>
  </w:num>
  <w:num w:numId="19">
    <w:abstractNumId w:val="14"/>
  </w:num>
  <w:num w:numId="20">
    <w:abstractNumId w:val="9"/>
  </w:num>
  <w:num w:numId="21">
    <w:abstractNumId w:val="24"/>
  </w:num>
  <w:num w:numId="22">
    <w:abstractNumId w:val="3"/>
  </w:num>
  <w:num w:numId="23">
    <w:abstractNumId w:val="12"/>
  </w:num>
  <w:num w:numId="24">
    <w:abstractNumId w:val="13"/>
  </w:num>
  <w:num w:numId="25">
    <w:abstractNumId w:val="1"/>
  </w:num>
  <w:num w:numId="26">
    <w:abstractNumId w:val="37"/>
  </w:num>
  <w:num w:numId="27">
    <w:abstractNumId w:val="33"/>
  </w:num>
  <w:num w:numId="28">
    <w:abstractNumId w:val="22"/>
  </w:num>
  <w:num w:numId="29">
    <w:abstractNumId w:val="20"/>
  </w:num>
  <w:num w:numId="30">
    <w:abstractNumId w:val="26"/>
  </w:num>
  <w:num w:numId="31">
    <w:abstractNumId w:val="6"/>
  </w:num>
  <w:num w:numId="32">
    <w:abstractNumId w:val="2"/>
  </w:num>
  <w:num w:numId="33">
    <w:abstractNumId w:val="19"/>
  </w:num>
  <w:num w:numId="34">
    <w:abstractNumId w:val="28"/>
  </w:num>
  <w:num w:numId="35">
    <w:abstractNumId w:val="30"/>
  </w:num>
  <w:num w:numId="36">
    <w:abstractNumId w:val="10"/>
  </w:num>
  <w:num w:numId="37">
    <w:abstractNumId w:val="1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897"/>
    <w:rsid w:val="00022924"/>
    <w:rsid w:val="000528AF"/>
    <w:rsid w:val="0005416A"/>
    <w:rsid w:val="000725A7"/>
    <w:rsid w:val="000A0023"/>
    <w:rsid w:val="000A2E77"/>
    <w:rsid w:val="000B3303"/>
    <w:rsid w:val="000B6525"/>
    <w:rsid w:val="000C1CC1"/>
    <w:rsid w:val="000C2A85"/>
    <w:rsid w:val="000E5E7C"/>
    <w:rsid w:val="000E6979"/>
    <w:rsid w:val="000F1346"/>
    <w:rsid w:val="000F750A"/>
    <w:rsid w:val="00110595"/>
    <w:rsid w:val="0013061F"/>
    <w:rsid w:val="001415C7"/>
    <w:rsid w:val="00154541"/>
    <w:rsid w:val="001610B1"/>
    <w:rsid w:val="0016308B"/>
    <w:rsid w:val="00166612"/>
    <w:rsid w:val="00167D35"/>
    <w:rsid w:val="00173D23"/>
    <w:rsid w:val="00176125"/>
    <w:rsid w:val="00182075"/>
    <w:rsid w:val="001B5283"/>
    <w:rsid w:val="001B7102"/>
    <w:rsid w:val="001C01A9"/>
    <w:rsid w:val="001C7CED"/>
    <w:rsid w:val="001D6DA7"/>
    <w:rsid w:val="00201889"/>
    <w:rsid w:val="0020511F"/>
    <w:rsid w:val="002159F7"/>
    <w:rsid w:val="00231A7F"/>
    <w:rsid w:val="00233E4A"/>
    <w:rsid w:val="0023419E"/>
    <w:rsid w:val="00250A7B"/>
    <w:rsid w:val="002511E7"/>
    <w:rsid w:val="002774B8"/>
    <w:rsid w:val="00283F90"/>
    <w:rsid w:val="002846F5"/>
    <w:rsid w:val="002B3C87"/>
    <w:rsid w:val="002C06B6"/>
    <w:rsid w:val="002C0750"/>
    <w:rsid w:val="002C34B5"/>
    <w:rsid w:val="002E54DC"/>
    <w:rsid w:val="002E6401"/>
    <w:rsid w:val="002F29F9"/>
    <w:rsid w:val="002F394B"/>
    <w:rsid w:val="003079EE"/>
    <w:rsid w:val="003119A8"/>
    <w:rsid w:val="00311DD5"/>
    <w:rsid w:val="00314F07"/>
    <w:rsid w:val="003163F3"/>
    <w:rsid w:val="003656C8"/>
    <w:rsid w:val="003659D6"/>
    <w:rsid w:val="00387C3F"/>
    <w:rsid w:val="003B1060"/>
    <w:rsid w:val="003B3A05"/>
    <w:rsid w:val="003C0D72"/>
    <w:rsid w:val="003C1491"/>
    <w:rsid w:val="003C2674"/>
    <w:rsid w:val="003C2A3B"/>
    <w:rsid w:val="003C4980"/>
    <w:rsid w:val="003D0000"/>
    <w:rsid w:val="003E6F54"/>
    <w:rsid w:val="003F5082"/>
    <w:rsid w:val="00412A4B"/>
    <w:rsid w:val="004243C8"/>
    <w:rsid w:val="00434B14"/>
    <w:rsid w:val="00443EC1"/>
    <w:rsid w:val="004463CE"/>
    <w:rsid w:val="00450500"/>
    <w:rsid w:val="00452FA3"/>
    <w:rsid w:val="00463A86"/>
    <w:rsid w:val="004726EF"/>
    <w:rsid w:val="0048406F"/>
    <w:rsid w:val="00490616"/>
    <w:rsid w:val="004A206E"/>
    <w:rsid w:val="004A2D9E"/>
    <w:rsid w:val="004B2A4D"/>
    <w:rsid w:val="004B5182"/>
    <w:rsid w:val="004B7F05"/>
    <w:rsid w:val="004D37F5"/>
    <w:rsid w:val="004D7530"/>
    <w:rsid w:val="004D7943"/>
    <w:rsid w:val="005110A7"/>
    <w:rsid w:val="00516B1D"/>
    <w:rsid w:val="00522E88"/>
    <w:rsid w:val="005274BD"/>
    <w:rsid w:val="00532320"/>
    <w:rsid w:val="00534FDE"/>
    <w:rsid w:val="00554729"/>
    <w:rsid w:val="00585519"/>
    <w:rsid w:val="00590016"/>
    <w:rsid w:val="005B0B3E"/>
    <w:rsid w:val="005D0FED"/>
    <w:rsid w:val="005E1306"/>
    <w:rsid w:val="00600467"/>
    <w:rsid w:val="0060251C"/>
    <w:rsid w:val="006055B5"/>
    <w:rsid w:val="006243AD"/>
    <w:rsid w:val="00631DD6"/>
    <w:rsid w:val="00632895"/>
    <w:rsid w:val="00644872"/>
    <w:rsid w:val="00652F7B"/>
    <w:rsid w:val="00660032"/>
    <w:rsid w:val="00663C62"/>
    <w:rsid w:val="006800E5"/>
    <w:rsid w:val="00690D2E"/>
    <w:rsid w:val="006B00BD"/>
    <w:rsid w:val="006D0363"/>
    <w:rsid w:val="006D521C"/>
    <w:rsid w:val="006E47D6"/>
    <w:rsid w:val="006F687E"/>
    <w:rsid w:val="006F6D6F"/>
    <w:rsid w:val="007077E8"/>
    <w:rsid w:val="007136F2"/>
    <w:rsid w:val="00714DE4"/>
    <w:rsid w:val="007376AD"/>
    <w:rsid w:val="00755D44"/>
    <w:rsid w:val="00757DBF"/>
    <w:rsid w:val="007649A0"/>
    <w:rsid w:val="00767927"/>
    <w:rsid w:val="00780291"/>
    <w:rsid w:val="007A16FE"/>
    <w:rsid w:val="007D1677"/>
    <w:rsid w:val="007D62AC"/>
    <w:rsid w:val="008268F4"/>
    <w:rsid w:val="00841497"/>
    <w:rsid w:val="00842D30"/>
    <w:rsid w:val="008A6166"/>
    <w:rsid w:val="008B75B0"/>
    <w:rsid w:val="008C5F8D"/>
    <w:rsid w:val="008D1FB2"/>
    <w:rsid w:val="008F0155"/>
    <w:rsid w:val="008F3E13"/>
    <w:rsid w:val="008F4676"/>
    <w:rsid w:val="00907F30"/>
    <w:rsid w:val="00915F88"/>
    <w:rsid w:val="00932B19"/>
    <w:rsid w:val="009774F7"/>
    <w:rsid w:val="00991125"/>
    <w:rsid w:val="009B2445"/>
    <w:rsid w:val="009B41F7"/>
    <w:rsid w:val="009C0E2F"/>
    <w:rsid w:val="009D1EBF"/>
    <w:rsid w:val="009D79BD"/>
    <w:rsid w:val="009E0B6E"/>
    <w:rsid w:val="009F0BB7"/>
    <w:rsid w:val="009F0D1B"/>
    <w:rsid w:val="009F3E6F"/>
    <w:rsid w:val="009F7E0D"/>
    <w:rsid w:val="00A116D6"/>
    <w:rsid w:val="00A24879"/>
    <w:rsid w:val="00A41897"/>
    <w:rsid w:val="00A42A59"/>
    <w:rsid w:val="00A46615"/>
    <w:rsid w:val="00A51B8B"/>
    <w:rsid w:val="00A613A1"/>
    <w:rsid w:val="00A6245F"/>
    <w:rsid w:val="00A645AC"/>
    <w:rsid w:val="00A7405F"/>
    <w:rsid w:val="00AB09B9"/>
    <w:rsid w:val="00AB6F1B"/>
    <w:rsid w:val="00AE0266"/>
    <w:rsid w:val="00AE7EF7"/>
    <w:rsid w:val="00AF1F76"/>
    <w:rsid w:val="00B04F40"/>
    <w:rsid w:val="00B05BFD"/>
    <w:rsid w:val="00B16641"/>
    <w:rsid w:val="00B26EB9"/>
    <w:rsid w:val="00B30D1A"/>
    <w:rsid w:val="00B419B8"/>
    <w:rsid w:val="00B5099B"/>
    <w:rsid w:val="00B55A2D"/>
    <w:rsid w:val="00B63D05"/>
    <w:rsid w:val="00B72622"/>
    <w:rsid w:val="00BA07F5"/>
    <w:rsid w:val="00BA2287"/>
    <w:rsid w:val="00BB1DEF"/>
    <w:rsid w:val="00BD6219"/>
    <w:rsid w:val="00BD6677"/>
    <w:rsid w:val="00BE1847"/>
    <w:rsid w:val="00C2344E"/>
    <w:rsid w:val="00C43496"/>
    <w:rsid w:val="00C507FB"/>
    <w:rsid w:val="00C56FA5"/>
    <w:rsid w:val="00C74449"/>
    <w:rsid w:val="00C75950"/>
    <w:rsid w:val="00C75EC2"/>
    <w:rsid w:val="00C81434"/>
    <w:rsid w:val="00CB5A4D"/>
    <w:rsid w:val="00CE4D37"/>
    <w:rsid w:val="00CE69EA"/>
    <w:rsid w:val="00CE6B3D"/>
    <w:rsid w:val="00CF6FBF"/>
    <w:rsid w:val="00D07EE9"/>
    <w:rsid w:val="00D11609"/>
    <w:rsid w:val="00D2055E"/>
    <w:rsid w:val="00D20D5B"/>
    <w:rsid w:val="00D44388"/>
    <w:rsid w:val="00D46798"/>
    <w:rsid w:val="00D515F3"/>
    <w:rsid w:val="00DB64DA"/>
    <w:rsid w:val="00DC579A"/>
    <w:rsid w:val="00DD790E"/>
    <w:rsid w:val="00DE271A"/>
    <w:rsid w:val="00DE6083"/>
    <w:rsid w:val="00E03BE5"/>
    <w:rsid w:val="00E178D6"/>
    <w:rsid w:val="00E840CD"/>
    <w:rsid w:val="00E84B5D"/>
    <w:rsid w:val="00E9183B"/>
    <w:rsid w:val="00E94A22"/>
    <w:rsid w:val="00EA7E6D"/>
    <w:rsid w:val="00ED2A4F"/>
    <w:rsid w:val="00ED5DD6"/>
    <w:rsid w:val="00EF63CA"/>
    <w:rsid w:val="00EF7579"/>
    <w:rsid w:val="00F50B69"/>
    <w:rsid w:val="00F65008"/>
    <w:rsid w:val="00F7095B"/>
    <w:rsid w:val="00F86F43"/>
    <w:rsid w:val="00F952A0"/>
    <w:rsid w:val="00FC4291"/>
    <w:rsid w:val="00FD1267"/>
    <w:rsid w:val="00FD4D0E"/>
    <w:rsid w:val="00FE069F"/>
    <w:rsid w:val="00FE0A9B"/>
    <w:rsid w:val="00FE188E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906F"/>
  <w15:docId w15:val="{9F62437A-43B3-4967-B01B-C1FA6B1A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34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9A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7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10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D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677"/>
  </w:style>
  <w:style w:type="paragraph" w:styleId="Zpat">
    <w:name w:val="footer"/>
    <w:basedOn w:val="Normln"/>
    <w:link w:val="ZpatChar"/>
    <w:uiPriority w:val="99"/>
    <w:unhideWhenUsed/>
    <w:rsid w:val="00BD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677"/>
  </w:style>
  <w:style w:type="character" w:styleId="Siln">
    <w:name w:val="Strong"/>
    <w:basedOn w:val="Standardnpsmoodstavce"/>
    <w:uiPriority w:val="22"/>
    <w:qFormat/>
    <w:rsid w:val="003B1060"/>
    <w:rPr>
      <w:b/>
      <w:bCs/>
      <w:i w:val="0"/>
      <w:iCs w:val="0"/>
    </w:rPr>
  </w:style>
  <w:style w:type="character" w:customStyle="1" w:styleId="MSKNormalChar">
    <w:name w:val="MSK_Normal Char"/>
    <w:basedOn w:val="Standardnpsmoodstavce"/>
    <w:link w:val="MSKNormal"/>
    <w:locked/>
    <w:rsid w:val="004D7530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4D7530"/>
    <w:pPr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2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8D9B-B734-45FD-9A6E-0269E172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3423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Běhálková Karin</dc:creator>
  <cp:keywords/>
  <dc:description/>
  <cp:lastModifiedBy>Kociánová Zuzana</cp:lastModifiedBy>
  <cp:revision>44</cp:revision>
  <cp:lastPrinted>2019-08-14T12:13:00Z</cp:lastPrinted>
  <dcterms:created xsi:type="dcterms:W3CDTF">2018-08-20T07:15:00Z</dcterms:created>
  <dcterms:modified xsi:type="dcterms:W3CDTF">2019-08-20T07:23:00Z</dcterms:modified>
</cp:coreProperties>
</file>