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7A1077">
        <w:rPr>
          <w:rFonts w:ascii="Tahoma" w:hAnsi="Tahoma" w:cs="Tahoma"/>
          <w:b/>
          <w:bCs/>
        </w:rPr>
        <w:t>Rámcová smlouva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proofErr w:type="gramStart"/>
      <w:r w:rsidRPr="007A1077">
        <w:rPr>
          <w:rFonts w:ascii="Tahoma" w:hAnsi="Tahoma" w:cs="Tahoma"/>
          <w:b/>
          <w:bCs/>
        </w:rPr>
        <w:t>mezi</w:t>
      </w:r>
      <w:proofErr w:type="gramEnd"/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 xml:space="preserve">Moravskoslezským krajem 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 xml:space="preserve">a  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městem Kopřivnice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o spolupráci při přípravě a realizaci stav</w:t>
      </w:r>
      <w:r>
        <w:rPr>
          <w:rFonts w:ascii="Tahoma" w:hAnsi="Tahoma" w:cs="Tahoma"/>
          <w:b/>
          <w:bCs/>
        </w:rPr>
        <w:t>e</w:t>
      </w:r>
      <w:r w:rsidRPr="007A1077">
        <w:rPr>
          <w:rFonts w:ascii="Tahoma" w:hAnsi="Tahoma" w:cs="Tahoma"/>
          <w:b/>
          <w:bCs/>
        </w:rPr>
        <w:t>b</w:t>
      </w:r>
      <w:r>
        <w:rPr>
          <w:rFonts w:ascii="Tahoma" w:hAnsi="Tahoma" w:cs="Tahoma"/>
          <w:b/>
          <w:bCs/>
        </w:rPr>
        <w:br/>
        <w:t>křižovatek NJ/K/19 a NJ/K/30</w:t>
      </w:r>
      <w:r w:rsidRPr="007A1077">
        <w:rPr>
          <w:rFonts w:ascii="Tahoma" w:hAnsi="Tahoma" w:cs="Tahoma"/>
          <w:b/>
          <w:bCs/>
        </w:rPr>
        <w:t xml:space="preserve"> 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Moravskoslezský kraj</w:t>
      </w:r>
      <w:r>
        <w:rPr>
          <w:rFonts w:ascii="Tahoma" w:hAnsi="Tahoma" w:cs="Tahoma"/>
          <w:sz w:val="22"/>
          <w:szCs w:val="22"/>
        </w:rPr>
        <w:tab/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sídlem: 28. října 117, 702 18 Ostrava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IČ: 70890692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Pr="007A1077">
        <w:rPr>
          <w:rFonts w:ascii="Tahoma" w:hAnsi="Tahoma" w:cs="Tahoma"/>
          <w:sz w:val="22"/>
          <w:szCs w:val="22"/>
        </w:rPr>
        <w:t xml:space="preserve"> hejtmanem kraje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dále i jen „MSK“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a</w:t>
      </w:r>
    </w:p>
    <w:p w:rsidR="0073645C" w:rsidRPr="007A1077" w:rsidRDefault="0073645C" w:rsidP="000143AD">
      <w:pPr>
        <w:pStyle w:val="Odstavecseseznamem1"/>
        <w:ind w:left="0"/>
        <w:jc w:val="both"/>
        <w:rPr>
          <w:rFonts w:ascii="Tahoma" w:hAnsi="Tahoma" w:cs="Tahoma"/>
        </w:rPr>
      </w:pPr>
    </w:p>
    <w:p w:rsidR="0073645C" w:rsidRDefault="0073645C" w:rsidP="008B67DC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Město Kopřivnice</w:t>
      </w:r>
    </w:p>
    <w:p w:rsidR="0073645C" w:rsidRDefault="0073645C" w:rsidP="008B67DC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7A1077">
        <w:rPr>
          <w:rFonts w:ascii="Tahoma" w:hAnsi="Tahoma" w:cs="Tahoma"/>
        </w:rPr>
        <w:t>ídlem</w:t>
      </w:r>
      <w:r>
        <w:rPr>
          <w:rFonts w:ascii="Tahoma" w:hAnsi="Tahoma" w:cs="Tahoma"/>
        </w:rPr>
        <w:t>: Štefánikova 1163/12</w:t>
      </w:r>
    </w:p>
    <w:p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>0028077</w:t>
      </w:r>
    </w:p>
    <w:p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zastoupena:</w:t>
      </w:r>
      <w:r w:rsidRPr="007A10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starostou města</w:t>
      </w:r>
    </w:p>
    <w:p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>dále i jen „</w:t>
      </w:r>
      <w:r>
        <w:rPr>
          <w:rFonts w:ascii="Tahoma" w:hAnsi="Tahoma" w:cs="Tahoma"/>
        </w:rPr>
        <w:t>Město</w:t>
      </w:r>
      <w:r w:rsidRPr="007A1077">
        <w:rPr>
          <w:rFonts w:ascii="Tahoma" w:hAnsi="Tahoma" w:cs="Tahoma"/>
        </w:rPr>
        <w:t>“</w:t>
      </w:r>
    </w:p>
    <w:p w:rsidR="0073645C" w:rsidRPr="007A1077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</w:p>
    <w:p w:rsidR="0073645C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</w:p>
    <w:p w:rsidR="0073645C" w:rsidRPr="00133A3D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uzavírají tuto rámcovou smlouvu:</w:t>
      </w:r>
    </w:p>
    <w:p w:rsidR="0073645C" w:rsidRPr="00965384" w:rsidRDefault="0073645C" w:rsidP="007663F0">
      <w:pPr>
        <w:pStyle w:val="Odstavecseseznamem1"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1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Moravskoslezský kraj a </w:t>
      </w:r>
      <w:r>
        <w:rPr>
          <w:rFonts w:ascii="Tahoma" w:hAnsi="Tahoma" w:cs="Tahoma"/>
        </w:rPr>
        <w:t>město Kopřivnice</w:t>
      </w:r>
      <w:r w:rsidRPr="00133A3D">
        <w:rPr>
          <w:rFonts w:ascii="Tahoma" w:hAnsi="Tahoma" w:cs="Tahoma"/>
        </w:rPr>
        <w:t>, veden</w:t>
      </w:r>
      <w:r>
        <w:rPr>
          <w:rFonts w:ascii="Tahoma" w:hAnsi="Tahoma" w:cs="Tahoma"/>
        </w:rPr>
        <w:t>i</w:t>
      </w:r>
      <w:r w:rsidRPr="00133A3D">
        <w:rPr>
          <w:rFonts w:ascii="Tahoma" w:hAnsi="Tahoma" w:cs="Tahoma"/>
        </w:rPr>
        <w:t xml:space="preserve"> snahou zvýšit bezpečnost silniční dopravy a zlepšit stavebnětechnický stav silnic II. a III. třídy na území </w:t>
      </w:r>
      <w:r>
        <w:rPr>
          <w:rFonts w:ascii="Tahoma" w:hAnsi="Tahoma" w:cs="Tahoma"/>
        </w:rPr>
        <w:t>města Kopřivnice</w:t>
      </w:r>
      <w:r w:rsidRPr="00133A3D">
        <w:rPr>
          <w:rFonts w:ascii="Tahoma" w:hAnsi="Tahoma" w:cs="Tahoma"/>
        </w:rPr>
        <w:t xml:space="preserve">, deklarují společný zájem na </w:t>
      </w:r>
      <w:r w:rsidRPr="006152DE">
        <w:rPr>
          <w:rFonts w:ascii="Tahoma" w:hAnsi="Tahoma" w:cs="Tahoma"/>
        </w:rPr>
        <w:t>přípravě</w:t>
      </w:r>
      <w:r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a realizaci dopravní</w:t>
      </w:r>
      <w:r>
        <w:rPr>
          <w:rFonts w:ascii="Tahoma" w:hAnsi="Tahoma" w:cs="Tahoma"/>
        </w:rPr>
        <w:t>ch</w:t>
      </w:r>
      <w:r w:rsidRPr="00133A3D">
        <w:rPr>
          <w:rFonts w:ascii="Tahoma" w:hAnsi="Tahoma" w:cs="Tahoma"/>
        </w:rPr>
        <w:t xml:space="preserve"> stav</w:t>
      </w:r>
      <w:r>
        <w:rPr>
          <w:rFonts w:ascii="Tahoma" w:hAnsi="Tahoma" w:cs="Tahoma"/>
        </w:rPr>
        <w:t>e</w:t>
      </w:r>
      <w:r w:rsidRPr="00133A3D">
        <w:rPr>
          <w:rFonts w:ascii="Tahoma" w:hAnsi="Tahoma" w:cs="Tahoma"/>
        </w:rPr>
        <w:t>b, zahrnujících modernizaci a rekonstrukci křižovat</w:t>
      </w:r>
      <w:r>
        <w:rPr>
          <w:rFonts w:ascii="Tahoma" w:hAnsi="Tahoma" w:cs="Tahoma"/>
        </w:rPr>
        <w:t>e</w:t>
      </w:r>
      <w:r w:rsidRPr="00133A3D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 evidovaných v </w:t>
      </w:r>
      <w:r w:rsidRPr="005A1087">
        <w:rPr>
          <w:rFonts w:ascii="Tahoma" w:hAnsi="Tahoma" w:cs="Tahoma"/>
        </w:rPr>
        <w:t>Seznam</w:t>
      </w:r>
      <w:r>
        <w:rPr>
          <w:rFonts w:ascii="Tahoma" w:hAnsi="Tahoma" w:cs="Tahoma"/>
        </w:rPr>
        <w:t>u</w:t>
      </w:r>
      <w:r w:rsidRPr="005A1087">
        <w:rPr>
          <w:rFonts w:ascii="Tahoma" w:hAnsi="Tahoma" w:cs="Tahoma"/>
        </w:rPr>
        <w:t xml:space="preserve"> investičních staveb na silniční síti II. a III. tříd Moravskoslezského kraje</w:t>
      </w:r>
      <w:r>
        <w:rPr>
          <w:rFonts w:ascii="Tahoma" w:hAnsi="Tahoma" w:cs="Tahoma"/>
        </w:rPr>
        <w:t xml:space="preserve"> (Bílá kniha) pod označením NJ/K/19 a NJ/K/30, </w:t>
      </w:r>
      <w:r w:rsidRPr="00133A3D">
        <w:rPr>
          <w:rFonts w:ascii="Tahoma" w:hAnsi="Tahoma" w:cs="Tahoma"/>
        </w:rPr>
        <w:t>dále jen „Stavb</w:t>
      </w:r>
      <w:r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>“.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Předmět smlouvy</w:t>
      </w:r>
    </w:p>
    <w:p w:rsidR="0073645C" w:rsidRPr="00965384" w:rsidRDefault="0073645C" w:rsidP="007663F0">
      <w:pPr>
        <w:pStyle w:val="Odstavecseseznamem1"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2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Předmětem smlouvy je dohoda o rámcovém obsahu spolupráce mezi MSK a </w:t>
      </w:r>
      <w:r>
        <w:rPr>
          <w:rFonts w:ascii="Tahoma" w:hAnsi="Tahoma" w:cs="Tahoma"/>
        </w:rPr>
        <w:t>Městem</w:t>
      </w:r>
      <w:r w:rsidRPr="00133A3D">
        <w:rPr>
          <w:rFonts w:ascii="Tahoma" w:hAnsi="Tahoma" w:cs="Tahoma"/>
        </w:rPr>
        <w:t xml:space="preserve"> při přípravě a realizaci Stav</w:t>
      </w:r>
      <w:r>
        <w:rPr>
          <w:rFonts w:ascii="Tahoma" w:hAnsi="Tahoma" w:cs="Tahoma"/>
        </w:rPr>
        <w:t>e</w:t>
      </w:r>
      <w:r w:rsidRPr="00133A3D">
        <w:rPr>
          <w:rFonts w:ascii="Tahoma" w:hAnsi="Tahoma" w:cs="Tahoma"/>
        </w:rPr>
        <w:t>b s cílem rychlé</w:t>
      </w:r>
      <w:r>
        <w:rPr>
          <w:rFonts w:ascii="Tahoma" w:hAnsi="Tahoma" w:cs="Tahoma"/>
        </w:rPr>
        <w:t>ho a efektivního dokončení Staveb.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lastRenderedPageBreak/>
        <w:t>Partnerská smlouva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3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Za účelem stanovení bližšího obsahu spolupráce mezi stranami bude pro Stavb</w:t>
      </w:r>
      <w:r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 xml:space="preserve"> uzavřena mezi MSK a </w:t>
      </w:r>
      <w:r>
        <w:rPr>
          <w:rFonts w:ascii="Tahoma" w:hAnsi="Tahoma" w:cs="Tahoma"/>
        </w:rPr>
        <w:t>Městem</w:t>
      </w:r>
      <w:r w:rsidRPr="00133A3D">
        <w:rPr>
          <w:rFonts w:ascii="Tahoma" w:hAnsi="Tahoma" w:cs="Tahoma"/>
        </w:rPr>
        <w:t xml:space="preserve"> samostatná smlouva, jejímž obsahem budou konkrétní práva a povinnosti stran týkající se přípravy, realizace a financování (včetně úkonů souvisejících s případným financováním stavby z jiných zdrojů) předmětn</w:t>
      </w:r>
      <w:r>
        <w:rPr>
          <w:rFonts w:ascii="Tahoma" w:hAnsi="Tahoma" w:cs="Tahoma"/>
        </w:rPr>
        <w:t>ých staveb</w:t>
      </w:r>
      <w:r w:rsidRPr="00133A3D">
        <w:rPr>
          <w:rFonts w:ascii="Tahoma" w:hAnsi="Tahoma" w:cs="Tahoma"/>
        </w:rPr>
        <w:t>.</w:t>
      </w:r>
    </w:p>
    <w:p w:rsidR="0073645C" w:rsidRPr="00133A3D" w:rsidRDefault="0073645C" w:rsidP="005315CA">
      <w:pPr>
        <w:pStyle w:val="Odstavecseseznamem1"/>
        <w:keepNext/>
        <w:spacing w:before="48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Financování stav</w:t>
      </w:r>
      <w:r>
        <w:rPr>
          <w:rFonts w:ascii="Tahoma" w:hAnsi="Tahoma" w:cs="Tahoma"/>
        </w:rPr>
        <w:t>eb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4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MSK a </w:t>
      </w:r>
      <w:r>
        <w:rPr>
          <w:rFonts w:ascii="Tahoma" w:hAnsi="Tahoma" w:cs="Tahoma"/>
        </w:rPr>
        <w:t>Město</w:t>
      </w:r>
      <w:r w:rsidRPr="00133A3D">
        <w:rPr>
          <w:rFonts w:ascii="Tahoma" w:hAnsi="Tahoma" w:cs="Tahoma"/>
        </w:rPr>
        <w:t xml:space="preserve"> předpokládají společné podílení se na financování (související) přípravy a realizace Stav</w:t>
      </w:r>
      <w:r>
        <w:rPr>
          <w:rFonts w:ascii="Tahoma" w:hAnsi="Tahoma" w:cs="Tahoma"/>
        </w:rPr>
        <w:t>e</w:t>
      </w:r>
      <w:r w:rsidRPr="00133A3D">
        <w:rPr>
          <w:rFonts w:ascii="Tahoma" w:hAnsi="Tahoma" w:cs="Tahoma"/>
        </w:rPr>
        <w:t>b. Bližší vymezení závazků stran souvisejících s financováním Stav</w:t>
      </w:r>
      <w:r>
        <w:rPr>
          <w:rFonts w:ascii="Tahoma" w:hAnsi="Tahoma" w:cs="Tahoma"/>
        </w:rPr>
        <w:t>e</w:t>
      </w:r>
      <w:r w:rsidRPr="00133A3D">
        <w:rPr>
          <w:rFonts w:ascii="Tahoma" w:hAnsi="Tahoma" w:cs="Tahoma"/>
        </w:rPr>
        <w:t xml:space="preserve">b bude upraveno samostatnou partnerskou smlouvou předpokládanou ve čl. 3 této smlouvy nebo jinou smlouvou (např. smlouvou o poskytnutí dotace). Forma participace </w:t>
      </w:r>
      <w:r>
        <w:rPr>
          <w:rFonts w:ascii="Tahoma" w:hAnsi="Tahoma" w:cs="Tahoma"/>
        </w:rPr>
        <w:t>Města</w:t>
      </w:r>
      <w:r w:rsidRPr="00133A3D">
        <w:rPr>
          <w:rFonts w:ascii="Tahoma" w:hAnsi="Tahoma" w:cs="Tahoma"/>
        </w:rPr>
        <w:t xml:space="preserve"> na financování bude stanovena vždy s přihlédnutím k souvisejícím okolnostem a platné právní úpravě.</w:t>
      </w:r>
    </w:p>
    <w:p w:rsidR="0073645C" w:rsidRPr="00133A3D" w:rsidRDefault="0073645C" w:rsidP="005315CA">
      <w:pPr>
        <w:pStyle w:val="Odstavecseseznamem1"/>
        <w:keepNext/>
        <w:spacing w:before="480" w:after="0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Projektová dokumentace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5</w:t>
      </w:r>
    </w:p>
    <w:p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Město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zpracování </w:t>
      </w:r>
      <w:r w:rsidRPr="004F3963">
        <w:rPr>
          <w:rFonts w:ascii="Tahoma" w:hAnsi="Tahoma" w:cs="Tahoma"/>
        </w:rPr>
        <w:t>a profinancování kompletní projektové přípravy všech stupňů (zpracované) ve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 xml:space="preserve">spolupráci s SSMSK (dokumentace DÚR, DSP, </w:t>
      </w:r>
      <w:proofErr w:type="spellStart"/>
      <w:r w:rsidRPr="004F3963">
        <w:rPr>
          <w:rFonts w:ascii="Tahoma" w:hAnsi="Tahoma" w:cs="Tahoma"/>
        </w:rPr>
        <w:t>DPS</w:t>
      </w:r>
      <w:proofErr w:type="spellEnd"/>
      <w:r w:rsidRPr="004F3963">
        <w:rPr>
          <w:rFonts w:ascii="Tahoma" w:hAnsi="Tahoma" w:cs="Tahoma"/>
        </w:rPr>
        <w:t xml:space="preserve"> - včetně odpovídajícího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položkového rozpočtu pro výběr dodavatele)</w:t>
      </w:r>
      <w:r w:rsidRPr="00DE69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 smyslu zákona č. 183/2006 Sb., o </w:t>
      </w:r>
      <w:r w:rsidRPr="006152DE">
        <w:rPr>
          <w:rFonts w:ascii="Tahoma" w:hAnsi="Tahoma" w:cs="Tahoma"/>
        </w:rPr>
        <w:t>územním plánování a stavebním řádu (stavební zákon)</w:t>
      </w:r>
      <w:r>
        <w:rPr>
          <w:rFonts w:ascii="Tahoma" w:hAnsi="Tahoma" w:cs="Tahoma"/>
        </w:rPr>
        <w:t>, ve znění pozdějších předpisů</w:t>
      </w:r>
      <w:r w:rsidRPr="000143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rozsahu pro povolení stavby,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stavební povolení (na 2 společné investory – MSK, zastoupen</w:t>
      </w:r>
      <w:r>
        <w:rPr>
          <w:rFonts w:ascii="Tahoma" w:hAnsi="Tahoma" w:cs="Tahoma"/>
        </w:rPr>
        <w:t>ý</w:t>
      </w:r>
      <w:r w:rsidRPr="004F3963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 xml:space="preserve">právou silnic Moravskoslezského kraje, </w:t>
      </w:r>
      <w:proofErr w:type="gramStart"/>
      <w:r>
        <w:rPr>
          <w:rFonts w:ascii="Tahoma" w:hAnsi="Tahoma" w:cs="Tahoma"/>
        </w:rPr>
        <w:t>p.o.</w:t>
      </w:r>
      <w:proofErr w:type="gramEnd"/>
      <w:r w:rsidRPr="004F3963">
        <w:rPr>
          <w:rFonts w:ascii="Tahoma" w:hAnsi="Tahoma" w:cs="Tahoma"/>
        </w:rPr>
        <w:t xml:space="preserve"> a město Kopřivnice)</w:t>
      </w:r>
      <w:r>
        <w:rPr>
          <w:rFonts w:ascii="Tahoma" w:hAnsi="Tahoma" w:cs="Tahoma"/>
        </w:rPr>
        <w:t>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spolufinancování stavebních objektů</w:t>
      </w:r>
      <w:r>
        <w:rPr>
          <w:rFonts w:ascii="Tahoma" w:hAnsi="Tahoma" w:cs="Tahoma"/>
        </w:rPr>
        <w:t xml:space="preserve"> Staveb</w:t>
      </w:r>
      <w:r w:rsidRPr="004F3963">
        <w:rPr>
          <w:rFonts w:ascii="Tahoma" w:hAnsi="Tahoma" w:cs="Tahoma"/>
        </w:rPr>
        <w:t>, které zůstanou v majetku a správě města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(chodníky, veřejné osvětlení, přechody pro chodce, přilehlé zelené plochy</w:t>
      </w:r>
      <w:r>
        <w:rPr>
          <w:rFonts w:ascii="Tahoma" w:hAnsi="Tahoma" w:cs="Tahoma"/>
        </w:rPr>
        <w:t>, konstrukce připojovacích vedlejších komunikací po začátek nájezdových křivek do okružní křižovatky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mimo stavební úpravy</w:t>
      </w:r>
      <w:r w:rsidRPr="004F39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komunikací II. tříd, tělesa samotné průsečné nebo okružní křižovatky </w:t>
      </w:r>
      <w:r w:rsidRPr="004F3963">
        <w:rPr>
          <w:rFonts w:ascii="Tahoma" w:hAnsi="Tahoma" w:cs="Tahoma"/>
        </w:rPr>
        <w:t>a jimi vyvolané nezbytné přeložky sítí</w:t>
      </w:r>
      <w:r>
        <w:rPr>
          <w:rFonts w:ascii="Tahoma" w:hAnsi="Tahoma" w:cs="Tahoma"/>
        </w:rPr>
        <w:t>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nezbytné majetkoprávní úkony</w:t>
      </w:r>
      <w:r>
        <w:rPr>
          <w:rFonts w:ascii="Tahoma" w:hAnsi="Tahoma" w:cs="Tahoma"/>
        </w:rPr>
        <w:t>.</w:t>
      </w:r>
    </w:p>
    <w:p w:rsidR="0073645C" w:rsidRDefault="0073645C" w:rsidP="007663F0">
      <w:pPr>
        <w:pStyle w:val="Odstavecseseznamem1"/>
        <w:spacing w:before="120"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MSK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:rsidR="0073645C" w:rsidRDefault="0073645C" w:rsidP="00BA3D57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spolufinancování stavebních objektů</w:t>
      </w:r>
      <w:r>
        <w:rPr>
          <w:rFonts w:ascii="Tahoma" w:hAnsi="Tahoma" w:cs="Tahoma"/>
        </w:rPr>
        <w:t xml:space="preserve"> Staveb</w:t>
      </w:r>
      <w:r w:rsidRPr="004F3963">
        <w:rPr>
          <w:rFonts w:ascii="Tahoma" w:hAnsi="Tahoma" w:cs="Tahoma"/>
        </w:rPr>
        <w:t xml:space="preserve">, které zůstanou v majetku a správě </w:t>
      </w:r>
      <w:r>
        <w:rPr>
          <w:rFonts w:ascii="Tahoma" w:hAnsi="Tahoma" w:cs="Tahoma"/>
        </w:rPr>
        <w:t xml:space="preserve">Moravskoslezského kraje a SSMSK </w:t>
      </w:r>
      <w:r w:rsidRPr="004F3963">
        <w:rPr>
          <w:rFonts w:ascii="Tahoma" w:hAnsi="Tahoma" w:cs="Tahoma"/>
        </w:rPr>
        <w:t>(</w:t>
      </w:r>
      <w:r>
        <w:rPr>
          <w:rFonts w:ascii="Tahoma" w:hAnsi="Tahoma" w:cs="Tahoma"/>
        </w:rPr>
        <w:t>komunikace II. tříd, včetně odbočovacích pruhů na těchto komunikacích, samotné průsečné nebo okružní křižovatky a jimi vyvolané nezbytné přeložky sítí pod křižovatkou, dopravní značení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mimo </w:t>
      </w:r>
      <w:r w:rsidRPr="004F3963">
        <w:rPr>
          <w:rFonts w:ascii="Tahoma" w:hAnsi="Tahoma" w:cs="Tahoma"/>
        </w:rPr>
        <w:t xml:space="preserve">konstrukce </w:t>
      </w:r>
      <w:r>
        <w:rPr>
          <w:rFonts w:ascii="Tahoma" w:hAnsi="Tahoma" w:cs="Tahoma"/>
        </w:rPr>
        <w:t>vozovek připojovacích vedlejších komunikací</w:t>
      </w:r>
    </w:p>
    <w:p w:rsidR="0073645C" w:rsidRDefault="0073645C" w:rsidP="00A244D9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73645C" w:rsidRPr="003D0660" w:rsidRDefault="0073645C" w:rsidP="005315CA">
      <w:pPr>
        <w:pStyle w:val="Odstavecseseznamem1"/>
        <w:keepNext/>
        <w:spacing w:before="120" w:after="0"/>
        <w:ind w:left="0"/>
        <w:jc w:val="center"/>
        <w:rPr>
          <w:rFonts w:ascii="Tahoma" w:hAnsi="Tahoma" w:cs="Tahoma"/>
        </w:rPr>
      </w:pPr>
      <w:r w:rsidRPr="003D0660">
        <w:rPr>
          <w:rFonts w:ascii="Tahoma" w:hAnsi="Tahoma" w:cs="Tahoma"/>
        </w:rPr>
        <w:t>Pozemky</w:t>
      </w:r>
    </w:p>
    <w:p w:rsidR="0073645C" w:rsidRPr="003D0660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3D0660">
        <w:rPr>
          <w:rFonts w:ascii="Tahoma" w:hAnsi="Tahoma" w:cs="Tahoma"/>
          <w:b/>
          <w:bCs/>
        </w:rPr>
        <w:t>Článek 6</w:t>
      </w:r>
    </w:p>
    <w:p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3D0660">
        <w:rPr>
          <w:rFonts w:ascii="Tahoma" w:hAnsi="Tahoma" w:cs="Tahoma"/>
        </w:rPr>
        <w:t xml:space="preserve">Smluvní strany se dohodly, že pro </w:t>
      </w:r>
      <w:r w:rsidRPr="001758FA">
        <w:rPr>
          <w:rFonts w:ascii="Tahoma" w:hAnsi="Tahoma" w:cs="Tahoma"/>
        </w:rPr>
        <w:t xml:space="preserve">naplnění účelu této smlouvy </w:t>
      </w:r>
      <w:r>
        <w:rPr>
          <w:rFonts w:ascii="Tahoma" w:hAnsi="Tahoma" w:cs="Tahoma"/>
        </w:rPr>
        <w:t>si</w:t>
      </w:r>
      <w:r w:rsidRPr="003D0660">
        <w:rPr>
          <w:rFonts w:ascii="Tahoma" w:hAnsi="Tahoma" w:cs="Tahoma"/>
        </w:rPr>
        <w:t xml:space="preserve"> vzájemně poskytnou pozemky v nezbytném </w:t>
      </w:r>
      <w:r>
        <w:rPr>
          <w:rFonts w:ascii="Tahoma" w:hAnsi="Tahoma" w:cs="Tahoma"/>
        </w:rPr>
        <w:t>rozsahu.</w:t>
      </w:r>
    </w:p>
    <w:p w:rsidR="0073645C" w:rsidRPr="003D0660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C3DB1">
        <w:rPr>
          <w:rFonts w:ascii="Tahoma" w:hAnsi="Tahoma" w:cs="Tahoma"/>
        </w:rPr>
        <w:t>V případě realizace stavby mimo pozemky vlastněné zúčastněnými stranami vyvine Město potřebné úsilí k zajištění práv k pozemkům nezbytným k realizaci Staveb.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Pracovní skupina</w:t>
      </w:r>
    </w:p>
    <w:p w:rsidR="0073645C" w:rsidRPr="00965384" w:rsidRDefault="0073645C" w:rsidP="000143AD">
      <w:pPr>
        <w:pStyle w:val="Odstavecseseznamem1"/>
        <w:spacing w:before="24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7</w:t>
      </w:r>
    </w:p>
    <w:p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>Za účelem přípravy a realizace Stav</w:t>
      </w:r>
      <w:r>
        <w:rPr>
          <w:rFonts w:ascii="Tahoma" w:hAnsi="Tahoma" w:cs="Tahoma"/>
        </w:rPr>
        <w:t>e</w:t>
      </w:r>
      <w:r w:rsidRPr="00965384">
        <w:rPr>
          <w:rFonts w:ascii="Tahoma" w:hAnsi="Tahoma" w:cs="Tahoma"/>
        </w:rPr>
        <w:t xml:space="preserve">b bude mezi MSK a </w:t>
      </w:r>
      <w:r>
        <w:rPr>
          <w:rFonts w:ascii="Tahoma" w:hAnsi="Tahoma" w:cs="Tahoma"/>
        </w:rPr>
        <w:t>Městem</w:t>
      </w:r>
      <w:r w:rsidRPr="00965384">
        <w:rPr>
          <w:rFonts w:ascii="Tahoma" w:hAnsi="Tahoma" w:cs="Tahoma"/>
        </w:rPr>
        <w:t xml:space="preserve"> zřízena pracovní skupina.</w:t>
      </w:r>
    </w:p>
    <w:p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 xml:space="preserve">Úkolem pracovní skupiny bude činit kroky s cílem naplnit efektivně a hospodárně účel této smlouvy a sledovaný cíl, </w:t>
      </w:r>
      <w:r>
        <w:rPr>
          <w:rFonts w:ascii="Tahoma" w:hAnsi="Tahoma" w:cs="Tahoma"/>
        </w:rPr>
        <w:t>j</w:t>
      </w:r>
      <w:r w:rsidRPr="00965384">
        <w:rPr>
          <w:rFonts w:ascii="Tahoma" w:hAnsi="Tahoma" w:cs="Tahoma"/>
        </w:rPr>
        <w:t>ímž je realizace Stav</w:t>
      </w:r>
      <w:r>
        <w:rPr>
          <w:rFonts w:ascii="Tahoma" w:hAnsi="Tahoma" w:cs="Tahoma"/>
        </w:rPr>
        <w:t>e</w:t>
      </w:r>
      <w:r w:rsidRPr="00965384">
        <w:rPr>
          <w:rFonts w:ascii="Tahoma" w:hAnsi="Tahoma" w:cs="Tahoma"/>
        </w:rPr>
        <w:t>b.</w:t>
      </w:r>
    </w:p>
    <w:p w:rsidR="0073645C" w:rsidRPr="001758FA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 bude v pracovní skupině zastupovat Správa silnic Moravskoslezského kraje, p. o.</w:t>
      </w:r>
    </w:p>
    <w:p w:rsidR="0073645C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</w:p>
    <w:p w:rsidR="0073645C" w:rsidRPr="00CA15DB" w:rsidRDefault="0073645C" w:rsidP="00343E4B">
      <w:pPr>
        <w:keepNext/>
        <w:jc w:val="center"/>
        <w:rPr>
          <w:rFonts w:ascii="Tahoma" w:hAnsi="Tahoma" w:cs="Tahoma"/>
        </w:rPr>
      </w:pPr>
      <w:r w:rsidRPr="00CA15DB">
        <w:rPr>
          <w:rFonts w:ascii="Tahoma" w:hAnsi="Tahoma" w:cs="Tahoma"/>
        </w:rPr>
        <w:t>Vypořádání</w:t>
      </w:r>
    </w:p>
    <w:p w:rsidR="0073645C" w:rsidRPr="00CA15DB" w:rsidRDefault="0073645C" w:rsidP="00343E4B">
      <w:pPr>
        <w:keepNext/>
        <w:jc w:val="center"/>
        <w:rPr>
          <w:rFonts w:ascii="Tahoma" w:hAnsi="Tahoma" w:cs="Tahoma"/>
        </w:rPr>
      </w:pPr>
    </w:p>
    <w:p w:rsidR="0073645C" w:rsidRPr="00CA15DB" w:rsidRDefault="0073645C" w:rsidP="00343E4B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CA15DB">
        <w:rPr>
          <w:rFonts w:ascii="Tahoma" w:hAnsi="Tahoma" w:cs="Tahoma"/>
          <w:b/>
          <w:sz w:val="22"/>
          <w:szCs w:val="22"/>
        </w:rPr>
        <w:t>Článek 8</w:t>
      </w:r>
    </w:p>
    <w:p w:rsidR="0073645C" w:rsidRDefault="0073645C" w:rsidP="00343E4B">
      <w:pPr>
        <w:pStyle w:val="Odstavecseseznamem1"/>
        <w:keepNext/>
        <w:spacing w:before="360"/>
        <w:ind w:left="0"/>
        <w:jc w:val="both"/>
        <w:rPr>
          <w:rFonts w:ascii="Tahoma" w:hAnsi="Tahoma" w:cs="Tahoma"/>
        </w:rPr>
      </w:pPr>
      <w:r w:rsidRPr="00CA15DB">
        <w:rPr>
          <w:rFonts w:ascii="Tahoma" w:hAnsi="Tahoma" w:cs="Tahoma"/>
        </w:rPr>
        <w:t>Smluvní strany se dohodly, že před zahájením Staveb mezi sebou uzavřou smlouvy o budoucím vypořádání pozemků a jednotlivých stavebních objektů včetně způsobu jejich převzetí po dokončení stavby.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Závěrečná ustanovení</w:t>
      </w:r>
    </w:p>
    <w:p w:rsidR="0073645C" w:rsidRPr="00965384" w:rsidRDefault="0073645C" w:rsidP="000143AD">
      <w:pPr>
        <w:pStyle w:val="Odstavecseseznamem1"/>
        <w:spacing w:before="24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9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 w:hanging="357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se sjednává na dobu neurčitou. Každá smluvní strana může tuto Smlouvu písemně vypovědět s účinky k okamžiku doručení výpovědi druhé smluvní straně.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může být kdykoliv změněna dohodou smluvních stran. Změny budou vyhotoveny písemně.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berou na vědomí, že k nabytí účinnosti této Smlouvy je vyžadováno uveřejnění v registru smluv podle zákona č. 340/2015 Sb., o zvláštních podmínkách účinnosti některých smluv, uveřejňování některých smluv a o registru smluv (zákon o registru smluv). Zaslání smlouvy do registru smluv zajistí </w:t>
      </w:r>
      <w:r>
        <w:rPr>
          <w:rFonts w:ascii="Tahoma" w:hAnsi="Tahoma" w:cs="Tahoma"/>
        </w:rPr>
        <w:t xml:space="preserve">Moravskoslezský kraj. </w:t>
      </w:r>
      <w:r w:rsidRPr="00133A3D">
        <w:rPr>
          <w:rFonts w:ascii="Tahoma" w:hAnsi="Tahoma" w:cs="Tahoma"/>
        </w:rPr>
        <w:t>Tato Smlouva nabývá účinnosti dnem uveřejnění prostřednictvím registru smluv.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Doložka platnosti právního jednání dle § 23 zákona č. 129/2000 Sb., o krajích (krajské zřízení), ve znění pozdějších předpisů: O uzavření této smlouvy rozhodl</w:t>
      </w:r>
      <w:r>
        <w:rPr>
          <w:rFonts w:ascii="Tahoma" w:hAnsi="Tahoma" w:cs="Tahoma"/>
        </w:rPr>
        <w:t>o</w:t>
      </w:r>
      <w:r w:rsidRPr="00133A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zastupitelstvo</w:t>
      </w:r>
      <w:r w:rsidRPr="00133A3D">
        <w:rPr>
          <w:rFonts w:ascii="Tahoma" w:hAnsi="Tahoma" w:cs="Tahoma"/>
        </w:rPr>
        <w:t xml:space="preserve"> kraje svým usnesením č. ……</w:t>
      </w:r>
      <w:proofErr w:type="gramStart"/>
      <w:r w:rsidRPr="00133A3D">
        <w:rPr>
          <w:rFonts w:ascii="Tahoma" w:hAnsi="Tahoma" w:cs="Tahoma"/>
        </w:rPr>
        <w:t>…  ze</w:t>
      </w:r>
      <w:proofErr w:type="gramEnd"/>
      <w:r w:rsidRPr="00133A3D">
        <w:rPr>
          <w:rFonts w:ascii="Tahoma" w:hAnsi="Tahoma" w:cs="Tahoma"/>
        </w:rPr>
        <w:t xml:space="preserve"> dne ………….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Doložka platnosti právního jednání dle § 41 zákona č. 128/2000 Sb., o obcích, ve znění pozdějších předpisů: O uzavření této smlouvy rozhodlo Zastupitelstvo </w:t>
      </w:r>
      <w:r>
        <w:rPr>
          <w:rFonts w:ascii="Tahoma" w:hAnsi="Tahoma" w:cs="Tahoma"/>
        </w:rPr>
        <w:t>města Kopřivnice</w:t>
      </w:r>
      <w:r w:rsidRPr="00133A3D">
        <w:rPr>
          <w:rFonts w:ascii="Tahoma" w:hAnsi="Tahoma" w:cs="Tahoma"/>
        </w:rPr>
        <w:t xml:space="preserve"> svým usnesením č. ……</w:t>
      </w:r>
      <w:proofErr w:type="gramStart"/>
      <w:r w:rsidRPr="00133A3D">
        <w:rPr>
          <w:rFonts w:ascii="Tahoma" w:hAnsi="Tahoma" w:cs="Tahoma"/>
        </w:rPr>
        <w:t>…  ze</w:t>
      </w:r>
      <w:proofErr w:type="gramEnd"/>
      <w:r w:rsidRPr="00133A3D">
        <w:rPr>
          <w:rFonts w:ascii="Tahoma" w:hAnsi="Tahoma" w:cs="Tahoma"/>
        </w:rPr>
        <w:t xml:space="preserve"> dne ………….</w:t>
      </w:r>
    </w:p>
    <w:p w:rsidR="0073645C" w:rsidRPr="00965384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Smlouva je sepsána v pěti stejnopisech s platností originálu, z nichž dvě vyhotovení obdrží MSK a tři </w:t>
      </w:r>
      <w:r>
        <w:rPr>
          <w:rFonts w:ascii="Tahoma" w:hAnsi="Tahoma" w:cs="Tahoma"/>
        </w:rPr>
        <w:t>město Kopřivnice</w:t>
      </w:r>
      <w:r w:rsidRPr="00965384">
        <w:rPr>
          <w:rFonts w:ascii="Tahoma" w:hAnsi="Tahoma" w:cs="Tahoma"/>
        </w:rPr>
        <w:t>.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V ……………………… dne …………</w:t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  <w:t>V ………………………</w:t>
      </w:r>
      <w:r>
        <w:rPr>
          <w:rFonts w:ascii="Tahoma" w:hAnsi="Tahoma" w:cs="Tahoma"/>
          <w:sz w:val="22"/>
          <w:szCs w:val="22"/>
        </w:rPr>
        <w:t xml:space="preserve"> dne …………</w:t>
      </w: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…………………………………………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 xml:space="preserve">………………………………………… </w:t>
      </w: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7A1077">
        <w:rPr>
          <w:rFonts w:ascii="Tahoma" w:hAnsi="Tahoma" w:cs="Tahoma"/>
          <w:sz w:val="22"/>
          <w:szCs w:val="22"/>
        </w:rPr>
        <w:t>Za Moravskoslezský kraj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 xml:space="preserve">Za </w:t>
      </w:r>
      <w:r>
        <w:rPr>
          <w:rFonts w:ascii="Tahoma" w:hAnsi="Tahoma" w:cs="Tahoma"/>
          <w:sz w:val="22"/>
          <w:szCs w:val="22"/>
        </w:rPr>
        <w:t>město Kopřivnice</w:t>
      </w:r>
      <w:r w:rsidRPr="007A1077">
        <w:rPr>
          <w:rFonts w:ascii="Tahoma" w:hAnsi="Tahoma" w:cs="Tahoma"/>
          <w:sz w:val="22"/>
          <w:szCs w:val="22"/>
        </w:rPr>
        <w:t xml:space="preserve"> </w:t>
      </w:r>
    </w:p>
    <w:p w:rsidR="0073645C" w:rsidRPr="007A1077" w:rsidRDefault="0073645C" w:rsidP="007C3DB1">
      <w:pPr>
        <w:ind w:left="567"/>
        <w:jc w:val="both"/>
        <w:rPr>
          <w:snapToGrid w:val="0"/>
        </w:rPr>
      </w:pPr>
      <w:r>
        <w:rPr>
          <w:rFonts w:ascii="Tahoma" w:hAnsi="Tahoma" w:cs="Tahoma"/>
          <w:sz w:val="22"/>
          <w:szCs w:val="22"/>
        </w:rPr>
        <w:t>h</w:t>
      </w:r>
      <w:r w:rsidRPr="007A1077">
        <w:rPr>
          <w:rFonts w:ascii="Tahoma" w:hAnsi="Tahoma" w:cs="Tahoma"/>
          <w:sz w:val="22"/>
          <w:szCs w:val="22"/>
        </w:rPr>
        <w:t>ejtman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starosta</w:t>
      </w:r>
    </w:p>
    <w:p w:rsidR="0073645C" w:rsidRDefault="0073645C"/>
    <w:sectPr w:rsidR="0073645C" w:rsidSect="008B67DC">
      <w:footerReference w:type="default" r:id="rId7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5C" w:rsidRDefault="0073645C">
      <w:r>
        <w:separator/>
      </w:r>
    </w:p>
  </w:endnote>
  <w:endnote w:type="continuationSeparator" w:id="0">
    <w:p w:rsidR="0073645C" w:rsidRDefault="007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5C" w:rsidRPr="008F1628" w:rsidRDefault="0073645C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5315CA"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5C" w:rsidRDefault="0073645C">
      <w:r>
        <w:separator/>
      </w:r>
    </w:p>
  </w:footnote>
  <w:footnote w:type="continuationSeparator" w:id="0">
    <w:p w:rsidR="0073645C" w:rsidRDefault="0073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32F"/>
    <w:multiLevelType w:val="hybridMultilevel"/>
    <w:tmpl w:val="D5D0419C"/>
    <w:lvl w:ilvl="0" w:tplc="7BB440D6">
      <w:start w:val="1"/>
      <w:numFmt w:val="bullet"/>
      <w:suff w:val="space"/>
      <w:lvlText w:val="-"/>
      <w:lvlJc w:val="left"/>
      <w:pPr>
        <w:ind w:left="851" w:hanging="491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6645"/>
    <w:multiLevelType w:val="hybridMultilevel"/>
    <w:tmpl w:val="8546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66293"/>
    <w:multiLevelType w:val="hybridMultilevel"/>
    <w:tmpl w:val="D6B0B944"/>
    <w:lvl w:ilvl="0" w:tplc="F2461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D"/>
    <w:rsid w:val="00004E55"/>
    <w:rsid w:val="000143AD"/>
    <w:rsid w:val="000F6AD0"/>
    <w:rsid w:val="00133A3D"/>
    <w:rsid w:val="001373DA"/>
    <w:rsid w:val="001716F0"/>
    <w:rsid w:val="001758FA"/>
    <w:rsid w:val="00343E4B"/>
    <w:rsid w:val="003D0660"/>
    <w:rsid w:val="004F3963"/>
    <w:rsid w:val="005213B4"/>
    <w:rsid w:val="00522F06"/>
    <w:rsid w:val="005308F0"/>
    <w:rsid w:val="005315CA"/>
    <w:rsid w:val="005A1087"/>
    <w:rsid w:val="006152DE"/>
    <w:rsid w:val="00625790"/>
    <w:rsid w:val="006A33E1"/>
    <w:rsid w:val="0073645C"/>
    <w:rsid w:val="007663F0"/>
    <w:rsid w:val="0076675A"/>
    <w:rsid w:val="007A1077"/>
    <w:rsid w:val="007C3DB1"/>
    <w:rsid w:val="008B67DC"/>
    <w:rsid w:val="008F1628"/>
    <w:rsid w:val="00965384"/>
    <w:rsid w:val="00994820"/>
    <w:rsid w:val="009A2FCF"/>
    <w:rsid w:val="00A244D9"/>
    <w:rsid w:val="00A6592F"/>
    <w:rsid w:val="00A71D7E"/>
    <w:rsid w:val="00AC1ABE"/>
    <w:rsid w:val="00AF30B1"/>
    <w:rsid w:val="00B006A9"/>
    <w:rsid w:val="00BA3D57"/>
    <w:rsid w:val="00C0623D"/>
    <w:rsid w:val="00CA15DB"/>
    <w:rsid w:val="00CC6507"/>
    <w:rsid w:val="00D22A57"/>
    <w:rsid w:val="00D3692F"/>
    <w:rsid w:val="00DE6927"/>
    <w:rsid w:val="00DE6E0D"/>
    <w:rsid w:val="00EA2566"/>
    <w:rsid w:val="00EB14AC"/>
    <w:rsid w:val="00ED3C33"/>
    <w:rsid w:val="00ED6BD0"/>
    <w:rsid w:val="00EF1F1D"/>
    <w:rsid w:val="00F74FC6"/>
    <w:rsid w:val="00F7643E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B2284-9916-4275-8067-094B059D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A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143A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143AD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0143A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0143AD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0143AD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143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143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143AD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143AD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143A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43AD"/>
    <w:rPr>
      <w:rFonts w:ascii="Segoe UI" w:hAnsi="Segoe UI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143AD"/>
    <w:rPr>
      <w:rFonts w:ascii="Times New Roman" w:hAnsi="Times New Roman"/>
      <w:b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Elbl Václav</dc:creator>
  <cp:keywords/>
  <dc:description/>
  <cp:lastModifiedBy>Elbl Václav</cp:lastModifiedBy>
  <cp:revision>2</cp:revision>
  <dcterms:created xsi:type="dcterms:W3CDTF">2019-07-29T12:28:00Z</dcterms:created>
  <dcterms:modified xsi:type="dcterms:W3CDTF">2019-07-29T12:28:00Z</dcterms:modified>
</cp:coreProperties>
</file>