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26" w:rsidRPr="00765418" w:rsidRDefault="00980826" w:rsidP="00980826">
      <w:pPr>
        <w:rPr>
          <w:rFonts w:ascii="Arial" w:hAnsi="Arial" w:cs="Arial"/>
          <w:bCs/>
        </w:rPr>
      </w:pPr>
      <w:bookmarkStart w:id="0" w:name="_GoBack"/>
      <w:bookmarkEnd w:id="0"/>
    </w:p>
    <w:p w:rsidR="00980826" w:rsidRPr="00E02297" w:rsidRDefault="00E02297" w:rsidP="00E02297">
      <w:pPr>
        <w:widowControl w:val="0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Specifikace připravovaných</w:t>
      </w:r>
      <w:r w:rsidR="00980826" w:rsidRPr="00E02297">
        <w:rPr>
          <w:rFonts w:ascii="Arial" w:hAnsi="Arial" w:cs="Arial"/>
          <w:b/>
          <w:bCs/>
        </w:rPr>
        <w:t xml:space="preserve"> projekt</w:t>
      </w:r>
      <w:r>
        <w:rPr>
          <w:rFonts w:ascii="Arial" w:hAnsi="Arial" w:cs="Arial"/>
          <w:b/>
          <w:bCs/>
        </w:rPr>
        <w:t>ů</w:t>
      </w:r>
    </w:p>
    <w:tbl>
      <w:tblPr>
        <w:tblStyle w:val="Mkatabulky"/>
        <w:tblW w:w="9072" w:type="dxa"/>
        <w:tblInd w:w="108" w:type="dxa"/>
        <w:tblLook w:val="01E0" w:firstRow="1" w:lastRow="1" w:firstColumn="1" w:lastColumn="1" w:noHBand="0" w:noVBand="0"/>
      </w:tblPr>
      <w:tblGrid>
        <w:gridCol w:w="3153"/>
        <w:gridCol w:w="5919"/>
      </w:tblGrid>
      <w:tr w:rsidR="00980826" w:rsidTr="002D3192">
        <w:trPr>
          <w:trHeight w:val="340"/>
        </w:trPr>
        <w:tc>
          <w:tcPr>
            <w:tcW w:w="3153" w:type="dxa"/>
            <w:hideMark/>
          </w:tcPr>
          <w:p w:rsidR="00980826" w:rsidRPr="00F67B56" w:rsidRDefault="00980826" w:rsidP="002D3192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Název projektu</w:t>
            </w:r>
          </w:p>
        </w:tc>
        <w:tc>
          <w:tcPr>
            <w:tcW w:w="5919" w:type="dxa"/>
          </w:tcPr>
          <w:p w:rsidR="00980826" w:rsidRPr="00E02297" w:rsidRDefault="00C45584" w:rsidP="00E02297">
            <w:pPr>
              <w:pStyle w:val="Tabulkatext"/>
              <w:rPr>
                <w:rFonts w:eastAsia="Calibri"/>
                <w:b/>
              </w:rPr>
            </w:pPr>
            <w:r w:rsidRPr="00E02297">
              <w:rPr>
                <w:rFonts w:eastAsia="Calibri"/>
                <w:b/>
              </w:rPr>
              <w:t xml:space="preserve">Podpora </w:t>
            </w:r>
            <w:r w:rsidR="00E02297" w:rsidRPr="00E02297">
              <w:rPr>
                <w:rFonts w:eastAsia="Calibri"/>
                <w:b/>
              </w:rPr>
              <w:t>r</w:t>
            </w:r>
            <w:r w:rsidRPr="00E02297">
              <w:rPr>
                <w:rFonts w:eastAsia="Calibri"/>
                <w:b/>
              </w:rPr>
              <w:t>ozvoj</w:t>
            </w:r>
            <w:r w:rsidR="00E02297" w:rsidRPr="00E02297">
              <w:rPr>
                <w:rFonts w:eastAsia="Calibri"/>
                <w:b/>
              </w:rPr>
              <w:t>e</w:t>
            </w:r>
            <w:r w:rsidRPr="00E02297">
              <w:rPr>
                <w:rFonts w:eastAsia="Calibri"/>
                <w:b/>
              </w:rPr>
              <w:t xml:space="preserve"> </w:t>
            </w:r>
            <w:r w:rsidR="000753D6" w:rsidRPr="00E02297">
              <w:rPr>
                <w:rFonts w:eastAsia="Calibri"/>
                <w:b/>
              </w:rPr>
              <w:t>rodičovských kompetencí</w:t>
            </w:r>
          </w:p>
        </w:tc>
      </w:tr>
      <w:tr w:rsidR="00980826" w:rsidTr="002D3192">
        <w:trPr>
          <w:trHeight w:val="397"/>
        </w:trPr>
        <w:tc>
          <w:tcPr>
            <w:tcW w:w="3153" w:type="dxa"/>
            <w:hideMark/>
          </w:tcPr>
          <w:p w:rsidR="00980826" w:rsidRPr="00F67B56" w:rsidRDefault="00980826" w:rsidP="002D3192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Zkrácený název projektu</w:t>
            </w:r>
          </w:p>
        </w:tc>
        <w:tc>
          <w:tcPr>
            <w:tcW w:w="5919" w:type="dxa"/>
          </w:tcPr>
          <w:p w:rsidR="00980826" w:rsidRDefault="000753D6" w:rsidP="002D3192">
            <w:pPr>
              <w:pStyle w:val="Tabulkatext"/>
            </w:pPr>
            <w:r>
              <w:t>Rodičovské kompetence</w:t>
            </w:r>
          </w:p>
        </w:tc>
      </w:tr>
      <w:tr w:rsidR="00980826" w:rsidTr="002D3192">
        <w:trPr>
          <w:trHeight w:val="397"/>
        </w:trPr>
        <w:tc>
          <w:tcPr>
            <w:tcW w:w="3153" w:type="dxa"/>
            <w:hideMark/>
          </w:tcPr>
          <w:p w:rsidR="00980826" w:rsidRPr="00F67B56" w:rsidRDefault="00980826" w:rsidP="002D3192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Iniciátor projektu</w:t>
            </w:r>
          </w:p>
        </w:tc>
        <w:tc>
          <w:tcPr>
            <w:tcW w:w="5919" w:type="dxa"/>
          </w:tcPr>
          <w:p w:rsidR="00980826" w:rsidRDefault="002D3192" w:rsidP="002D3192">
            <w:pPr>
              <w:pStyle w:val="Tabulkatext"/>
            </w:pPr>
            <w:r>
              <w:t>Moravskoslezský kraj</w:t>
            </w:r>
            <w:r w:rsidR="009004CB">
              <w:t>, odbor sociálních věcí</w:t>
            </w:r>
          </w:p>
        </w:tc>
      </w:tr>
      <w:tr w:rsidR="00980826" w:rsidTr="002D3192">
        <w:trPr>
          <w:trHeight w:val="397"/>
        </w:trPr>
        <w:tc>
          <w:tcPr>
            <w:tcW w:w="3153" w:type="dxa"/>
            <w:hideMark/>
          </w:tcPr>
          <w:p w:rsidR="00980826" w:rsidRPr="00D91AD3" w:rsidRDefault="00980826" w:rsidP="002D3192">
            <w:pPr>
              <w:pStyle w:val="Tabulkatext"/>
              <w:rPr>
                <w:b/>
                <w:highlight w:val="green"/>
              </w:rPr>
            </w:pPr>
            <w:r w:rsidRPr="003B72C7">
              <w:rPr>
                <w:b/>
              </w:rPr>
              <w:t>Předmět projektu</w:t>
            </w:r>
          </w:p>
        </w:tc>
        <w:tc>
          <w:tcPr>
            <w:tcW w:w="5919" w:type="dxa"/>
          </w:tcPr>
          <w:p w:rsidR="00D15CF2" w:rsidRDefault="00D15CF2" w:rsidP="00D15CF2">
            <w:pPr>
              <w:pStyle w:val="Tabulkatext"/>
              <w:jc w:val="both"/>
            </w:pPr>
            <w:r>
              <w:t>Projekt se zaměřuje na pomoc a podporu rodinám dlouhodobě nebo opakovaně zařazených do evidence OSPOD. Stěžejní aktivitou</w:t>
            </w:r>
            <w:r w:rsidRPr="00202460">
              <w:t xml:space="preserve"> projektu je sestavit a realizovat program, který pomůže rodičům posílit jejich rodičovské kompetence a zplnomocn</w:t>
            </w:r>
            <w:r>
              <w:t>it</w:t>
            </w:r>
            <w:r w:rsidRPr="00202460">
              <w:t xml:space="preserve"> je v jejich rodičovské roli. Do pro</w:t>
            </w:r>
            <w:r>
              <w:t>gramu</w:t>
            </w:r>
            <w:r w:rsidRPr="00202460">
              <w:t xml:space="preserve"> budou zapojeni rodiče společně se svými dětmi. Prostřednictvím </w:t>
            </w:r>
            <w:r>
              <w:t xml:space="preserve">intenzivní odborné podpory a </w:t>
            </w:r>
            <w:r w:rsidRPr="00202460">
              <w:t xml:space="preserve">společných pozitivních prožitků </w:t>
            </w:r>
            <w:r>
              <w:t xml:space="preserve">celé rodiny bude </w:t>
            </w:r>
            <w:r w:rsidRPr="00202460">
              <w:t>pos</w:t>
            </w:r>
            <w:r>
              <w:t>i</w:t>
            </w:r>
            <w:r w:rsidRPr="00202460">
              <w:t>l</w:t>
            </w:r>
            <w:r>
              <w:t xml:space="preserve">ována </w:t>
            </w:r>
            <w:r w:rsidRPr="00202460">
              <w:t>také vzájemná soudružnost a podpora jednotlivých členů rodiny.</w:t>
            </w:r>
          </w:p>
          <w:p w:rsidR="00B9765D" w:rsidRDefault="00D15CF2" w:rsidP="00D15CF2">
            <w:pPr>
              <w:pStyle w:val="Tabulkatext"/>
              <w:jc w:val="both"/>
            </w:pPr>
            <w:r>
              <w:t>V rámci dalších aktivit projektu bude podpořena dostupnost specifických odborných služeb pro rodiny s dětmi v evidenci OSPOD a profesní rozvoj pracovníků OSPOD na území celého kraje. Vzdělávací aktivity pak budou zaměřeny především na nové metody a možnosti práce s rodinami, ale také na výměnu zkušeností a dobré praxe, ale i osobní růst zapojených pracovníků.  Zvláštní pozornost pak bude věnována oblasti ochrany dětí ohrožených týráním, zneužíváním a zanedbáváním.</w:t>
            </w:r>
          </w:p>
        </w:tc>
      </w:tr>
      <w:tr w:rsidR="00980826" w:rsidTr="002D3192">
        <w:trPr>
          <w:trHeight w:val="397"/>
        </w:trPr>
        <w:tc>
          <w:tcPr>
            <w:tcW w:w="3153" w:type="dxa"/>
            <w:hideMark/>
          </w:tcPr>
          <w:p w:rsidR="00980826" w:rsidRPr="00D91AD3" w:rsidRDefault="00980826" w:rsidP="002D3192">
            <w:pPr>
              <w:pStyle w:val="Tabulkatext"/>
              <w:rPr>
                <w:b/>
                <w:highlight w:val="green"/>
              </w:rPr>
            </w:pPr>
            <w:r w:rsidRPr="003B72C7">
              <w:rPr>
                <w:b/>
              </w:rPr>
              <w:t>Cíle / očekávané přínosy projektu</w:t>
            </w:r>
          </w:p>
        </w:tc>
        <w:tc>
          <w:tcPr>
            <w:tcW w:w="5919" w:type="dxa"/>
          </w:tcPr>
          <w:p w:rsidR="001A145B" w:rsidRDefault="004D3877" w:rsidP="008406F7">
            <w:pPr>
              <w:pStyle w:val="Tabulkatext"/>
              <w:jc w:val="both"/>
            </w:pPr>
            <w:r w:rsidRPr="004D3877">
              <w:t xml:space="preserve">Cílem projektu je vytvoření a </w:t>
            </w:r>
            <w:r w:rsidR="008406F7">
              <w:t>pilotní ověření</w:t>
            </w:r>
            <w:r w:rsidRPr="004D3877">
              <w:t xml:space="preserve"> „Programu podpory rodičovských kompetencí“, který se bude zaměřovat na rodiny, které opakovaně selhávají v péči o děti a jsou tak aktivními příjemci nejen sociálně-právní ochrany dětí, ale </w:t>
            </w:r>
            <w:r w:rsidR="00B23E69">
              <w:t xml:space="preserve">i </w:t>
            </w:r>
            <w:r w:rsidRPr="004D3877">
              <w:t>sociálních služeb.</w:t>
            </w:r>
            <w:r w:rsidR="009A43E5">
              <w:t xml:space="preserve"> </w:t>
            </w:r>
            <w:r w:rsidR="0080213E">
              <w:t>Dále pak zajištění dostupnosti specifické odborné podpory rodin v evidenci OSPOD a profesní a odborný růst pracovníků OSPOD.</w:t>
            </w:r>
          </w:p>
          <w:p w:rsidR="00B8227E" w:rsidRDefault="00D15CF2" w:rsidP="00D15CF2">
            <w:pPr>
              <w:pStyle w:val="Tabulkatext"/>
              <w:jc w:val="both"/>
            </w:pPr>
            <w:r w:rsidRPr="00D15CF2">
              <w:rPr>
                <w:shd w:val="clear" w:color="auto" w:fill="FFFFFF" w:themeFill="background1"/>
              </w:rPr>
              <w:t>Očekávaným přínosem je vytvoření a podpora efektivních nástrojů pro práci s</w:t>
            </w:r>
            <w:r>
              <w:rPr>
                <w:shd w:val="clear" w:color="auto" w:fill="FFFFFF" w:themeFill="background1"/>
              </w:rPr>
              <w:t> </w:t>
            </w:r>
            <w:r w:rsidRPr="00D15CF2">
              <w:rPr>
                <w:shd w:val="clear" w:color="auto" w:fill="FFFFFF" w:themeFill="background1"/>
              </w:rPr>
              <w:t>rodinami, které se nacházejí v situaci, která závažným způsobem ohrožuje řádnou výchovu dětí v rodině a jejich další příznivý vývoj.</w:t>
            </w:r>
          </w:p>
        </w:tc>
      </w:tr>
      <w:tr w:rsidR="00980826" w:rsidTr="002D3192">
        <w:trPr>
          <w:trHeight w:val="397"/>
        </w:trPr>
        <w:tc>
          <w:tcPr>
            <w:tcW w:w="3153" w:type="dxa"/>
            <w:hideMark/>
          </w:tcPr>
          <w:p w:rsidR="00980826" w:rsidRPr="00F67B56" w:rsidRDefault="00980826" w:rsidP="002D3192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Popis klíčových aktivit projektu</w:t>
            </w:r>
          </w:p>
        </w:tc>
        <w:tc>
          <w:tcPr>
            <w:tcW w:w="5919" w:type="dxa"/>
          </w:tcPr>
          <w:p w:rsidR="004D3877" w:rsidRDefault="004D3877" w:rsidP="008406F7">
            <w:pPr>
              <w:pStyle w:val="Tabulkatext"/>
              <w:jc w:val="both"/>
            </w:pPr>
            <w:r>
              <w:t>V rámci projektu budou realizovány 3 klíčové aktivity:</w:t>
            </w:r>
          </w:p>
          <w:p w:rsidR="004D3877" w:rsidRDefault="004D3877" w:rsidP="008406F7">
            <w:pPr>
              <w:pStyle w:val="Tabulkatext"/>
              <w:jc w:val="both"/>
            </w:pPr>
            <w:r w:rsidRPr="004D3877">
              <w:rPr>
                <w:b/>
              </w:rPr>
              <w:t>KA 1 -</w:t>
            </w:r>
            <w:r>
              <w:t xml:space="preserve"> </w:t>
            </w:r>
            <w:r w:rsidRPr="004D3877">
              <w:rPr>
                <w:b/>
              </w:rPr>
              <w:t>Program podpory rodičovských kompetencí</w:t>
            </w:r>
            <w:r>
              <w:t xml:space="preserve"> – v rámci této klíčové aktivity </w:t>
            </w:r>
            <w:r w:rsidR="009A43E5">
              <w:t xml:space="preserve">budou ve spolupráci s některými ORP vytipovány </w:t>
            </w:r>
            <w:r>
              <w:t>rodin</w:t>
            </w:r>
            <w:r w:rsidR="009A43E5">
              <w:t>y</w:t>
            </w:r>
            <w:r>
              <w:t xml:space="preserve">, které budou zapojeny do intenzivního programu podpory </w:t>
            </w:r>
            <w:r w:rsidR="009A43E5">
              <w:t>a pomoci</w:t>
            </w:r>
            <w:r w:rsidR="008406F7">
              <w:t>.</w:t>
            </w:r>
            <w:r>
              <w:t xml:space="preserve"> </w:t>
            </w:r>
            <w:r w:rsidR="009A43E5">
              <w:t xml:space="preserve">Do programu by měly být zařazeny především rodiny, které opakovaně či dlouhodobě selhávají v péči o děti. </w:t>
            </w:r>
            <w:r>
              <w:t xml:space="preserve">Program </w:t>
            </w:r>
            <w:r w:rsidR="0050791F">
              <w:t xml:space="preserve">se </w:t>
            </w:r>
            <w:r>
              <w:t>bude s</w:t>
            </w:r>
            <w:r w:rsidR="0050791F">
              <w:t>kládat</w:t>
            </w:r>
            <w:r>
              <w:t xml:space="preserve"> z</w:t>
            </w:r>
            <w:r w:rsidR="009A43E5">
              <w:t> několika aktivit, mezi které patří především</w:t>
            </w:r>
            <w:r>
              <w:t xml:space="preserve"> rodinn</w:t>
            </w:r>
            <w:r w:rsidR="008406F7">
              <w:t>á</w:t>
            </w:r>
            <w:r>
              <w:t xml:space="preserve"> terapi</w:t>
            </w:r>
            <w:r w:rsidR="009A43E5">
              <w:t>e</w:t>
            </w:r>
            <w:r>
              <w:t>, vzdělávání a podpor</w:t>
            </w:r>
            <w:r w:rsidR="008406F7">
              <w:t>a</w:t>
            </w:r>
            <w:r>
              <w:t xml:space="preserve"> rodičů</w:t>
            </w:r>
            <w:r w:rsidR="009A43E5">
              <w:t xml:space="preserve"> v jejich rodičovské roli</w:t>
            </w:r>
            <w:r>
              <w:t xml:space="preserve"> a </w:t>
            </w:r>
            <w:r w:rsidR="009A43E5">
              <w:t>volnočasov</w:t>
            </w:r>
            <w:r w:rsidR="008406F7">
              <w:t>é</w:t>
            </w:r>
            <w:r w:rsidR="009A43E5">
              <w:t xml:space="preserve"> aktivit</w:t>
            </w:r>
            <w:r w:rsidR="008406F7">
              <w:t>y, včetně</w:t>
            </w:r>
            <w:r w:rsidR="009A43E5">
              <w:t xml:space="preserve"> </w:t>
            </w:r>
            <w:r>
              <w:t>vícedenní</w:t>
            </w:r>
            <w:r w:rsidR="008406F7">
              <w:t>ho</w:t>
            </w:r>
            <w:r>
              <w:t xml:space="preserve"> pobyt</w:t>
            </w:r>
            <w:r w:rsidR="008406F7">
              <w:t>u</w:t>
            </w:r>
            <w:r w:rsidR="009A43E5">
              <w:t xml:space="preserve"> rodičů s dětmi </w:t>
            </w:r>
            <w:r>
              <w:t xml:space="preserve">za účelem </w:t>
            </w:r>
            <w:r w:rsidR="008406F7">
              <w:t>podpory vzájemných vazeb</w:t>
            </w:r>
            <w:r>
              <w:t>.</w:t>
            </w:r>
          </w:p>
          <w:p w:rsidR="004D3877" w:rsidRDefault="004D3877" w:rsidP="008406F7">
            <w:pPr>
              <w:pStyle w:val="Tabulkatext"/>
              <w:jc w:val="both"/>
            </w:pPr>
            <w:r w:rsidRPr="004D3877">
              <w:rPr>
                <w:b/>
              </w:rPr>
              <w:t>KA 2 - Zajištění služeb pro rodiny s dětmi</w:t>
            </w:r>
            <w:r>
              <w:t xml:space="preserve"> – tato aktivita zajistí ve spolupráci se zapojenými ORP dodávku</w:t>
            </w:r>
            <w:r w:rsidR="008406F7">
              <w:t xml:space="preserve"> </w:t>
            </w:r>
            <w:r w:rsidR="00C73943">
              <w:t xml:space="preserve">specifických odborných </w:t>
            </w:r>
            <w:r>
              <w:t>služeb pro rodiny</w:t>
            </w:r>
            <w:r w:rsidR="00C73943">
              <w:t xml:space="preserve"> s dětmi. </w:t>
            </w:r>
            <w:r w:rsidR="008406F7">
              <w:t>Dílčí</w:t>
            </w:r>
            <w:r w:rsidR="00C73943">
              <w:t xml:space="preserve"> služby nebo aktivity budou vycházet z již deklarované potřeby jednotlivých ORP v kraji. Mezi navrhované aktivity patří především možnost intenzívní spolupráce s </w:t>
            </w:r>
            <w:r>
              <w:t xml:space="preserve">etopedem, psychologem, </w:t>
            </w:r>
            <w:r w:rsidR="00C73943">
              <w:t xml:space="preserve">dále pak dostupnost </w:t>
            </w:r>
            <w:r>
              <w:t>rodinn</w:t>
            </w:r>
            <w:r w:rsidR="00C73943">
              <w:t>é</w:t>
            </w:r>
            <w:r>
              <w:t xml:space="preserve"> terapie</w:t>
            </w:r>
            <w:r w:rsidR="008406F7">
              <w:t xml:space="preserve"> apod.</w:t>
            </w:r>
          </w:p>
          <w:p w:rsidR="00FC2B1C" w:rsidRPr="00D51DF2" w:rsidRDefault="00FC2B1C" w:rsidP="008406F7">
            <w:pPr>
              <w:pStyle w:val="Tabulkatext"/>
              <w:jc w:val="both"/>
              <w:rPr>
                <w:i/>
              </w:rPr>
            </w:pPr>
            <w:r w:rsidRPr="00D51DF2">
              <w:rPr>
                <w:i/>
              </w:rPr>
              <w:t xml:space="preserve">Tyto služby byly v minulém programovém období zajištěny formou tzv. minitendrů v rámci projektu Ministerstva práce a sociálních </w:t>
            </w:r>
            <w:r w:rsidRPr="00D51DF2">
              <w:rPr>
                <w:i/>
              </w:rPr>
              <w:lastRenderedPageBreak/>
              <w:t>věcí. Přesto byla kapacita služeb nedostatečná a velmi brzy docházelo k jejich předčasnému vyčerpání. V aktuálním programovém období nehrozí duplicita aktivit MPSV s aktivitami tohoto záměru na území Moravskoslezského kraje. Dle vyjádření pana Milana Zaniny (</w:t>
            </w:r>
            <w:r w:rsidR="00D51DF2" w:rsidRPr="00D51DF2">
              <w:rPr>
                <w:i/>
              </w:rPr>
              <w:t>koordinátora pro individuální projekt MPSV): „V navazujícím projektu se jedna ze čtyř aktivit bude zaměřovat také na podporu a rozvoj služeb pro ohrožené děti a rodiny. Podpora a rozvoj služeb nebude realizována přímou finanční podporu pro služby v území prostřednictvím tzv. minitendrů, jako je to ve stávajícím projektu, ale cestou posílení kapacit OSPOD v oblasti síťování. Vámi popsané aktivity v individuálních projektech tedy nebudou duplicitní s aktivitami našeho připravovaného individuálního projektu, naopak se dobře doplní. Lokální síťaři v kraji budou mít alespoň pro své OSPODy k dispozici potřebné a často chybějící odborné služby, které zajistíte v rámci Vašich IP.“</w:t>
            </w:r>
          </w:p>
          <w:p w:rsidR="0086370D" w:rsidRDefault="004D3877" w:rsidP="008406F7">
            <w:pPr>
              <w:pStyle w:val="Tabulkatext"/>
              <w:jc w:val="both"/>
            </w:pPr>
            <w:r w:rsidRPr="004D3877">
              <w:rPr>
                <w:b/>
              </w:rPr>
              <w:t xml:space="preserve">KA 3 - Setkávání pracovníků OSPOD </w:t>
            </w:r>
            <w:r>
              <w:t xml:space="preserve">– </w:t>
            </w:r>
            <w:r w:rsidR="007A1937">
              <w:t>tato aktivita naváže na výbornou zkušenost s aktivitami, realizovanými v rámci projektu „Podpora péče o ohrožené děti“. Pracovníkům OSPOD z celého kraje bude během dvoudenních setkání umožněno rozvíjet své profesní dovednosti v rámci workshopů vedených odborníky na danou oblast a zároveň diskutovat a vyměňovat si zkušenosti ze své praxe. Obsah jednotlivých workshopů bude zaměřen na osobní rozvoj pracovníků a nové metody a možnosti práce s ohroženými  rodinami. Dále bude rozvíjena činnost pracovní skupiny zaměřené  na oblast ochrany týraných, zanedbávaných a zneužívaných dětí, v rámci které dojde především k aktualizaci metodiky doporučených postupů</w:t>
            </w:r>
          </w:p>
        </w:tc>
      </w:tr>
      <w:tr w:rsidR="00980826" w:rsidTr="002C3D99">
        <w:trPr>
          <w:trHeight w:val="397"/>
        </w:trPr>
        <w:tc>
          <w:tcPr>
            <w:tcW w:w="3153" w:type="dxa"/>
            <w:shd w:val="clear" w:color="auto" w:fill="auto"/>
            <w:hideMark/>
          </w:tcPr>
          <w:p w:rsidR="00980826" w:rsidRPr="002C3D99" w:rsidRDefault="00980826" w:rsidP="002D3192">
            <w:pPr>
              <w:pStyle w:val="Tabulkatext"/>
              <w:rPr>
                <w:b/>
              </w:rPr>
            </w:pPr>
            <w:r w:rsidRPr="002C3D99">
              <w:rPr>
                <w:b/>
              </w:rPr>
              <w:lastRenderedPageBreak/>
              <w:t>Indikátory výstupů projektu</w:t>
            </w:r>
          </w:p>
        </w:tc>
        <w:tc>
          <w:tcPr>
            <w:tcW w:w="5919" w:type="dxa"/>
            <w:shd w:val="clear" w:color="auto" w:fill="auto"/>
          </w:tcPr>
          <w:p w:rsidR="001C53FB" w:rsidRPr="002C3D99" w:rsidRDefault="00903D61" w:rsidP="00903D61">
            <w:pPr>
              <w:pStyle w:val="Tabulkatext"/>
              <w:jc w:val="both"/>
              <w:rPr>
                <w:i/>
                <w:sz w:val="18"/>
                <w:szCs w:val="18"/>
              </w:rPr>
            </w:pPr>
            <w:r w:rsidRPr="002C3D99">
              <w:rPr>
                <w:sz w:val="18"/>
                <w:szCs w:val="18"/>
              </w:rPr>
              <w:t>Celkový počet účastníků</w:t>
            </w:r>
            <w:r w:rsidR="00863144" w:rsidRPr="002C3D99">
              <w:rPr>
                <w:sz w:val="18"/>
                <w:szCs w:val="18"/>
              </w:rPr>
              <w:t xml:space="preserve"> – </w:t>
            </w:r>
            <w:r w:rsidR="00863144" w:rsidRPr="002C3D99">
              <w:rPr>
                <w:i/>
                <w:sz w:val="18"/>
                <w:szCs w:val="18"/>
              </w:rPr>
              <w:t>celkový počet účastníků se bude vztahovat ke klíčové aktivitě 1, kde načítanými osobami budou členové zapojených rodin. V projektu počítáme se zapojením 25 rodin, kdy průměrný počet členů jedné rodiny je 4 osoby. Předpokládáme, že každý člen rodiny obdrží v rámci aktivity podporu v rozsahu 48 hodin (ať už individuální či skupinovou). Předpokládaná hodnota indikátoru: 100</w:t>
            </w:r>
          </w:p>
          <w:p w:rsidR="00863144" w:rsidRPr="002C3D99" w:rsidRDefault="00863144" w:rsidP="00903D61">
            <w:pPr>
              <w:pStyle w:val="Tabulkatext"/>
              <w:jc w:val="both"/>
              <w:rPr>
                <w:i/>
                <w:sz w:val="18"/>
                <w:szCs w:val="18"/>
              </w:rPr>
            </w:pPr>
          </w:p>
          <w:p w:rsidR="001C53FB" w:rsidRPr="002C3D99" w:rsidRDefault="00903D61" w:rsidP="001C53FB">
            <w:pPr>
              <w:pStyle w:val="Tabulkatext"/>
              <w:jc w:val="both"/>
              <w:rPr>
                <w:i/>
                <w:sz w:val="18"/>
                <w:szCs w:val="18"/>
              </w:rPr>
            </w:pPr>
            <w:r w:rsidRPr="002C3D99">
              <w:rPr>
                <w:sz w:val="18"/>
                <w:szCs w:val="18"/>
              </w:rPr>
              <w:t>Počet napsaných a zveřejněných analytických a strategic</w:t>
            </w:r>
            <w:r w:rsidR="001C53FB" w:rsidRPr="002C3D99">
              <w:rPr>
                <w:sz w:val="18"/>
                <w:szCs w:val="18"/>
              </w:rPr>
              <w:t>kých dokumentů (vč. evaluačních)</w:t>
            </w:r>
            <w:r w:rsidRPr="002C3D99">
              <w:rPr>
                <w:sz w:val="18"/>
                <w:szCs w:val="18"/>
              </w:rPr>
              <w:t xml:space="preserve"> </w:t>
            </w:r>
            <w:r w:rsidR="00863144" w:rsidRPr="002C3D99">
              <w:rPr>
                <w:sz w:val="18"/>
                <w:szCs w:val="18"/>
              </w:rPr>
              <w:t xml:space="preserve">– </w:t>
            </w:r>
            <w:r w:rsidR="00863144" w:rsidRPr="002C3D99">
              <w:rPr>
                <w:i/>
                <w:sz w:val="18"/>
                <w:szCs w:val="18"/>
              </w:rPr>
              <w:t>v rámci projektu dojde k internímu zpracování evaluační zprávy. K evaluaci dojde již v rámci jednotlivých klíčových aktivit, souhrnná evaluační zpráva bude syntézou získaných výsledků. Předpokládaná hodnota indikátoru: 1</w:t>
            </w:r>
          </w:p>
          <w:p w:rsidR="00863144" w:rsidRPr="002C3D99" w:rsidRDefault="00863144" w:rsidP="001C53FB">
            <w:pPr>
              <w:pStyle w:val="Tabulkatext"/>
              <w:jc w:val="both"/>
              <w:rPr>
                <w:i/>
                <w:sz w:val="18"/>
                <w:szCs w:val="18"/>
              </w:rPr>
            </w:pPr>
          </w:p>
          <w:p w:rsidR="00863144" w:rsidRPr="002C3D99" w:rsidRDefault="001C53FB" w:rsidP="00863144">
            <w:pPr>
              <w:pStyle w:val="Tabulkatext"/>
              <w:jc w:val="both"/>
              <w:rPr>
                <w:i/>
                <w:sz w:val="18"/>
                <w:szCs w:val="18"/>
              </w:rPr>
            </w:pPr>
            <w:r w:rsidRPr="002C3D99">
              <w:rPr>
                <w:sz w:val="18"/>
                <w:szCs w:val="18"/>
              </w:rPr>
              <w:t>V</w:t>
            </w:r>
            <w:r w:rsidR="00903D61" w:rsidRPr="002C3D99">
              <w:rPr>
                <w:sz w:val="18"/>
                <w:szCs w:val="18"/>
              </w:rPr>
              <w:t>yužívání podpořených služeb</w:t>
            </w:r>
            <w:r w:rsidR="005D7163" w:rsidRPr="002C3D99">
              <w:rPr>
                <w:sz w:val="18"/>
                <w:szCs w:val="18"/>
              </w:rPr>
              <w:t xml:space="preserve"> – </w:t>
            </w:r>
            <w:r w:rsidR="005D7163" w:rsidRPr="002C3D99">
              <w:rPr>
                <w:i/>
                <w:sz w:val="18"/>
                <w:szCs w:val="18"/>
              </w:rPr>
              <w:t>indikátor vázaný na klíčovou aktivitu 2, v rámci které dojde k pořízení balíku služeb, systematicky poskytovaných potřebným rodinám v kraji na základě doporučení příslušného OSPOD. Načítanými indikátory budou klienti využívající služby (každá osoba načtena pouze jednou). V rámci balíku bude poskytnuto 5 typů služeb, předem identifikovaných dle potřebnosti (průzkum provedený ve spolupráci s orgány SPOD v kraji) v celkovém rozsahu 2000 hodin/2 roky. Vzhledem k tomu, že nejsme předem schopni říct, zda budou služby čerpány nárazově jednotlivci (vysoký počet indikátorů) nebo opakovaně skupinou klientů (nízký počet indikátorů. Proto jsme přistoupili k načtení průměrného indikátoru s předpokladem rovnoměrného čerpání – každý klient využije 5 hodin služeb ročně. Předpokládaná hodnota indikátoru: 200</w:t>
            </w:r>
          </w:p>
        </w:tc>
      </w:tr>
      <w:tr w:rsidR="00980826" w:rsidTr="002D3192">
        <w:trPr>
          <w:trHeight w:val="397"/>
        </w:trPr>
        <w:tc>
          <w:tcPr>
            <w:tcW w:w="3153" w:type="dxa"/>
            <w:hideMark/>
          </w:tcPr>
          <w:p w:rsidR="00980826" w:rsidRPr="00F67B56" w:rsidRDefault="00980826" w:rsidP="002D3192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Cílové skupiny projektu</w:t>
            </w:r>
          </w:p>
        </w:tc>
        <w:tc>
          <w:tcPr>
            <w:tcW w:w="5919" w:type="dxa"/>
          </w:tcPr>
          <w:p w:rsidR="00D261C4" w:rsidRDefault="00F429F9" w:rsidP="00D261C4">
            <w:pPr>
              <w:pStyle w:val="Tabulkatext"/>
              <w:rPr>
                <w:i/>
              </w:rPr>
            </w:pPr>
            <w:r w:rsidRPr="00D261C4">
              <w:t>Osoby sociálně vyloučené a osoby sociálním vyloučením ohrožené</w:t>
            </w:r>
            <w:r w:rsidR="00D261C4">
              <w:rPr>
                <w:i/>
              </w:rPr>
              <w:t xml:space="preserve"> - </w:t>
            </w:r>
            <w:r w:rsidR="00D261C4" w:rsidRPr="00D261C4">
              <w:rPr>
                <w:i/>
              </w:rPr>
              <w:t>Cílovou skupinou projektu budou rodiny dlouhodobě zařazené v evidenci OSPOD. Jedná se o rodiny, které procházejí nestandartní životní situací, která je v konečném důsledku může vyloučit z běžně fungující společnosti.</w:t>
            </w:r>
          </w:p>
          <w:p w:rsidR="001C53FB" w:rsidRPr="001C53FB" w:rsidRDefault="001C53FB" w:rsidP="00D261C4">
            <w:pPr>
              <w:pStyle w:val="Tabulkatext"/>
              <w:rPr>
                <w:i/>
                <w:szCs w:val="20"/>
              </w:rPr>
            </w:pPr>
          </w:p>
          <w:p w:rsidR="00980826" w:rsidRPr="00D261C4" w:rsidRDefault="00903D61" w:rsidP="00D261C4">
            <w:pPr>
              <w:pStyle w:val="Tabulkatext"/>
              <w:rPr>
                <w:i/>
              </w:rPr>
            </w:pPr>
            <w:r w:rsidRPr="001C53FB">
              <w:rPr>
                <w:szCs w:val="20"/>
              </w:rPr>
              <w:lastRenderedPageBreak/>
              <w:t>Zaměstnanci veřejné správy, kteří se věnují sociální, rodinné nebo zdravotní problematice</w:t>
            </w:r>
            <w:r w:rsidR="00D261C4" w:rsidRPr="001C53FB">
              <w:rPr>
                <w:szCs w:val="20"/>
              </w:rPr>
              <w:t xml:space="preserve"> </w:t>
            </w:r>
            <w:r w:rsidR="00D261C4" w:rsidRPr="001C53FB">
              <w:rPr>
                <w:i/>
                <w:szCs w:val="20"/>
              </w:rPr>
              <w:t>- Projekt se bude snažit profesně podpořit a rozvíjet pracovníky OSPOD zabývající se rodinnou problematikou</w:t>
            </w:r>
          </w:p>
        </w:tc>
      </w:tr>
      <w:tr w:rsidR="00980826" w:rsidTr="002D3192">
        <w:trPr>
          <w:trHeight w:val="397"/>
        </w:trPr>
        <w:tc>
          <w:tcPr>
            <w:tcW w:w="3153" w:type="dxa"/>
            <w:hideMark/>
          </w:tcPr>
          <w:p w:rsidR="00980826" w:rsidRPr="00F67B56" w:rsidRDefault="00980826" w:rsidP="002D3192">
            <w:pPr>
              <w:pStyle w:val="Tabulkatext"/>
              <w:rPr>
                <w:b/>
              </w:rPr>
            </w:pPr>
            <w:r w:rsidRPr="003B72C7">
              <w:rPr>
                <w:b/>
                <w:color w:val="auto"/>
              </w:rPr>
              <w:lastRenderedPageBreak/>
              <w:t>Přínosy projektu pro cílové skupiny</w:t>
            </w:r>
          </w:p>
        </w:tc>
        <w:tc>
          <w:tcPr>
            <w:tcW w:w="5919" w:type="dxa"/>
          </w:tcPr>
          <w:p w:rsidR="00DD266A" w:rsidRDefault="00C51858" w:rsidP="00C51858">
            <w:pPr>
              <w:pStyle w:val="Tabulkatext"/>
              <w:jc w:val="both"/>
              <w:rPr>
                <w:szCs w:val="20"/>
              </w:rPr>
            </w:pPr>
            <w:r>
              <w:rPr>
                <w:szCs w:val="20"/>
              </w:rPr>
              <w:t>Rodiny s dětmi v evidenci OSPOD získají možnost velmi intenzivní podpory a pomoci odborníků a tím ojedinělou příležitost změnit dlouhodobě nepříznivou situaci jejich rodiny a tím také předejít umístění dětí mimo biologickou rodinu. Prostřednictvím evaluace realizovaného projektu bude možné identifikovat účinné nástroje pro práci s rodinami opakovaně selhávajícími v péči o děti.</w:t>
            </w:r>
          </w:p>
          <w:p w:rsidR="00C51858" w:rsidRDefault="00C51858" w:rsidP="00C51858">
            <w:pPr>
              <w:pStyle w:val="Tabulkatext"/>
              <w:jc w:val="both"/>
              <w:rPr>
                <w:szCs w:val="20"/>
              </w:rPr>
            </w:pPr>
          </w:p>
          <w:p w:rsidR="00C51858" w:rsidRPr="00EC7DDB" w:rsidRDefault="007A1937" w:rsidP="00583E88">
            <w:pPr>
              <w:pStyle w:val="Tabulkatext"/>
              <w:jc w:val="both"/>
              <w:rPr>
                <w:szCs w:val="20"/>
              </w:rPr>
            </w:pPr>
            <w:r>
              <w:rPr>
                <w:szCs w:val="20"/>
              </w:rPr>
              <w:t>Zaměstnanci veřejné správy získají možnost zvyšovat si svou odbornost a kvalifikaci absolvováním vzdělávacích workshopů a seminářů, které budou zaměřeny na nové inovativní metody práce s rodinami, práce s vlastním potenciálem pracovníka a aplikací zkušeností z jiných institucí. Dalším přínosem bude další činnost pracovní skupiny a následně aktualizace metodiky doporučených postupů v oblasti procesu ochrany týraných, zanedbávaných a zneužívaných dětí, která je užitečnou a důležitou pomůckou pro práci s touto cílovou skupinou dětí.</w:t>
            </w:r>
          </w:p>
        </w:tc>
      </w:tr>
    </w:tbl>
    <w:p w:rsidR="00204000" w:rsidRDefault="00204000" w:rsidP="00A05864"/>
    <w:p w:rsidR="00E02297" w:rsidRDefault="00E02297" w:rsidP="00A05864"/>
    <w:tbl>
      <w:tblPr>
        <w:tblStyle w:val="Mkatabulky"/>
        <w:tblW w:w="9062" w:type="dxa"/>
        <w:tblInd w:w="5" w:type="dxa"/>
        <w:tblLook w:val="01E0" w:firstRow="1" w:lastRow="1" w:firstColumn="1" w:lastColumn="1" w:noHBand="0" w:noVBand="0"/>
      </w:tblPr>
      <w:tblGrid>
        <w:gridCol w:w="2258"/>
        <w:gridCol w:w="6804"/>
      </w:tblGrid>
      <w:tr w:rsidR="00E02297" w:rsidTr="00B27DA5">
        <w:trPr>
          <w:trHeight w:val="340"/>
        </w:trPr>
        <w:tc>
          <w:tcPr>
            <w:tcW w:w="2258" w:type="dxa"/>
            <w:hideMark/>
          </w:tcPr>
          <w:p w:rsidR="00E02297" w:rsidRPr="00F67B56" w:rsidRDefault="00E02297" w:rsidP="00B27DA5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Název projektu</w:t>
            </w:r>
          </w:p>
        </w:tc>
        <w:tc>
          <w:tcPr>
            <w:tcW w:w="6804" w:type="dxa"/>
          </w:tcPr>
          <w:p w:rsidR="00E02297" w:rsidRPr="00E02297" w:rsidRDefault="00E02297" w:rsidP="00B27DA5">
            <w:pPr>
              <w:pStyle w:val="Tabulkatext"/>
              <w:jc w:val="both"/>
              <w:rPr>
                <w:rFonts w:eastAsia="Calibri" w:cstheme="minorHAnsi"/>
                <w:b/>
              </w:rPr>
            </w:pPr>
            <w:r w:rsidRPr="00E02297">
              <w:rPr>
                <w:rFonts w:eastAsia="Calibri" w:cstheme="minorHAnsi"/>
                <w:b/>
              </w:rPr>
              <w:t>Interdisciplinární spolupráce v soudním regionu Nový Jičín</w:t>
            </w:r>
          </w:p>
        </w:tc>
      </w:tr>
      <w:tr w:rsidR="00E02297" w:rsidTr="00B27DA5">
        <w:trPr>
          <w:trHeight w:val="397"/>
        </w:trPr>
        <w:tc>
          <w:tcPr>
            <w:tcW w:w="2258" w:type="dxa"/>
            <w:hideMark/>
          </w:tcPr>
          <w:p w:rsidR="00E02297" w:rsidRPr="00F67B56" w:rsidRDefault="00E02297" w:rsidP="00B27DA5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Zkrácený název projektu</w:t>
            </w:r>
          </w:p>
        </w:tc>
        <w:tc>
          <w:tcPr>
            <w:tcW w:w="6804" w:type="dxa"/>
          </w:tcPr>
          <w:p w:rsidR="00E02297" w:rsidRPr="007D2709" w:rsidRDefault="00E02297" w:rsidP="00B27DA5">
            <w:pPr>
              <w:pStyle w:val="Tabulka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COCHEM</w:t>
            </w:r>
            <w:r w:rsidRPr="007D2709">
              <w:rPr>
                <w:rFonts w:cstheme="minorHAnsi"/>
              </w:rPr>
              <w:t xml:space="preserve"> </w:t>
            </w:r>
          </w:p>
        </w:tc>
      </w:tr>
      <w:tr w:rsidR="00E02297" w:rsidTr="00B27DA5">
        <w:trPr>
          <w:trHeight w:val="397"/>
        </w:trPr>
        <w:tc>
          <w:tcPr>
            <w:tcW w:w="2258" w:type="dxa"/>
            <w:hideMark/>
          </w:tcPr>
          <w:p w:rsidR="00E02297" w:rsidRPr="00F67B56" w:rsidRDefault="00E02297" w:rsidP="00B27DA5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Iniciátor projektu</w:t>
            </w:r>
          </w:p>
        </w:tc>
        <w:tc>
          <w:tcPr>
            <w:tcW w:w="6804" w:type="dxa"/>
          </w:tcPr>
          <w:p w:rsidR="00E02297" w:rsidRPr="007D2709" w:rsidRDefault="00E02297" w:rsidP="00B27DA5">
            <w:pPr>
              <w:pStyle w:val="Tabulkatext"/>
              <w:jc w:val="both"/>
              <w:rPr>
                <w:rFonts w:cstheme="minorHAnsi"/>
              </w:rPr>
            </w:pPr>
            <w:r w:rsidRPr="007D2709">
              <w:rPr>
                <w:rFonts w:cstheme="minorHAnsi"/>
              </w:rPr>
              <w:t>Moravskoslezský kraj, odbor sociálních věcí</w:t>
            </w:r>
          </w:p>
        </w:tc>
      </w:tr>
      <w:tr w:rsidR="00E02297" w:rsidTr="00B27DA5">
        <w:trPr>
          <w:trHeight w:val="397"/>
        </w:trPr>
        <w:tc>
          <w:tcPr>
            <w:tcW w:w="2258" w:type="dxa"/>
            <w:hideMark/>
          </w:tcPr>
          <w:p w:rsidR="00E02297" w:rsidRPr="00F67B56" w:rsidRDefault="00E02297" w:rsidP="00B27DA5">
            <w:pPr>
              <w:pStyle w:val="Tabulkatext"/>
              <w:rPr>
                <w:b/>
              </w:rPr>
            </w:pPr>
            <w:r>
              <w:rPr>
                <w:b/>
              </w:rPr>
              <w:t>Předmět projektu</w:t>
            </w:r>
          </w:p>
        </w:tc>
        <w:tc>
          <w:tcPr>
            <w:tcW w:w="6804" w:type="dxa"/>
          </w:tcPr>
          <w:p w:rsidR="00E02297" w:rsidRDefault="00E02297" w:rsidP="00B27DA5">
            <w:pPr>
              <w:rPr>
                <w:rFonts w:cstheme="minorHAnsi"/>
                <w:sz w:val="20"/>
                <w:szCs w:val="20"/>
              </w:rPr>
            </w:pPr>
            <w:r w:rsidRPr="007D2709">
              <w:rPr>
                <w:rFonts w:cstheme="minorHAnsi"/>
                <w:sz w:val="20"/>
                <w:szCs w:val="20"/>
              </w:rPr>
              <w:t>Záměrem projektu Interdisciplinární spolupráce je nalezení efektivnějšího přístupu při řešení případů ve věci nezletilých dětí, prohloubení znalosti a vymezení kompetencí jednotlivých zapojených subjektů (soudci, zaměstnanci krajského úřadu, pracovníci oddělení sociálně-právní ochrany dětí, zástupci rodinných poraden, zástupci mediátorů), včetně prohlubování vzájemných kontaktů. Primárním principem je propojení kompetencí a úkonů jednotlivých profesí takovým způsobem, aby tyto na sebe navzájem navazovaly a byly zařazeny do běžné praxe. V důsledku aplikace tohoto postupu pak bude docházet ke snižování míry ohrožení dětí.</w:t>
            </w:r>
          </w:p>
          <w:p w:rsidR="00E02297" w:rsidRDefault="00E02297" w:rsidP="00B27D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Orgány sociálně-právní ochrany dětí dlouhou dobu upozorňují na vysokou míru ohrožení dětí žijících v rodičovském sporu. V praxi nejsou výjimkou i několikaleté soudní spory rodičů. Děti jsou tak vystavovány nesmírnému tlaku okolí, opakovaným kontaktům s psychology, psychiatry, výjimkou není ani nařizování znaleckých posudků. Jednou z možností jak účinně omezit eskalaci rodičovského sporu je systémově ucelený postup všech zainteresovaných orgánů a institucí. </w:t>
            </w:r>
          </w:p>
          <w:p w:rsidR="00E02297" w:rsidRDefault="00E02297" w:rsidP="00B27D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Jednou s možnosti řešení tohoto problému může být aplikace principů Cochemského modelu, který je především v Německu dlouhodobě pozitivně a s úspěchem využíván. Základním principem modelu je interdisciplinární spolupráce všech zapojených subjektů za účelem nalezení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smírného řešení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 využití odborné pomoci, tak, aby nedocházelo k dalšímu poškozování zájmů dítěte. Cochemský model zplnomocňuje rodiče v jejich rodičovské roli a klade důraz na právo dítěte na jeho příznivý vývoj.</w:t>
            </w:r>
          </w:p>
          <w:p w:rsidR="00E02297" w:rsidRDefault="00E02297" w:rsidP="00B27D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 ohledem na primární úlohu soudců a soudu při aplikaci principů Cochemského modelu bylo využito zájmu a aktivního zapojení soudců Okresního soudu Nový Jičín a proto je celý pilotní projekt navázán na tento region.</w:t>
            </w:r>
          </w:p>
          <w:p w:rsidR="00E02297" w:rsidRPr="007D2709" w:rsidRDefault="00E02297" w:rsidP="00B27D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Předmět projektu navazuje na aktivitu b) výzvy: Rozvoj nových modelů služeb podporujících sociální začleňování včetně přenosu dobré praxe a podpory pilotních projektů k posílení udržitelnosti a vyšší efektivnosti jednotlivých systémů. </w:t>
            </w:r>
          </w:p>
          <w:p w:rsidR="00E02297" w:rsidRPr="00896FC9" w:rsidRDefault="00E02297" w:rsidP="00B27D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Tohoto cíle dosáhneme prohloubením znalostí o principech Cochemského modelu, proškolením zainteresovaných stran a v</w:t>
            </w:r>
            <w:r w:rsidRPr="007D2709">
              <w:rPr>
                <w:rFonts w:cstheme="minorHAnsi"/>
                <w:sz w:val="20"/>
                <w:szCs w:val="20"/>
              </w:rPr>
              <w:t xml:space="preserve"> rámci další aktivity bude podpořena dostupnost a nákup specifických odborných služeb pro rodiny s dětmi, nutných k realizaci nového přístupu </w:t>
            </w:r>
            <w:r>
              <w:rPr>
                <w:rFonts w:cstheme="minorHAnsi"/>
                <w:sz w:val="20"/>
                <w:szCs w:val="20"/>
              </w:rPr>
              <w:t xml:space="preserve">k řešení </w:t>
            </w:r>
            <w:r w:rsidRPr="007D2709">
              <w:rPr>
                <w:rFonts w:cstheme="minorHAnsi"/>
                <w:sz w:val="20"/>
                <w:szCs w:val="20"/>
              </w:rPr>
              <w:t>rodičovského sporu. Konkrétně se bude jednat o zajištění služby mediace, odborného rodinného poradenství a asistence při styku s nezletilým dítětem a při předávání nezletilého dítěte do péče druhého rodiče.</w:t>
            </w:r>
          </w:p>
        </w:tc>
      </w:tr>
    </w:tbl>
    <w:tbl>
      <w:tblPr>
        <w:tblStyle w:val="Mkatabulky4"/>
        <w:tblW w:w="9072" w:type="dxa"/>
        <w:tblInd w:w="5" w:type="dxa"/>
        <w:tblLook w:val="01E0" w:firstRow="1" w:lastRow="1" w:firstColumn="1" w:lastColumn="1" w:noHBand="0" w:noVBand="0"/>
      </w:tblPr>
      <w:tblGrid>
        <w:gridCol w:w="2258"/>
        <w:gridCol w:w="6814"/>
      </w:tblGrid>
      <w:tr w:rsidR="00E02297" w:rsidRPr="007D2709" w:rsidTr="00B27DA5">
        <w:trPr>
          <w:trHeight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97" w:rsidRPr="007D2709" w:rsidRDefault="00E02297" w:rsidP="00B27DA5">
            <w:pPr>
              <w:spacing w:before="60" w:after="60"/>
              <w:ind w:left="57" w:right="57"/>
              <w:jc w:val="left"/>
              <w:rPr>
                <w:rFonts w:cstheme="minorHAnsi"/>
                <w:b/>
                <w:color w:val="080808"/>
                <w:sz w:val="20"/>
                <w:szCs w:val="20"/>
              </w:rPr>
            </w:pPr>
            <w:r w:rsidRPr="007D2709">
              <w:rPr>
                <w:rFonts w:cstheme="minorHAnsi"/>
                <w:b/>
                <w:color w:val="080808"/>
                <w:sz w:val="20"/>
                <w:szCs w:val="20"/>
              </w:rPr>
              <w:t>Cíle / očekávané přínosy projektu</w:t>
            </w:r>
            <w:r w:rsidRPr="007D2709">
              <w:rPr>
                <w:rFonts w:eastAsia="Calibri" w:cstheme="minorHAnsi"/>
                <w:b/>
                <w:color w:val="080808"/>
                <w:sz w:val="20"/>
                <w:szCs w:val="20"/>
              </w:rPr>
              <w:t xml:space="preserve"> – kvantifikace cílů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97" w:rsidRPr="00111EEC" w:rsidRDefault="00E02297" w:rsidP="00B27DA5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Hlavním cílem projektu navazuje na cíl stanovený výzvou tedy: r</w:t>
            </w:r>
            <w:r w:rsidRPr="00111EEC">
              <w:rPr>
                <w:sz w:val="20"/>
                <w:szCs w:val="20"/>
              </w:rPr>
              <w:t>ozvoj nových modelů služeb podporujících sociální začleňování včetně přenosu dobré praxe a podpory pilotních projektů k posílení udržitelnosti a vyšší efektivnosti jednotlivých systémů. Podpora opatření k zefektivňování procesů v sociálních službách a ve službách pro rodiny s dětmi včetně podpory vzdělávání pracovníků těchto služeb a rozvoje strategického řízení a managementu na úrovni kraje</w:t>
            </w:r>
            <w:r>
              <w:rPr>
                <w:sz w:val="20"/>
                <w:szCs w:val="20"/>
              </w:rPr>
              <w:t>.</w:t>
            </w:r>
          </w:p>
          <w:p w:rsidR="00E02297" w:rsidRDefault="00E02297" w:rsidP="00B27DA5">
            <w:pPr>
              <w:pStyle w:val="MSKNormal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Hlavní cíl projektu bude naplněn prostřednictvím dílčích cílů tedy: </w:t>
            </w:r>
          </w:p>
          <w:p w:rsidR="00E02297" w:rsidRDefault="00E02297" w:rsidP="00B27DA5">
            <w:pPr>
              <w:pStyle w:val="MSKNormal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2297" w:rsidRPr="00111EEC" w:rsidRDefault="00E02297" w:rsidP="00E02297">
            <w:pPr>
              <w:pStyle w:val="MSKNormal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11EEC">
              <w:rPr>
                <w:rFonts w:asciiTheme="minorHAnsi" w:hAnsiTheme="minorHAnsi" w:cstheme="minorHAnsi"/>
                <w:b/>
                <w:sz w:val="20"/>
                <w:szCs w:val="20"/>
              </w:rPr>
              <w:t>nastavit a dále rozvíjet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2709">
              <w:rPr>
                <w:rFonts w:asciiTheme="minorHAnsi" w:hAnsiTheme="minorHAnsi" w:cstheme="minorHAnsi"/>
                <w:sz w:val="20"/>
                <w:szCs w:val="20"/>
              </w:rPr>
              <w:t xml:space="preserve">interdisciplinární spolupráci zainteresovaných subjektů </w:t>
            </w:r>
            <w:r w:rsidRPr="00532606">
              <w:rPr>
                <w:rFonts w:asciiTheme="minorHAnsi" w:hAnsiTheme="minorHAnsi" w:cstheme="minorHAnsi"/>
                <w:sz w:val="20"/>
                <w:szCs w:val="20"/>
              </w:rPr>
              <w:t>(cílových skupin projektu)</w:t>
            </w:r>
            <w:r w:rsidRPr="00335A5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8A6214">
              <w:rPr>
                <w:rFonts w:asciiTheme="minorHAnsi" w:hAnsiTheme="minorHAnsi" w:cstheme="minorHAnsi"/>
                <w:sz w:val="20"/>
                <w:szCs w:val="20"/>
              </w:rPr>
              <w:t xml:space="preserve">v rámci </w:t>
            </w:r>
            <w:r w:rsidRPr="00111EEC">
              <w:rPr>
                <w:rFonts w:asciiTheme="minorHAnsi" w:hAnsiTheme="minorHAnsi" w:cstheme="minorHAnsi"/>
                <w:b/>
                <w:sz w:val="20"/>
                <w:szCs w:val="20"/>
              </w:rPr>
              <w:t>pravidelného společného setkávání a vzdělávání</w:t>
            </w:r>
            <w:r w:rsidRPr="008A6214">
              <w:rPr>
                <w:rFonts w:asciiTheme="minorHAnsi" w:hAnsiTheme="minorHAnsi" w:cstheme="minorHAnsi"/>
                <w:sz w:val="20"/>
                <w:szCs w:val="20"/>
              </w:rPr>
              <w:t xml:space="preserve"> a to v nejlepším zájmu dítěte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nejen </w:t>
            </w:r>
            <w:r w:rsidRPr="008A6214">
              <w:rPr>
                <w:rFonts w:asciiTheme="minorHAnsi" w:hAnsiTheme="minorHAnsi" w:cstheme="minorHAnsi"/>
                <w:sz w:val="20"/>
                <w:szCs w:val="20"/>
              </w:rPr>
              <w:t xml:space="preserve">při řešení rodičovských konfliktů v soudním regionu Nový Jičín, která povede ke změně způsobu vedení opatrovnických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řízení</w:t>
            </w:r>
            <w:r w:rsidRPr="008A6214">
              <w:rPr>
                <w:rFonts w:asciiTheme="minorHAnsi" w:hAnsiTheme="minorHAnsi" w:cstheme="minorHAnsi"/>
                <w:sz w:val="20"/>
                <w:szCs w:val="20"/>
              </w:rPr>
              <w:t xml:space="preserve"> ve věci nezletilých dětí (pravideln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8A62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setkávání). V rámci klíčové aktivity 1 a 2 proškolíme 46 osob/zainteresovaných subjektů. Dále budeme sledovat činnost Řídícího výboru, kde měrnou jednotkou bude počet setkání v rámci projektu (p</w:t>
            </w:r>
            <w:r w:rsidRPr="00111EEC">
              <w:rPr>
                <w:rFonts w:asciiTheme="minorHAnsi" w:hAnsiTheme="minorHAnsi" w:cstheme="minorHAnsi"/>
                <w:sz w:val="20"/>
                <w:szCs w:val="20"/>
              </w:rPr>
              <w:t>ředpokládaný počet setkání: min. 24 setkání projekt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E02297" w:rsidRDefault="00E02297" w:rsidP="00E02297">
            <w:pPr>
              <w:pStyle w:val="MSKNormal"/>
              <w:numPr>
                <w:ilvl w:val="0"/>
                <w:numId w:val="27"/>
              </w:numPr>
              <w:rPr>
                <w:rFonts w:cs="Tahoma"/>
                <w:sz w:val="20"/>
                <w:szCs w:val="20"/>
              </w:rPr>
            </w:pPr>
            <w:r w:rsidRPr="00637E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změnit způsob vedení opatrovnických sporů. </w:t>
            </w:r>
            <w:r w:rsidRPr="00637EAF">
              <w:rPr>
                <w:rFonts w:cs="Tahoma"/>
                <w:sz w:val="20"/>
                <w:szCs w:val="20"/>
              </w:rPr>
              <w:t>Cílem je zkrácení doby délky trvání soudních řízení ve věcech nezletilých dětí. Předpokládáme snížení počtu soudních řízení ve věci úpravy práv</w:t>
            </w:r>
            <w:r w:rsidRPr="00637EAF">
              <w:rPr>
                <w:rFonts w:cs="Tahoma"/>
                <w:sz w:val="20"/>
                <w:szCs w:val="20"/>
              </w:rPr>
              <w:br/>
              <w:t xml:space="preserve">a povinností k nezletilým dětem a to o 20 % oproti současnému sledovanému stavu obecních úřadů obcí s rozšířenou působností v soudním regionu Nový Jičín (tj. Bílovec, Frenštát pod Radhoštěm, Kopřivnice, Nový Jičín, Odry, Ostrava), který za I. pololetí roku 2016 činí </w:t>
            </w:r>
            <w:r>
              <w:rPr>
                <w:rFonts w:cs="Tahoma"/>
                <w:sz w:val="20"/>
                <w:szCs w:val="20"/>
              </w:rPr>
              <w:t>615</w:t>
            </w:r>
            <w:r w:rsidRPr="00637EAF">
              <w:rPr>
                <w:rFonts w:cs="Tahoma"/>
                <w:sz w:val="20"/>
                <w:szCs w:val="20"/>
              </w:rPr>
              <w:t xml:space="preserve"> soudních řízení. Dále se předpokládá, že bude minimálně v 50% opatrovnických řízení (úpravy p</w:t>
            </w:r>
            <w:r>
              <w:rPr>
                <w:rFonts w:cs="Tahoma"/>
                <w:sz w:val="20"/>
                <w:szCs w:val="20"/>
              </w:rPr>
              <w:t>oměrů nezl. dětí</w:t>
            </w:r>
            <w:r w:rsidRPr="00637EAF">
              <w:rPr>
                <w:rFonts w:cs="Tahoma"/>
                <w:sz w:val="20"/>
                <w:szCs w:val="20"/>
              </w:rPr>
              <w:t xml:space="preserve">) vedených Okresním soudem Nový Jičín uzavírána dohoda či dojde k zpětvzetí návrhu ve věci. </w:t>
            </w:r>
            <w:r>
              <w:rPr>
                <w:rFonts w:cs="Tahoma"/>
                <w:sz w:val="20"/>
                <w:szCs w:val="20"/>
              </w:rPr>
              <w:t xml:space="preserve">Tento dílčí cíl </w:t>
            </w:r>
            <w:r w:rsidRPr="00637EAF">
              <w:rPr>
                <w:rFonts w:cs="Tahoma"/>
                <w:sz w:val="20"/>
                <w:szCs w:val="20"/>
              </w:rPr>
              <w:t>bud</w:t>
            </w:r>
            <w:r>
              <w:rPr>
                <w:rFonts w:cs="Tahoma"/>
                <w:sz w:val="20"/>
                <w:szCs w:val="20"/>
              </w:rPr>
              <w:t>e</w:t>
            </w:r>
            <w:r w:rsidRPr="00637EAF">
              <w:rPr>
                <w:rFonts w:cs="Tahoma"/>
                <w:sz w:val="20"/>
                <w:szCs w:val="20"/>
              </w:rPr>
              <w:t xml:space="preserve"> sledován</w:t>
            </w:r>
            <w:r>
              <w:rPr>
                <w:rFonts w:cs="Tahoma"/>
                <w:sz w:val="20"/>
                <w:szCs w:val="20"/>
              </w:rPr>
              <w:br/>
            </w:r>
            <w:r w:rsidRPr="00637EAF">
              <w:rPr>
                <w:rFonts w:cs="Tahoma"/>
                <w:sz w:val="20"/>
                <w:szCs w:val="20"/>
              </w:rPr>
              <w:t xml:space="preserve">na základě statistických údajů v soudním regionu Nový Jičín. </w:t>
            </w:r>
          </w:p>
          <w:p w:rsidR="00E02297" w:rsidRPr="007D2709" w:rsidRDefault="00E02297" w:rsidP="00E02297">
            <w:pPr>
              <w:pStyle w:val="MSKNormal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šířit dobrou praxi v jiných okresech.</w:t>
            </w:r>
            <w:r>
              <w:rPr>
                <w:rFonts w:cs="Tahoma"/>
                <w:sz w:val="20"/>
                <w:szCs w:val="20"/>
              </w:rPr>
              <w:t xml:space="preserve"> V rámci klíčové aktivity 4 vytvoříme metodický materiál zohledňující výstupy projektu a principy Cochemského modelu. V rámci klíčové aktivity 5 proškolíme </w:t>
            </w:r>
            <w:r w:rsidRPr="00637EAF">
              <w:rPr>
                <w:rFonts w:asciiTheme="minorHAnsi" w:hAnsiTheme="minorHAnsi" w:cstheme="minorHAnsi"/>
                <w:bCs/>
                <w:sz w:val="20"/>
                <w:szCs w:val="20"/>
              </w:rPr>
              <w:t>pracovník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Pr="00637E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sociálně-právní ochrany dětí obecních úřadů obcí s rozšířenou působností v Moravskoslezském kraji.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Předpokládaný počet proškolených osob 25. V rámci 5 seminářů seznámíme s principy Cochemského modelu a výstupy projektu další zainteresované strany (zástupci soudu, orgánu </w:t>
            </w:r>
            <w:r w:rsidRPr="00637EAF">
              <w:rPr>
                <w:rFonts w:asciiTheme="minorHAnsi" w:hAnsiTheme="minorHAnsi" w:cstheme="minorHAnsi"/>
                <w:bCs/>
                <w:sz w:val="20"/>
                <w:szCs w:val="20"/>
              </w:rPr>
              <w:t>sociálně-právní ochrany dětí</w:t>
            </w:r>
            <w:r w:rsidRPr="007D27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neziskových organizací). Předpokládaný počet proškolených osob je 150. </w:t>
            </w:r>
          </w:p>
        </w:tc>
      </w:tr>
      <w:tr w:rsidR="00E02297" w:rsidRPr="007D2709" w:rsidTr="00B27DA5">
        <w:trPr>
          <w:trHeight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97" w:rsidRPr="007D2709" w:rsidRDefault="00E02297" w:rsidP="00B27DA5">
            <w:pPr>
              <w:spacing w:before="60" w:after="60"/>
              <w:ind w:left="57" w:right="57"/>
              <w:jc w:val="left"/>
              <w:rPr>
                <w:rFonts w:cstheme="minorHAnsi"/>
                <w:b/>
                <w:color w:val="080808"/>
                <w:sz w:val="20"/>
                <w:szCs w:val="20"/>
              </w:rPr>
            </w:pPr>
            <w:r w:rsidRPr="007D2709">
              <w:rPr>
                <w:rFonts w:cstheme="minorHAnsi"/>
                <w:b/>
                <w:color w:val="080808"/>
                <w:sz w:val="20"/>
                <w:szCs w:val="20"/>
              </w:rPr>
              <w:t>Cílové skupiny projektu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97" w:rsidRPr="005A7BC5" w:rsidRDefault="00E02297" w:rsidP="00E02297">
            <w:pPr>
              <w:pStyle w:val="Odstavecseseznamem"/>
              <w:numPr>
                <w:ilvl w:val="0"/>
                <w:numId w:val="27"/>
              </w:numPr>
              <w:spacing w:before="60" w:after="60"/>
              <w:ind w:right="57"/>
              <w:rPr>
                <w:rFonts w:cstheme="minorHAnsi"/>
                <w:i/>
                <w:color w:val="080808"/>
                <w:sz w:val="20"/>
                <w:szCs w:val="20"/>
              </w:rPr>
            </w:pPr>
            <w:r w:rsidRPr="005A7BC5">
              <w:rPr>
                <w:sz w:val="20"/>
                <w:szCs w:val="20"/>
              </w:rPr>
              <w:t>zaměstnanci</w:t>
            </w:r>
            <w:r>
              <w:t xml:space="preserve"> </w:t>
            </w:r>
            <w:r w:rsidRPr="005A7BC5">
              <w:rPr>
                <w:sz w:val="20"/>
                <w:szCs w:val="20"/>
              </w:rPr>
              <w:t>veřejné správy, kteří se věnují sociální, rodinné nebo zdravotní problematice</w:t>
            </w:r>
            <w:r w:rsidRPr="005A7B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(p</w:t>
            </w:r>
            <w:r w:rsidRPr="005A7BC5">
              <w:rPr>
                <w:rFonts w:cstheme="minorHAnsi"/>
                <w:sz w:val="20"/>
                <w:szCs w:val="20"/>
              </w:rPr>
              <w:t>racovníci KÚ MSK, sociální pracovníci oddělení sociálně-právní ochrany dětí, vedoucí odděle</w:t>
            </w:r>
            <w:r>
              <w:rPr>
                <w:rFonts w:cstheme="minorHAnsi"/>
                <w:sz w:val="20"/>
                <w:szCs w:val="20"/>
              </w:rPr>
              <w:t>ní sociálně-právní ochrany dětí, členové řídícího výboru)</w:t>
            </w:r>
          </w:p>
          <w:p w:rsidR="00E02297" w:rsidRPr="005A7BC5" w:rsidRDefault="00E02297" w:rsidP="00E02297">
            <w:pPr>
              <w:pStyle w:val="Odstavecseseznamem"/>
              <w:numPr>
                <w:ilvl w:val="0"/>
                <w:numId w:val="27"/>
              </w:numPr>
              <w:spacing w:before="60" w:after="60"/>
              <w:ind w:right="57"/>
              <w:rPr>
                <w:rFonts w:cstheme="minorHAnsi"/>
                <w:i/>
                <w:color w:val="080808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pracovníci v sociálních službách (</w:t>
            </w:r>
            <w:r w:rsidRPr="005A7BC5">
              <w:rPr>
                <w:rFonts w:cstheme="minorHAnsi"/>
                <w:sz w:val="20"/>
                <w:szCs w:val="20"/>
              </w:rPr>
              <w:t>zástupci rodinn</w:t>
            </w:r>
            <w:r>
              <w:rPr>
                <w:rFonts w:cstheme="minorHAnsi"/>
                <w:sz w:val="20"/>
                <w:szCs w:val="20"/>
              </w:rPr>
              <w:t>ých poraden, zástupci mediátorů)</w:t>
            </w:r>
            <w:r w:rsidRPr="005A7BC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02297" w:rsidRPr="007D2709" w:rsidTr="00B27DA5">
        <w:trPr>
          <w:trHeight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97" w:rsidRPr="007D2709" w:rsidRDefault="00E02297" w:rsidP="00B27DA5">
            <w:pPr>
              <w:keepNext/>
              <w:spacing w:before="60" w:after="60"/>
              <w:ind w:left="57" w:right="57"/>
              <w:jc w:val="left"/>
              <w:rPr>
                <w:rFonts w:cstheme="minorHAnsi"/>
                <w:b/>
                <w:color w:val="080808"/>
                <w:sz w:val="20"/>
                <w:szCs w:val="20"/>
              </w:rPr>
            </w:pPr>
            <w:r w:rsidRPr="008A6214">
              <w:rPr>
                <w:rFonts w:cstheme="minorHAnsi"/>
                <w:b/>
                <w:sz w:val="20"/>
                <w:szCs w:val="20"/>
              </w:rPr>
              <w:t>Přínosy projektu pro cílové skupiny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97" w:rsidRPr="007D2709" w:rsidRDefault="00E02297" w:rsidP="00B27DA5">
            <w:pPr>
              <w:rPr>
                <w:rFonts w:cstheme="minorHAnsi"/>
                <w:sz w:val="20"/>
                <w:szCs w:val="20"/>
              </w:rPr>
            </w:pPr>
            <w:r w:rsidRPr="007D2709">
              <w:rPr>
                <w:rFonts w:cstheme="minorHAnsi"/>
                <w:sz w:val="20"/>
                <w:szCs w:val="20"/>
              </w:rPr>
              <w:t xml:space="preserve">Přínosem projektu pro jednotlivé cílové skupiny bude především osvojení si nových metod a postupů v řešení rodičovských sporů, </w:t>
            </w:r>
            <w:r>
              <w:rPr>
                <w:rFonts w:cstheme="minorHAnsi"/>
                <w:sz w:val="20"/>
                <w:szCs w:val="20"/>
              </w:rPr>
              <w:t>jenž</w:t>
            </w:r>
            <w:r w:rsidRPr="007D2709">
              <w:rPr>
                <w:rFonts w:cstheme="minorHAnsi"/>
                <w:sz w:val="20"/>
                <w:szCs w:val="20"/>
              </w:rPr>
              <w:t xml:space="preserve"> výrazně dopadají a ohrožují nezletilé děti, které se v tomto sporu nacházejí někdy i několik let. Osvojením tohoto přístupu by mělo dojít k</w:t>
            </w:r>
            <w:r>
              <w:rPr>
                <w:rFonts w:cstheme="minorHAnsi"/>
                <w:sz w:val="20"/>
                <w:szCs w:val="20"/>
              </w:rPr>
              <w:t>e zrychlení řízení ve věci nezletilého</w:t>
            </w:r>
            <w:r w:rsidRPr="007D2709">
              <w:rPr>
                <w:rFonts w:cstheme="minorHAnsi"/>
                <w:sz w:val="20"/>
                <w:szCs w:val="20"/>
              </w:rPr>
              <w:t xml:space="preserve"> dítěte tak, aby nedocházelo k ohrožování jejich práv a zájmů. Plánovanými odbornými vzdělávacími aktivitami dojde k získání nových znalostí ve vztahu k</w:t>
            </w:r>
            <w:r>
              <w:rPr>
                <w:rFonts w:cstheme="minorHAnsi"/>
                <w:sz w:val="20"/>
                <w:szCs w:val="20"/>
              </w:rPr>
              <w:t xml:space="preserve"> principům</w:t>
            </w:r>
            <w:r w:rsidRPr="007D2709">
              <w:rPr>
                <w:rFonts w:cstheme="minorHAnsi"/>
                <w:sz w:val="20"/>
                <w:szCs w:val="20"/>
              </w:rPr>
              <w:t xml:space="preserve"> Cochemské</w:t>
            </w:r>
            <w:r>
              <w:rPr>
                <w:rFonts w:cstheme="minorHAnsi"/>
                <w:sz w:val="20"/>
                <w:szCs w:val="20"/>
              </w:rPr>
              <w:t>ho</w:t>
            </w:r>
            <w:r w:rsidRPr="007D2709">
              <w:rPr>
                <w:rFonts w:cstheme="minorHAnsi"/>
                <w:sz w:val="20"/>
                <w:szCs w:val="20"/>
              </w:rPr>
              <w:t xml:space="preserve"> modelu, jejich upevnění, doplnění či obnovení tak, aby bylo možné tyto nabyté znalosti aplikovat v praxi a prostřednictvím osvětových přednášek, tyto příklady dobré praxe předávat dalším odborným institucím, zapojených do rodičovského konfliktu, v němž se nachází nezletilé dítě. </w:t>
            </w:r>
          </w:p>
          <w:p w:rsidR="00E02297" w:rsidRPr="004738B0" w:rsidRDefault="00E02297" w:rsidP="00B27DA5">
            <w:pPr>
              <w:keepNext/>
              <w:spacing w:before="60" w:after="60"/>
              <w:ind w:right="57"/>
              <w:jc w:val="left"/>
              <w:rPr>
                <w:rFonts w:cstheme="minorHAnsi"/>
                <w:sz w:val="20"/>
                <w:szCs w:val="20"/>
              </w:rPr>
            </w:pPr>
            <w:r w:rsidRPr="007D2709">
              <w:rPr>
                <w:rFonts w:cstheme="minorHAnsi"/>
                <w:sz w:val="20"/>
                <w:szCs w:val="20"/>
              </w:rPr>
              <w:t>Rovněž by mělo dojít k vzájemnému propojení spolupráce mezi jednotlivými institucemi, získání povědomí o jejich činnostech.</w:t>
            </w:r>
          </w:p>
        </w:tc>
      </w:tr>
      <w:tr w:rsidR="00E02297" w:rsidRPr="007D2709" w:rsidTr="00B27DA5">
        <w:trPr>
          <w:trHeight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97" w:rsidRPr="007D2709" w:rsidRDefault="00E02297" w:rsidP="00B27DA5">
            <w:pPr>
              <w:spacing w:before="60" w:after="60"/>
              <w:ind w:left="57" w:right="57"/>
              <w:jc w:val="left"/>
              <w:rPr>
                <w:rFonts w:cstheme="minorHAnsi"/>
                <w:b/>
                <w:color w:val="080808"/>
                <w:sz w:val="20"/>
                <w:szCs w:val="20"/>
              </w:rPr>
            </w:pPr>
            <w:r w:rsidRPr="00FD026F">
              <w:rPr>
                <w:rFonts w:cstheme="minorHAnsi"/>
                <w:b/>
                <w:sz w:val="20"/>
                <w:szCs w:val="20"/>
              </w:rPr>
              <w:t>Zdůvodnění potřebnosti realizace projektu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97" w:rsidRPr="007D2709" w:rsidRDefault="00E02297" w:rsidP="00B27DA5">
            <w:pPr>
              <w:rPr>
                <w:rFonts w:cstheme="minorHAnsi"/>
                <w:sz w:val="20"/>
                <w:szCs w:val="20"/>
              </w:rPr>
            </w:pPr>
            <w:r w:rsidRPr="007D2709">
              <w:rPr>
                <w:rFonts w:cstheme="minorHAnsi"/>
                <w:sz w:val="20"/>
                <w:szCs w:val="20"/>
              </w:rPr>
              <w:t xml:space="preserve">Orgány sociálně-právní ochrany dětí dlouhou dobu upozorňují na vysokou míru ohrožení dětí žijících v rodičovském sporu. V praxi nejsou výjimkou i několikaleté soudní spory rodičů. Děti jsou tak vystavovány nesmírnému tlaku okolí, opakovaným kontaktům s psychology, psychiatry, výjimkou není ani nařizování znaleckých posudků. Jednou z možností jak účinně omezit eskalaci rodičovského sporu je systémově ucelený postup všech zainteresovaných orgánů a institucí. </w:t>
            </w:r>
          </w:p>
          <w:p w:rsidR="00E02297" w:rsidRDefault="00E02297" w:rsidP="00B27DA5">
            <w:pPr>
              <w:rPr>
                <w:rFonts w:cstheme="minorHAnsi"/>
                <w:sz w:val="20"/>
                <w:szCs w:val="20"/>
              </w:rPr>
            </w:pPr>
            <w:r w:rsidRPr="007D2709">
              <w:rPr>
                <w:rFonts w:cstheme="minorHAnsi"/>
                <w:sz w:val="20"/>
                <w:szCs w:val="20"/>
              </w:rPr>
              <w:t xml:space="preserve">Jednou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7D2709">
              <w:rPr>
                <w:rFonts w:cstheme="minorHAnsi"/>
                <w:sz w:val="20"/>
                <w:szCs w:val="20"/>
              </w:rPr>
              <w:t xml:space="preserve"> možnosti řešení tohoto problému může být aplikace prvků</w:t>
            </w:r>
            <w:r>
              <w:rPr>
                <w:rFonts w:cstheme="minorHAnsi"/>
                <w:sz w:val="20"/>
                <w:szCs w:val="20"/>
              </w:rPr>
              <w:t xml:space="preserve"> a principů</w:t>
            </w:r>
            <w:r w:rsidRPr="007D2709">
              <w:rPr>
                <w:rFonts w:cstheme="minorHAnsi"/>
                <w:sz w:val="20"/>
                <w:szCs w:val="20"/>
              </w:rPr>
              <w:t xml:space="preserve"> Cochemského modelu, který je především v Německu dlouhodobě pozitivně a s úspěchem využíván. Základním principem modelu je interdisciplinární spolupráce všech zapojených subjektů za účelem nalezení </w:t>
            </w:r>
            <w:r w:rsidRPr="00FD026F">
              <w:rPr>
                <w:rFonts w:cstheme="minorHAnsi"/>
                <w:sz w:val="20"/>
                <w:szCs w:val="20"/>
              </w:rPr>
              <w:t>smírného řešení za využití odborné pomoci, tak, aby nedocházelo k dalšímu poškozování</w:t>
            </w:r>
            <w:r w:rsidRPr="007D2709">
              <w:rPr>
                <w:rFonts w:cstheme="minorHAnsi"/>
                <w:sz w:val="20"/>
                <w:szCs w:val="20"/>
              </w:rPr>
              <w:t xml:space="preserve"> zájmů dítěte. Cochemský model zplnomocňuje rodiče v jejich rodičovské roli a klade důraz na právo</w:t>
            </w:r>
            <w:r>
              <w:rPr>
                <w:rFonts w:cstheme="minorHAnsi"/>
                <w:sz w:val="20"/>
                <w:szCs w:val="20"/>
              </w:rPr>
              <w:t xml:space="preserve"> dítěte na jeho příznivý vývoj.</w:t>
            </w:r>
          </w:p>
          <w:p w:rsidR="00E02297" w:rsidRDefault="00E02297" w:rsidP="00B27DA5">
            <w:pPr>
              <w:pStyle w:val="MSKNormal"/>
              <w:rPr>
                <w:rFonts w:cstheme="minorHAnsi"/>
                <w:sz w:val="20"/>
                <w:szCs w:val="20"/>
              </w:rPr>
            </w:pPr>
            <w:r w:rsidRPr="00FA4BD1">
              <w:rPr>
                <w:rFonts w:asciiTheme="minorHAnsi" w:hAnsiTheme="minorHAnsi" w:cstheme="minorHAnsi"/>
                <w:sz w:val="20"/>
                <w:szCs w:val="20"/>
              </w:rPr>
              <w:t xml:space="preserve">Požadavek na realizaci projektu vzešel z reálné potřeby zainteresovaných stran, podílejících se na péči o ohrožené nezletilé děti. Členové těchto zainteresovaných stran ustanovili řídicí výbor, který se pravidelně, jedenkrát měsíčně setkává, a vytváří podmínky pro aplikaci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principů </w:t>
            </w:r>
            <w:r w:rsidRPr="00FA4BD1">
              <w:rPr>
                <w:rFonts w:asciiTheme="minorHAnsi" w:hAnsiTheme="minorHAnsi" w:cstheme="minorHAnsi"/>
                <w:sz w:val="20"/>
                <w:szCs w:val="20"/>
              </w:rPr>
              <w:t xml:space="preserve">Cochemského modelu v soudním regionu Nový Jičín. Klíčové aktivity projektu tak vychází z reálných potřeb zaangažovaných odborníků na danou problematiku </w:t>
            </w:r>
            <w:r w:rsidRPr="00FA4BD1">
              <w:rPr>
                <w:rFonts w:cstheme="minorHAnsi"/>
                <w:sz w:val="20"/>
                <w:szCs w:val="20"/>
              </w:rPr>
              <w:t>(soudci okresního soud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FA4BD1">
              <w:rPr>
                <w:rFonts w:cstheme="minorHAnsi"/>
                <w:sz w:val="20"/>
                <w:szCs w:val="20"/>
              </w:rPr>
              <w:t xml:space="preserve"> Nový Jičín, pracovníci KÚ MSK, zaměstnanec Ministerstva práce a sociálních věcí, zaměstnanci OSPOD - Městský úřad Bílovec, Městský úřad Frenštát pod Radhoštěm, Městský úřad Kopřivnice, Městský úřad Nový Jičín, Městský úřad Odry, M</w:t>
            </w:r>
            <w:r>
              <w:rPr>
                <w:rFonts w:cstheme="minorHAnsi"/>
                <w:sz w:val="20"/>
                <w:szCs w:val="20"/>
              </w:rPr>
              <w:t>agistrát města</w:t>
            </w:r>
            <w:r w:rsidRPr="00FA4BD1">
              <w:rPr>
                <w:rFonts w:cstheme="minorHAnsi"/>
                <w:sz w:val="20"/>
                <w:szCs w:val="20"/>
              </w:rPr>
              <w:t xml:space="preserve"> Ostrav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FA4BD1">
              <w:rPr>
                <w:rFonts w:cstheme="minorHAnsi"/>
                <w:sz w:val="20"/>
                <w:szCs w:val="20"/>
              </w:rPr>
              <w:t>, zaměstnanec Justiční akademie, zaměstnanci Centra psychologické pomoci, pracovník Vzdělávací agentury).</w:t>
            </w:r>
          </w:p>
          <w:p w:rsidR="00E02297" w:rsidRPr="00FD026F" w:rsidRDefault="00E02297" w:rsidP="00B27DA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Mkatabulky5"/>
        <w:tblW w:w="8636" w:type="dxa"/>
        <w:tblInd w:w="5" w:type="dxa"/>
        <w:tblLook w:val="01E0" w:firstRow="1" w:lastRow="1" w:firstColumn="1" w:lastColumn="1" w:noHBand="0" w:noVBand="0"/>
      </w:tblPr>
      <w:tblGrid>
        <w:gridCol w:w="2258"/>
        <w:gridCol w:w="6378"/>
      </w:tblGrid>
      <w:tr w:rsidR="00E02297" w:rsidRPr="007D2709" w:rsidTr="00B27DA5">
        <w:trPr>
          <w:trHeight w:val="267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97" w:rsidRPr="007D2709" w:rsidRDefault="00E02297" w:rsidP="00B27DA5">
            <w:pPr>
              <w:spacing w:before="60" w:after="60"/>
              <w:ind w:left="57" w:right="57"/>
              <w:jc w:val="left"/>
              <w:rPr>
                <w:rFonts w:eastAsia="Calibri" w:cstheme="minorHAnsi"/>
                <w:b/>
                <w:color w:val="080808"/>
                <w:sz w:val="20"/>
                <w:szCs w:val="20"/>
              </w:rPr>
            </w:pPr>
            <w:r w:rsidRPr="007D2709">
              <w:rPr>
                <w:rFonts w:eastAsia="Calibri" w:cstheme="minorHAnsi"/>
                <w:b/>
                <w:color w:val="080808"/>
                <w:sz w:val="20"/>
                <w:szCs w:val="20"/>
              </w:rPr>
              <w:t>Popis klíčových aktivit projektu včetně jejich celkových nákladů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97" w:rsidRPr="007D2709" w:rsidRDefault="00E02297" w:rsidP="00B27DA5">
            <w:pPr>
              <w:pStyle w:val="MSK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7D2709">
              <w:rPr>
                <w:rFonts w:asciiTheme="minorHAnsi" w:hAnsiTheme="minorHAnsi" w:cstheme="minorHAnsi"/>
                <w:sz w:val="20"/>
                <w:szCs w:val="20"/>
              </w:rPr>
              <w:t xml:space="preserve">Projekt je koncipován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šesti</w:t>
            </w:r>
            <w:r w:rsidRPr="007D2709">
              <w:rPr>
                <w:rFonts w:asciiTheme="minorHAnsi" w:hAnsiTheme="minorHAnsi" w:cstheme="minorHAnsi"/>
                <w:sz w:val="20"/>
                <w:szCs w:val="20"/>
              </w:rPr>
              <w:t xml:space="preserve"> klíčových aktivit:</w:t>
            </w:r>
          </w:p>
          <w:p w:rsidR="00E02297" w:rsidRPr="007D2709" w:rsidRDefault="00E02297" w:rsidP="00B27DA5">
            <w:pPr>
              <w:pStyle w:val="MSKNormal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2297" w:rsidRDefault="00E02297" w:rsidP="00B27DA5">
            <w:pPr>
              <w:pStyle w:val="MSK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7D2709">
              <w:rPr>
                <w:rFonts w:asciiTheme="minorHAnsi" w:hAnsiTheme="minorHAnsi" w:cstheme="minorHAnsi"/>
                <w:b/>
                <w:sz w:val="20"/>
                <w:szCs w:val="20"/>
              </w:rPr>
              <w:t>KA1 Podpora a rozvoj interdisciplinární spolupráce mezi aktéry péče o ohrožené děti v regionu NJ</w:t>
            </w:r>
            <w:r w:rsidRPr="007D2709">
              <w:rPr>
                <w:rFonts w:asciiTheme="minorHAnsi" w:hAnsiTheme="minorHAnsi" w:cstheme="minorHAnsi"/>
                <w:sz w:val="20"/>
                <w:szCs w:val="20"/>
              </w:rPr>
              <w:t xml:space="preserve"> je zaměřena na získání nových informací, poznatků a praktických zkušeností s uplatňováním principů Cochemského modelu v praxi, vzájemnou výměnu zkušeností mezi jednotlivými zapojenými profesemi Cochemského modelu: sou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dci, zaměstnanci KÚ MSK</w:t>
            </w:r>
            <w:r w:rsidRPr="007D2709">
              <w:rPr>
                <w:rFonts w:asciiTheme="minorHAnsi" w:hAnsiTheme="minorHAnsi" w:cstheme="minorHAnsi"/>
                <w:sz w:val="20"/>
                <w:szCs w:val="20"/>
              </w:rPr>
              <w:t>, vedoucí oddělení sociálně-právní ochrany dětí, zástupci rodinn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ých poraden, zástupci mediátorů (21 členů řídícího výboru)</w:t>
            </w:r>
            <w:r w:rsidRPr="007D2709">
              <w:rPr>
                <w:rFonts w:asciiTheme="minorHAnsi" w:hAnsiTheme="minorHAnsi" w:cstheme="minorHAnsi"/>
                <w:sz w:val="20"/>
                <w:szCs w:val="20"/>
              </w:rPr>
              <w:t>, nalezení shody v možnostech další spolupráce v zájmu dítěte a to prostřednictvím pravidelného společného setkávání a systémového vzdělávání.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02297" w:rsidRDefault="00E02297" w:rsidP="00B27DA5">
            <w:pPr>
              <w:pStyle w:val="MSKNormal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2297" w:rsidRDefault="00E02297" w:rsidP="00B27DA5">
            <w:pPr>
              <w:pStyle w:val="MSK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17D14">
              <w:rPr>
                <w:rFonts w:asciiTheme="minorHAnsi" w:hAnsiTheme="minorHAnsi" w:cstheme="minorHAnsi"/>
                <w:sz w:val="20"/>
                <w:szCs w:val="20"/>
              </w:rPr>
              <w:t xml:space="preserve">Řídící výbor byl ustanoven z iniciativy cílových skupin. Klíčové aktivity projektu vychází z reálné potřeby zainteresovaných stran identifikované právě na setkání řídícího výboru. </w:t>
            </w:r>
          </w:p>
          <w:p w:rsidR="00E02297" w:rsidRDefault="00E02297" w:rsidP="00B27DA5">
            <w:pPr>
              <w:pStyle w:val="MSKNormal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2297" w:rsidRPr="00BC175A" w:rsidRDefault="00E02297" w:rsidP="00B27DA5">
            <w:pPr>
              <w:pStyle w:val="MSK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BC175A">
              <w:rPr>
                <w:rFonts w:asciiTheme="minorHAnsi" w:hAnsiTheme="minorHAnsi" w:cstheme="minorHAnsi"/>
                <w:sz w:val="20"/>
                <w:szCs w:val="20"/>
              </w:rPr>
              <w:t>Účast všech členů řídicího výboru bude realizována nad rámec jejich běžných pracovních povinností, které jim neumožní věnovat čas dalším úkonům spojených s realizací interdisciplinární spolupráce. Vytvořením pozice odborného pracovníka, jehož hlavní činností bude řídit činnost celé řídicí skupiny, domlouvat a vést společná setkání, řešit průběžně vzniklé problémy, komunikovat se zapojenými subjekty, dojde k zefektivnění činnosti celého řídicího výboru a podpoře vzájemných vztahů a vytváření podmínek pro bezkonfliktní pracovní prostředí.</w:t>
            </w:r>
          </w:p>
          <w:p w:rsidR="00E02297" w:rsidRDefault="00E02297" w:rsidP="00B27DA5">
            <w:pPr>
              <w:pStyle w:val="MSKNormal"/>
              <w:rPr>
                <w:rFonts w:cstheme="minorHAnsi"/>
                <w:sz w:val="20"/>
                <w:szCs w:val="20"/>
              </w:rPr>
            </w:pPr>
            <w:r w:rsidRPr="00BC175A">
              <w:rPr>
                <w:rFonts w:cstheme="minorHAnsi"/>
                <w:sz w:val="20"/>
                <w:szCs w:val="20"/>
              </w:rPr>
              <w:t>Odborný pracovník bude zapojen ve čtyřech klíčových aktivitách. Jeho úloha je také koordinovat přenos informací a dobré praxe do ostatních soudních regionů v Moravskoslezském kraji.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02297" w:rsidRPr="007D2709" w:rsidRDefault="00E02297" w:rsidP="00B27DA5">
            <w:pPr>
              <w:pStyle w:val="MSKNormal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2297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D2709">
              <w:rPr>
                <w:rFonts w:cstheme="minorHAnsi"/>
                <w:sz w:val="20"/>
                <w:szCs w:val="20"/>
              </w:rPr>
              <w:t>Průběžné vzdělávání všech členů interdisciplinárního tý</w:t>
            </w:r>
            <w:r>
              <w:rPr>
                <w:rFonts w:cstheme="minorHAnsi"/>
                <w:sz w:val="20"/>
                <w:szCs w:val="20"/>
              </w:rPr>
              <w:t>mu (celkem 21 členů řídicího výbor</w:t>
            </w:r>
            <w:r w:rsidRPr="007D2709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D2709">
              <w:rPr>
                <w:rFonts w:cstheme="minorHAnsi"/>
                <w:sz w:val="20"/>
                <w:szCs w:val="20"/>
              </w:rPr>
              <w:t>bude realizováno po dobu 2 let. Vzdělávání bude probíhat ve dvou blocích (tematických oblastech) v celkovém rozsahu 64 hodin dohromady (v jednotlivých blocích 16 a 48 hodin)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  <w:u w:val="single"/>
              </w:rPr>
            </w:pPr>
            <w:r w:rsidRPr="007D2709">
              <w:rPr>
                <w:rFonts w:cstheme="minorHAnsi"/>
                <w:sz w:val="20"/>
                <w:szCs w:val="20"/>
                <w:u w:val="single"/>
              </w:rPr>
              <w:t>Témata vzdělávání:</w:t>
            </w:r>
          </w:p>
          <w:p w:rsidR="00E02297" w:rsidRPr="00335A59" w:rsidRDefault="00E02297" w:rsidP="00B27DA5">
            <w:pPr>
              <w:spacing w:before="240" w:after="160" w:line="259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1.  </w:t>
            </w:r>
            <w:r w:rsidRPr="00335A59">
              <w:rPr>
                <w:rFonts w:cstheme="minorHAnsi"/>
                <w:b/>
                <w:sz w:val="20"/>
                <w:szCs w:val="20"/>
                <w:u w:val="single"/>
              </w:rPr>
              <w:t>Legislativní rámec multidisciplinární spolupráce (celkem rozsah 16 hodin</w:t>
            </w:r>
            <w:r w:rsidRPr="00335A59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E02297" w:rsidRPr="00335A59" w:rsidRDefault="00E02297" w:rsidP="00B27DA5">
            <w:pPr>
              <w:spacing w:before="240"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1.1. </w:t>
            </w:r>
            <w:r w:rsidRPr="00335A59">
              <w:rPr>
                <w:rFonts w:cstheme="minorHAnsi"/>
                <w:sz w:val="20"/>
                <w:szCs w:val="20"/>
              </w:rPr>
              <w:t xml:space="preserve">OSPOD + Sociální služby, plánování a financování včetně komunitního plánování (rozsah </w:t>
            </w:r>
            <w:r w:rsidRPr="00335A59">
              <w:rPr>
                <w:rFonts w:cstheme="minorHAnsi"/>
                <w:i/>
                <w:sz w:val="20"/>
                <w:szCs w:val="20"/>
              </w:rPr>
              <w:t>8  hodin/1 den)</w:t>
            </w:r>
          </w:p>
          <w:p w:rsidR="00E02297" w:rsidRPr="00335A59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1.2. </w:t>
            </w:r>
            <w:r w:rsidRPr="00335A59">
              <w:rPr>
                <w:rFonts w:cstheme="minorHAnsi"/>
                <w:sz w:val="20"/>
                <w:szCs w:val="20"/>
              </w:rPr>
              <w:t>Soudní řízení v opatrovnické agendě</w:t>
            </w:r>
            <w:r>
              <w:rPr>
                <w:rFonts w:cstheme="minorHAnsi"/>
                <w:i/>
                <w:sz w:val="20"/>
                <w:szCs w:val="20"/>
              </w:rPr>
              <w:t>  </w:t>
            </w:r>
            <w:r w:rsidRPr="00335A59">
              <w:rPr>
                <w:rFonts w:cstheme="minorHAnsi"/>
                <w:i/>
                <w:sz w:val="20"/>
                <w:szCs w:val="20"/>
              </w:rPr>
              <w:t>(rozsah 8 hodin/1 den)</w:t>
            </w:r>
          </w:p>
          <w:p w:rsidR="00E02297" w:rsidRDefault="00E02297" w:rsidP="00B27DA5">
            <w:pPr>
              <w:spacing w:before="60" w:after="60"/>
              <w:ind w:right="57"/>
              <w:jc w:val="left"/>
              <w:rPr>
                <w:rFonts w:eastAsia="Calibri" w:cstheme="minorHAnsi"/>
                <w:i/>
                <w:color w:val="FF0000"/>
                <w:sz w:val="20"/>
                <w:szCs w:val="20"/>
              </w:rPr>
            </w:pPr>
          </w:p>
          <w:p w:rsidR="00E02297" w:rsidRPr="00335A59" w:rsidRDefault="00E02297" w:rsidP="00B27DA5">
            <w:pPr>
              <w:spacing w:before="60" w:after="60"/>
              <w:ind w:right="57"/>
              <w:jc w:val="left"/>
              <w:rPr>
                <w:rFonts w:eastAsia="Calibri" w:cstheme="minorHAnsi"/>
                <w:i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2. </w:t>
            </w:r>
            <w:r w:rsidRPr="00335A59">
              <w:rPr>
                <w:rFonts w:cstheme="minorHAnsi"/>
                <w:b/>
                <w:sz w:val="20"/>
                <w:szCs w:val="20"/>
                <w:u w:val="single"/>
              </w:rPr>
              <w:t xml:space="preserve">Vzdělávání zaměřené na aplikaci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principů </w:t>
            </w:r>
            <w:r w:rsidRPr="00335A59">
              <w:rPr>
                <w:rFonts w:cstheme="minorHAnsi"/>
                <w:b/>
                <w:sz w:val="20"/>
                <w:szCs w:val="20"/>
                <w:u w:val="single"/>
              </w:rPr>
              <w:t>Cochemského modelu v praxi (celkem rozsah 48 hodin)</w:t>
            </w:r>
          </w:p>
          <w:p w:rsidR="00E02297" w:rsidRPr="00C00E4C" w:rsidRDefault="00E02297" w:rsidP="00B27DA5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C00E4C">
              <w:rPr>
                <w:rFonts w:cstheme="minorHAnsi"/>
                <w:b/>
                <w:i/>
                <w:sz w:val="20"/>
                <w:szCs w:val="20"/>
              </w:rPr>
              <w:t>2.1. Třídenní setkání v Kroměříž</w:t>
            </w:r>
            <w:r>
              <w:rPr>
                <w:rFonts w:cstheme="minorHAnsi"/>
                <w:b/>
                <w:i/>
                <w:sz w:val="20"/>
                <w:szCs w:val="20"/>
              </w:rPr>
              <w:t>i</w:t>
            </w:r>
            <w:r w:rsidRPr="00C00E4C">
              <w:rPr>
                <w:rFonts w:cstheme="minorHAnsi"/>
                <w:b/>
                <w:i/>
                <w:sz w:val="20"/>
                <w:szCs w:val="20"/>
              </w:rPr>
              <w:t xml:space="preserve"> (rozsah 24 hodin)</w:t>
            </w:r>
          </w:p>
          <w:p w:rsidR="00E02297" w:rsidRDefault="00E02297" w:rsidP="00B27DA5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2.1.1.  </w:t>
            </w:r>
            <w:r w:rsidRPr="00335A59">
              <w:rPr>
                <w:rFonts w:cstheme="minorHAnsi"/>
                <w:sz w:val="20"/>
                <w:szCs w:val="20"/>
              </w:rPr>
              <w:t xml:space="preserve">Týmová spolupráce </w:t>
            </w:r>
            <w:r w:rsidRPr="00335A59">
              <w:rPr>
                <w:rFonts w:cstheme="minorHAnsi"/>
                <w:i/>
                <w:sz w:val="20"/>
                <w:szCs w:val="20"/>
              </w:rPr>
              <w:t>(rozsah 8 hodin/ 1 den)</w:t>
            </w:r>
          </w:p>
          <w:p w:rsidR="00E02297" w:rsidRPr="00335A59" w:rsidRDefault="00E02297" w:rsidP="00B27DA5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335A59">
              <w:rPr>
                <w:rFonts w:cstheme="minorHAnsi"/>
                <w:sz w:val="20"/>
                <w:szCs w:val="20"/>
              </w:rPr>
              <w:t xml:space="preserve">respekt vůči ostatním profesím -  jak přijímat rozdílné názory ostatních odborníků, jak komunikovat s ostatními členy týmu, jak zvládat negativní emoce, jak s nimi pracovat </w:t>
            </w:r>
            <w:r w:rsidRPr="00335A59">
              <w:rPr>
                <w:rFonts w:cstheme="minorHAnsi"/>
                <w:i/>
                <w:sz w:val="20"/>
                <w:szCs w:val="20"/>
              </w:rPr>
              <w:t>(rozsah 8 hodin/ 1 den)</w:t>
            </w:r>
          </w:p>
          <w:p w:rsidR="00E02297" w:rsidRDefault="00E02297" w:rsidP="00B27DA5">
            <w:pPr>
              <w:spacing w:after="160" w:line="259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2.1.2.  </w:t>
            </w:r>
            <w:r w:rsidRPr="00335A59">
              <w:rPr>
                <w:rFonts w:cstheme="minorHAnsi"/>
                <w:sz w:val="20"/>
                <w:szCs w:val="20"/>
              </w:rPr>
              <w:t xml:space="preserve">Dítě a rodiče v rozvodovém sporu, typy uspořádání forem porozvodové péče </w:t>
            </w:r>
            <w:r w:rsidRPr="00335A59">
              <w:rPr>
                <w:rFonts w:cstheme="minorHAnsi"/>
                <w:i/>
                <w:sz w:val="20"/>
                <w:szCs w:val="20"/>
              </w:rPr>
              <w:t>(rozsah 8 hodin)</w:t>
            </w:r>
          </w:p>
          <w:p w:rsidR="00E02297" w:rsidRPr="00335A59" w:rsidRDefault="00E02297" w:rsidP="00B27DA5">
            <w:pPr>
              <w:spacing w:after="0" w:line="259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:rsidR="00E02297" w:rsidRPr="00335A59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2.1.3.  </w:t>
            </w:r>
            <w:r w:rsidRPr="00335A59">
              <w:rPr>
                <w:rFonts w:cstheme="minorHAnsi"/>
                <w:sz w:val="20"/>
                <w:szCs w:val="20"/>
              </w:rPr>
              <w:t xml:space="preserve">Základy krizové intervence </w:t>
            </w:r>
            <w:r w:rsidRPr="00335A59">
              <w:rPr>
                <w:rFonts w:cstheme="minorHAnsi"/>
                <w:i/>
                <w:sz w:val="20"/>
                <w:szCs w:val="20"/>
              </w:rPr>
              <w:t>(rozsah 8 hodin / 1 den)</w:t>
            </w:r>
            <w:r w:rsidRPr="00335A5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02297" w:rsidRPr="00335A59" w:rsidRDefault="00E02297" w:rsidP="00B27DA5">
            <w:pPr>
              <w:spacing w:after="160" w:line="259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335A59">
              <w:rPr>
                <w:rFonts w:cstheme="minorHAnsi"/>
                <w:sz w:val="20"/>
                <w:szCs w:val="20"/>
              </w:rPr>
              <w:t>jak pracovat s emocemi klienta v náročné životní situaci – rozpadu vztahu, manželství</w:t>
            </w:r>
            <w:r w:rsidRPr="00335A5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E02297" w:rsidRPr="00C00E4C" w:rsidRDefault="00E02297" w:rsidP="00B27DA5">
            <w:pPr>
              <w:spacing w:after="160" w:line="259" w:lineRule="auto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C00E4C">
              <w:rPr>
                <w:rFonts w:cstheme="minorHAnsi"/>
                <w:b/>
                <w:i/>
                <w:sz w:val="20"/>
                <w:szCs w:val="20"/>
              </w:rPr>
              <w:t>2.2. Jednodenní semináře (rozsah 24 hodin)</w:t>
            </w:r>
          </w:p>
          <w:p w:rsidR="00E02297" w:rsidRPr="00335A59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2.2.1. </w:t>
            </w:r>
            <w:r w:rsidRPr="00335A59">
              <w:rPr>
                <w:rFonts w:cstheme="minorHAnsi"/>
                <w:sz w:val="20"/>
                <w:szCs w:val="20"/>
              </w:rPr>
              <w:t xml:space="preserve">Mediační a facilitační techniky v jednání s rodiči </w:t>
            </w:r>
            <w:r w:rsidRPr="00335A59">
              <w:rPr>
                <w:rFonts w:cstheme="minorHAnsi"/>
                <w:i/>
                <w:sz w:val="20"/>
                <w:szCs w:val="20"/>
              </w:rPr>
              <w:t>(rozsah 8 hodin/ 1 den)</w:t>
            </w:r>
          </w:p>
          <w:p w:rsidR="00E02297" w:rsidRPr="00335A59" w:rsidRDefault="00E02297" w:rsidP="00B27DA5">
            <w:pPr>
              <w:spacing w:after="160" w:line="259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2.2.2. </w:t>
            </w:r>
            <w:r w:rsidRPr="00335A59">
              <w:rPr>
                <w:rFonts w:cstheme="minorHAnsi"/>
                <w:sz w:val="20"/>
                <w:szCs w:val="20"/>
              </w:rPr>
              <w:t>Komunikační dovednosti v návaznosti na jednání s rodiči ve sporu (</w:t>
            </w:r>
            <w:r w:rsidRPr="00335A59">
              <w:rPr>
                <w:rFonts w:cstheme="minorHAnsi"/>
                <w:i/>
                <w:sz w:val="20"/>
                <w:szCs w:val="20"/>
              </w:rPr>
              <w:t>rozsah 8 hodin/ 1den + 8 hodin/ 1 den)</w:t>
            </w:r>
          </w:p>
          <w:p w:rsidR="00E02297" w:rsidRPr="00335A59" w:rsidRDefault="00E02297" w:rsidP="00B27DA5">
            <w:pPr>
              <w:spacing w:after="160" w:line="259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335A59">
              <w:rPr>
                <w:rFonts w:cstheme="minorHAnsi"/>
                <w:sz w:val="20"/>
                <w:szCs w:val="20"/>
              </w:rPr>
              <w:t>komunikace s problémovým klientem, základy komunikační sebeobrany, efektivní komunikace při zvládání krizových situací a konfliktů, zvládání náročných komunikačních si</w:t>
            </w:r>
            <w:r>
              <w:rPr>
                <w:rFonts w:cstheme="minorHAnsi"/>
                <w:sz w:val="20"/>
                <w:szCs w:val="20"/>
              </w:rPr>
              <w:t xml:space="preserve">tuací – manipulativní techniky, </w:t>
            </w:r>
            <w:r w:rsidRPr="00335A59">
              <w:rPr>
                <w:rFonts w:cstheme="minorHAnsi"/>
                <w:sz w:val="20"/>
                <w:szCs w:val="20"/>
              </w:rPr>
              <w:t xml:space="preserve">asertivita, aktivní naslouchání, parafrázování, reflexe, použití modelových situací v praxi + příklady </w:t>
            </w:r>
          </w:p>
          <w:p w:rsidR="00E02297" w:rsidRPr="00861B2A" w:rsidRDefault="00E02297" w:rsidP="00B27DA5">
            <w:pPr>
              <w:pStyle w:val="Tabulkatext"/>
              <w:keepNext/>
              <w:ind w:left="0"/>
              <w:jc w:val="both"/>
              <w:rPr>
                <w:rFonts w:cstheme="minorHAnsi"/>
                <w:b/>
                <w:color w:val="FF0000"/>
                <w:szCs w:val="20"/>
              </w:rPr>
            </w:pPr>
          </w:p>
          <w:p w:rsidR="00E02297" w:rsidRPr="007D2709" w:rsidRDefault="00E02297" w:rsidP="00B27DA5">
            <w:pPr>
              <w:rPr>
                <w:rFonts w:cstheme="minorHAnsi"/>
                <w:sz w:val="20"/>
                <w:szCs w:val="20"/>
              </w:rPr>
            </w:pPr>
            <w:r w:rsidRPr="007D2709">
              <w:rPr>
                <w:rFonts w:cstheme="minorHAnsi"/>
                <w:b/>
                <w:sz w:val="20"/>
                <w:szCs w:val="20"/>
              </w:rPr>
              <w:t>KA2</w:t>
            </w:r>
            <w:r w:rsidRPr="007D2709">
              <w:rPr>
                <w:rFonts w:cstheme="minorHAnsi"/>
                <w:sz w:val="20"/>
                <w:szCs w:val="20"/>
              </w:rPr>
              <w:t xml:space="preserve"> </w:t>
            </w:r>
            <w:r w:rsidRPr="007D2709">
              <w:rPr>
                <w:rFonts w:cstheme="minorHAnsi"/>
                <w:b/>
                <w:sz w:val="20"/>
                <w:szCs w:val="20"/>
              </w:rPr>
              <w:t>Vzdělávání vše</w:t>
            </w:r>
            <w:r>
              <w:rPr>
                <w:rFonts w:cstheme="minorHAnsi"/>
                <w:b/>
                <w:sz w:val="20"/>
                <w:szCs w:val="20"/>
              </w:rPr>
              <w:t>ch aktérů i</w:t>
            </w:r>
            <w:r w:rsidRPr="007D2709">
              <w:rPr>
                <w:rFonts w:cstheme="minorHAnsi"/>
                <w:b/>
                <w:sz w:val="20"/>
                <w:szCs w:val="20"/>
              </w:rPr>
              <w:t>nterdisciplinární spolupráce</w:t>
            </w:r>
            <w:r w:rsidRPr="007D2709">
              <w:rPr>
                <w:rFonts w:cstheme="minorHAnsi"/>
                <w:b/>
                <w:color w:val="7F7F7F" w:themeColor="accent5"/>
                <w:sz w:val="20"/>
                <w:szCs w:val="20"/>
                <w:u w:val="single"/>
              </w:rPr>
              <w:t xml:space="preserve"> </w:t>
            </w:r>
            <w:r w:rsidRPr="007D2709">
              <w:rPr>
                <w:rFonts w:cstheme="minorHAnsi"/>
                <w:sz w:val="20"/>
                <w:szCs w:val="20"/>
              </w:rPr>
              <w:t>je určena všem pracovníkům orgánu sociálně-právní ochrany dětí zapojených do systému péče o ohrožené děti v soudním regionu Nový Jičín. Cílem vzdělávacích aktivit je získání nových informací a praktických zkušeností s uplatňováním principů Cochemského modelu v praxi, vzájemná výměna zkušeností mezi jednotlivými pracovními profesemi, nalezení shody v možnostech další spolupráce v zájmu dítěte.</w:t>
            </w:r>
          </w:p>
          <w:p w:rsidR="00E02297" w:rsidRPr="007D2709" w:rsidRDefault="00E02297" w:rsidP="00B27DA5">
            <w:pPr>
              <w:rPr>
                <w:rFonts w:cstheme="minorHAnsi"/>
                <w:sz w:val="20"/>
                <w:szCs w:val="20"/>
              </w:rPr>
            </w:pPr>
            <w:r w:rsidRPr="007D2709">
              <w:rPr>
                <w:rFonts w:cstheme="minorHAnsi"/>
                <w:sz w:val="20"/>
                <w:szCs w:val="20"/>
              </w:rPr>
              <w:t>Vzdělávání bude probíh</w:t>
            </w:r>
            <w:r>
              <w:rPr>
                <w:rFonts w:cstheme="minorHAnsi"/>
                <w:sz w:val="20"/>
                <w:szCs w:val="20"/>
              </w:rPr>
              <w:t xml:space="preserve">at ve dvou blocích (tematických </w:t>
            </w:r>
            <w:r w:rsidRPr="007D2709">
              <w:rPr>
                <w:rFonts w:cstheme="minorHAnsi"/>
                <w:sz w:val="20"/>
                <w:szCs w:val="20"/>
              </w:rPr>
              <w:t xml:space="preserve">oblastech) v celkovém rozsahu </w:t>
            </w:r>
            <w:r w:rsidRPr="007D2709">
              <w:rPr>
                <w:rFonts w:cstheme="minorHAnsi"/>
                <w:b/>
                <w:sz w:val="20"/>
                <w:szCs w:val="20"/>
              </w:rPr>
              <w:t>56 hodin</w:t>
            </w:r>
            <w:r w:rsidRPr="007D2709">
              <w:rPr>
                <w:rFonts w:cstheme="minorHAnsi"/>
                <w:sz w:val="20"/>
                <w:szCs w:val="20"/>
              </w:rPr>
              <w:t>. Vzdělávání proběhne v jednom běhu, kdy se jej bude účastnit celkem 25 pracovníků orgánu sociálně-právní ochrany dětí působících v soudním regionu Nový Jičín</w:t>
            </w:r>
            <w:r>
              <w:rPr>
                <w:rFonts w:cstheme="minorHAnsi"/>
                <w:sz w:val="20"/>
                <w:szCs w:val="20"/>
              </w:rPr>
              <w:t xml:space="preserve"> - zahrnuje města: Bílovec, Frenštát pod Radhoštěm, Kopřivnice, Nový Jičín, Odry a část Ostravy</w:t>
            </w:r>
            <w:r w:rsidRPr="007D2709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  <w:u w:val="single"/>
              </w:rPr>
            </w:pPr>
            <w:r w:rsidRPr="007D2709">
              <w:rPr>
                <w:rFonts w:cstheme="minorHAnsi"/>
                <w:sz w:val="20"/>
                <w:szCs w:val="20"/>
                <w:u w:val="single"/>
              </w:rPr>
              <w:t>Témata vzdělávání:</w:t>
            </w:r>
          </w:p>
          <w:p w:rsidR="00E02297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1. </w:t>
            </w:r>
            <w:r w:rsidRPr="007D2709">
              <w:rPr>
                <w:rFonts w:cstheme="minorHAnsi"/>
                <w:b/>
                <w:sz w:val="20"/>
                <w:szCs w:val="20"/>
                <w:u w:val="single"/>
              </w:rPr>
              <w:t>Legislativní rámec interdisciplinární spolupráce</w:t>
            </w:r>
            <w:r w:rsidRPr="007D2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D2709">
              <w:rPr>
                <w:rFonts w:cstheme="minorHAnsi"/>
                <w:i/>
                <w:sz w:val="20"/>
                <w:szCs w:val="20"/>
              </w:rPr>
              <w:t>(celkem rozsah 24 hodin/ 3 dny)</w:t>
            </w:r>
            <w:r w:rsidRPr="007D270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E02297" w:rsidRPr="00912B93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12B93">
              <w:rPr>
                <w:rFonts w:cstheme="minorHAnsi"/>
                <w:sz w:val="20"/>
                <w:szCs w:val="20"/>
              </w:rPr>
              <w:t xml:space="preserve">1.1. Obecné principy Cochemského modelu a jeho možnosti aplikace v podmínkách ČR - </w:t>
            </w:r>
            <w:r w:rsidRPr="00912B93">
              <w:rPr>
                <w:rFonts w:cstheme="minorHAnsi"/>
                <w:i/>
                <w:sz w:val="20"/>
                <w:szCs w:val="20"/>
              </w:rPr>
              <w:t xml:space="preserve"> (rozsah 8 hodin/ 1den)</w:t>
            </w:r>
          </w:p>
          <w:p w:rsidR="00E02297" w:rsidRDefault="00E02297" w:rsidP="00B27DA5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1.2. </w:t>
            </w:r>
            <w:r w:rsidRPr="007D2709">
              <w:rPr>
                <w:rFonts w:cstheme="minorHAnsi"/>
                <w:sz w:val="20"/>
                <w:szCs w:val="20"/>
              </w:rPr>
              <w:t>Sociální služby, plánování a financování včetně komunitního plánování v přímé návaznosti na činnost SPOD –</w:t>
            </w:r>
            <w:r w:rsidRPr="007D2709">
              <w:rPr>
                <w:rFonts w:cstheme="minorHAnsi"/>
                <w:i/>
                <w:sz w:val="20"/>
                <w:szCs w:val="20"/>
              </w:rPr>
              <w:t xml:space="preserve"> (rozsah 8 hodin/ 1den)</w:t>
            </w:r>
          </w:p>
          <w:p w:rsidR="00E02297" w:rsidRPr="00CA0020" w:rsidRDefault="00E02297" w:rsidP="00B27DA5">
            <w:pPr>
              <w:spacing w:before="60" w:after="0" w:line="259" w:lineRule="auto"/>
              <w:ind w:right="57"/>
              <w:jc w:val="left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1.3. </w:t>
            </w:r>
            <w:r w:rsidRPr="007D2709">
              <w:rPr>
                <w:rFonts w:cstheme="minorHAnsi"/>
                <w:sz w:val="20"/>
                <w:szCs w:val="20"/>
              </w:rPr>
              <w:t xml:space="preserve">Soudní řízení v opatrovnické agendě – </w:t>
            </w:r>
            <w:r w:rsidRPr="007D2709">
              <w:rPr>
                <w:rFonts w:cstheme="minorHAnsi"/>
                <w:i/>
                <w:sz w:val="20"/>
                <w:szCs w:val="20"/>
              </w:rPr>
              <w:t>(rozsah 8 hodin/ 1den)</w:t>
            </w:r>
          </w:p>
          <w:p w:rsidR="00E02297" w:rsidRPr="007D2709" w:rsidRDefault="00E02297" w:rsidP="00B27DA5">
            <w:pPr>
              <w:pStyle w:val="Odstavecseseznamem"/>
              <w:spacing w:after="160" w:line="259" w:lineRule="auto"/>
              <w:ind w:left="1080"/>
              <w:rPr>
                <w:rFonts w:cstheme="minorHAnsi"/>
                <w:sz w:val="20"/>
                <w:szCs w:val="20"/>
              </w:rPr>
            </w:pP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2. </w:t>
            </w:r>
            <w:r w:rsidRPr="007D2709">
              <w:rPr>
                <w:rFonts w:cstheme="minorHAnsi"/>
                <w:b/>
                <w:sz w:val="20"/>
                <w:szCs w:val="20"/>
                <w:u w:val="single"/>
              </w:rPr>
              <w:t>Dítě a rodiče v rozvodovém sporu, typy uspořádání forem porozvodové péče</w:t>
            </w:r>
            <w:r w:rsidRPr="007D2709">
              <w:rPr>
                <w:rFonts w:cstheme="minorHAnsi"/>
                <w:i/>
                <w:sz w:val="20"/>
                <w:szCs w:val="20"/>
              </w:rPr>
              <w:t xml:space="preserve"> (rozsah 1x dvoudenní setkání - dohromady 16 hodin) </w:t>
            </w:r>
          </w:p>
          <w:p w:rsidR="00E02297" w:rsidRPr="007D2709" w:rsidRDefault="00E02297" w:rsidP="00B27DA5">
            <w:pPr>
              <w:pStyle w:val="Odstavecseseznamem"/>
              <w:ind w:left="502"/>
              <w:rPr>
                <w:rFonts w:cstheme="minorHAnsi"/>
                <w:sz w:val="20"/>
                <w:szCs w:val="20"/>
              </w:rPr>
            </w:pP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3. </w:t>
            </w:r>
            <w:r w:rsidRPr="007D2709">
              <w:rPr>
                <w:rFonts w:cstheme="minorHAnsi"/>
                <w:b/>
                <w:sz w:val="20"/>
                <w:szCs w:val="20"/>
                <w:u w:val="single"/>
              </w:rPr>
              <w:t>Vzdělávání zaměřené na komunikační dovednosti při řešení rodičovského sporu</w:t>
            </w:r>
            <w:r w:rsidRPr="007D2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D2709">
              <w:rPr>
                <w:rFonts w:cstheme="minorHAnsi"/>
                <w:i/>
                <w:sz w:val="20"/>
                <w:szCs w:val="20"/>
              </w:rPr>
              <w:t>(1x dvoudenní setkání - dohromady 16 hodin)</w:t>
            </w: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3.1. </w:t>
            </w:r>
            <w:r w:rsidRPr="007D2709">
              <w:rPr>
                <w:rFonts w:cstheme="minorHAnsi"/>
                <w:sz w:val="20"/>
                <w:szCs w:val="20"/>
              </w:rPr>
              <w:t>Komunikační dovednosti</w:t>
            </w: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7D2709">
              <w:rPr>
                <w:rFonts w:cstheme="minorHAnsi"/>
                <w:sz w:val="20"/>
                <w:szCs w:val="20"/>
              </w:rPr>
              <w:t>komunikace s problémovým klientem, základy komunikační sebeobrany, efektivní komunikace při zvládání krizových situací a konfliktů, zvládání náročných komunikačních situací – ma</w:t>
            </w:r>
            <w:r>
              <w:rPr>
                <w:rFonts w:cstheme="minorHAnsi"/>
                <w:sz w:val="20"/>
                <w:szCs w:val="20"/>
              </w:rPr>
              <w:t>nipulativní techniky</w:t>
            </w:r>
            <w:r w:rsidRPr="007D2709">
              <w:rPr>
                <w:rFonts w:cstheme="minorHAnsi"/>
                <w:sz w:val="20"/>
                <w:szCs w:val="20"/>
              </w:rPr>
              <w:t xml:space="preserve">, asertivita, aktivní naslouchání, parafrázování, reflexe použití modelových situací v praxi + příklady </w:t>
            </w: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3.2. </w:t>
            </w:r>
            <w:r w:rsidRPr="007D2709">
              <w:rPr>
                <w:rFonts w:cstheme="minorHAnsi"/>
                <w:sz w:val="20"/>
                <w:szCs w:val="20"/>
              </w:rPr>
              <w:t>Mediační a facilitační techniky v jednání s rodiči</w:t>
            </w: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3.3. </w:t>
            </w:r>
            <w:r w:rsidRPr="007D2709">
              <w:rPr>
                <w:rFonts w:cstheme="minorHAnsi"/>
                <w:sz w:val="20"/>
                <w:szCs w:val="20"/>
              </w:rPr>
              <w:t xml:space="preserve">Základy krizové intervence </w:t>
            </w: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7D2709">
              <w:rPr>
                <w:rFonts w:cstheme="minorHAnsi"/>
                <w:sz w:val="20"/>
                <w:szCs w:val="20"/>
              </w:rPr>
              <w:t>jak pracovat s emocemi klienta v náročné životní situaci – rozpadu vztahu, manželství</w:t>
            </w:r>
          </w:p>
          <w:p w:rsidR="00E02297" w:rsidRPr="00861B2A" w:rsidRDefault="00E02297" w:rsidP="00B27DA5">
            <w:pPr>
              <w:pStyle w:val="Tabulkatext"/>
              <w:keepNext/>
              <w:ind w:left="0"/>
              <w:jc w:val="both"/>
              <w:rPr>
                <w:rFonts w:cstheme="minorHAnsi"/>
                <w:color w:val="auto"/>
                <w:szCs w:val="20"/>
              </w:rPr>
            </w:pPr>
          </w:p>
          <w:p w:rsidR="00E02297" w:rsidRPr="007D2709" w:rsidRDefault="00E02297" w:rsidP="00B27DA5">
            <w:pPr>
              <w:rPr>
                <w:rFonts w:cstheme="minorHAnsi"/>
                <w:sz w:val="20"/>
                <w:szCs w:val="20"/>
              </w:rPr>
            </w:pPr>
            <w:r w:rsidRPr="007D2709">
              <w:rPr>
                <w:rFonts w:cstheme="minorHAnsi"/>
                <w:b/>
                <w:sz w:val="20"/>
                <w:szCs w:val="20"/>
              </w:rPr>
              <w:t xml:space="preserve">KA3 Podpora služeb. </w:t>
            </w:r>
            <w:r w:rsidRPr="007D2709">
              <w:rPr>
                <w:rFonts w:cstheme="minorHAnsi"/>
                <w:sz w:val="20"/>
                <w:szCs w:val="20"/>
              </w:rPr>
              <w:t xml:space="preserve">V rámci této aktivity budou podpořeny a nakoupeny služby, nutné k realizaci nového přístupu v případech rodičovského sporu. </w:t>
            </w:r>
            <w:r>
              <w:rPr>
                <w:rFonts w:cstheme="minorHAnsi"/>
                <w:sz w:val="20"/>
                <w:szCs w:val="20"/>
              </w:rPr>
              <w:t xml:space="preserve">Bez této aktivity nelze zjistit funkčnost nastaveného systému, jsou nedílnou součástí pilotáže. </w:t>
            </w:r>
          </w:p>
          <w:p w:rsidR="00E02297" w:rsidRPr="007D2709" w:rsidRDefault="00E02297" w:rsidP="00B27DA5">
            <w:pPr>
              <w:pStyle w:val="MSK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7D2709">
              <w:rPr>
                <w:rFonts w:asciiTheme="minorHAnsi" w:hAnsiTheme="minorHAnsi" w:cstheme="minorHAnsi"/>
                <w:sz w:val="20"/>
                <w:szCs w:val="20"/>
              </w:rPr>
              <w:t xml:space="preserve">Konkrétně se bude jednat o zajištění služeb: </w:t>
            </w:r>
          </w:p>
          <w:p w:rsidR="00E02297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A97750">
              <w:rPr>
                <w:rFonts w:cstheme="minorHAnsi"/>
                <w:b/>
                <w:sz w:val="20"/>
                <w:szCs w:val="20"/>
              </w:rPr>
              <w:t>Odborné poradenství zaměřené na řízení rodičovského sporu</w:t>
            </w:r>
            <w:r w:rsidRPr="007D2709">
              <w:rPr>
                <w:rFonts w:cstheme="minorHAnsi"/>
                <w:sz w:val="20"/>
                <w:szCs w:val="20"/>
              </w:rPr>
              <w:t xml:space="preserve"> – 300 hodin/rok (projekt 600 h.)</w:t>
            </w: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A97750">
              <w:rPr>
                <w:rFonts w:cstheme="minorHAnsi"/>
                <w:b/>
                <w:sz w:val="20"/>
                <w:szCs w:val="20"/>
              </w:rPr>
              <w:t>2. Rodinná mediace za účelem dosažení dohody mezi rodiči</w:t>
            </w:r>
            <w:r w:rsidRPr="007D2709">
              <w:rPr>
                <w:rFonts w:cstheme="minorHAnsi"/>
                <w:sz w:val="20"/>
                <w:szCs w:val="20"/>
              </w:rPr>
              <w:t xml:space="preserve"> – 150 hodin/rok (projekt 300 h.)</w:t>
            </w: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A97750">
              <w:rPr>
                <w:rFonts w:cstheme="minorHAnsi"/>
                <w:b/>
                <w:sz w:val="20"/>
                <w:szCs w:val="20"/>
              </w:rPr>
              <w:t>3. Asistence při předávání dítěte, asistence při styku</w:t>
            </w:r>
            <w:r w:rsidRPr="007D2709">
              <w:rPr>
                <w:rFonts w:cstheme="minorHAnsi"/>
                <w:sz w:val="20"/>
                <w:szCs w:val="20"/>
              </w:rPr>
              <w:t xml:space="preserve"> – 50 hodin/rok (projekt 100 h.)</w:t>
            </w: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A97750">
              <w:rPr>
                <w:rFonts w:cstheme="minorHAnsi"/>
                <w:b/>
                <w:sz w:val="20"/>
                <w:szCs w:val="20"/>
              </w:rPr>
              <w:t>. Rodinná terapie</w:t>
            </w:r>
            <w:r w:rsidRPr="007D2709">
              <w:rPr>
                <w:rFonts w:cstheme="minorHAnsi"/>
                <w:sz w:val="20"/>
                <w:szCs w:val="20"/>
              </w:rPr>
              <w:t xml:space="preserve"> – 50 hodin/rok (projekt 100 h.)</w:t>
            </w:r>
          </w:p>
          <w:p w:rsidR="00E02297" w:rsidRPr="007D2709" w:rsidRDefault="00E02297" w:rsidP="00B27DA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:rsidR="00E02297" w:rsidRPr="00E36ED4" w:rsidRDefault="00E02297" w:rsidP="00B27DA5">
            <w:pPr>
              <w:rPr>
                <w:rFonts w:cstheme="minorHAnsi"/>
                <w:sz w:val="20"/>
                <w:szCs w:val="20"/>
              </w:rPr>
            </w:pPr>
            <w:r w:rsidRPr="007D2709">
              <w:rPr>
                <w:rFonts w:cstheme="minorHAnsi"/>
                <w:b/>
                <w:sz w:val="20"/>
                <w:szCs w:val="20"/>
              </w:rPr>
              <w:t xml:space="preserve">KA4 Tvorba podpůrných a metodických materiálů k realizaci interdisciplinární spolupráce. </w:t>
            </w:r>
            <w:r w:rsidRPr="007D2709">
              <w:rPr>
                <w:rFonts w:cstheme="minorHAnsi"/>
                <w:sz w:val="20"/>
                <w:szCs w:val="20"/>
              </w:rPr>
              <w:t xml:space="preserve">V závěru realizace projektu dojde k vytvoření materiálu o spolupráci dle principů Cochemského modelu </w:t>
            </w:r>
            <w:r w:rsidRPr="00E36ED4">
              <w:rPr>
                <w:rFonts w:cstheme="minorHAnsi"/>
                <w:sz w:val="20"/>
                <w:szCs w:val="20"/>
              </w:rPr>
              <w:t>každou zapojenou institucí (Okresní soud Nový Jičín, Krajský úřad Moravskoslezského kraje, Ministerstvo práce a sociálních věcí, Městský úřad Bílovec, Městský úřad Frenštát pod Radhoštěm, Městský úřad Kopřivnice, Městský úřad N</w:t>
            </w:r>
            <w:r>
              <w:rPr>
                <w:rFonts w:cstheme="minorHAnsi"/>
                <w:sz w:val="20"/>
                <w:szCs w:val="20"/>
              </w:rPr>
              <w:t>ový Jičín, Městský úřad Odry, Magistrát města Ostravy</w:t>
            </w:r>
            <w:r w:rsidRPr="00E36ED4">
              <w:rPr>
                <w:rFonts w:cstheme="minorHAnsi"/>
                <w:sz w:val="20"/>
                <w:szCs w:val="20"/>
              </w:rPr>
              <w:t xml:space="preserve">, Justiční akademie, Centrum psychologické pomoci, Vzdělávací agentura (Dr. Staněk). </w:t>
            </w:r>
          </w:p>
          <w:p w:rsidR="00E02297" w:rsidRPr="00A97750" w:rsidRDefault="00E02297" w:rsidP="00B27DA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02297" w:rsidRDefault="00E02297" w:rsidP="00B27DA5">
            <w:pPr>
              <w:rPr>
                <w:rFonts w:cstheme="minorHAnsi"/>
                <w:sz w:val="20"/>
                <w:szCs w:val="20"/>
              </w:rPr>
            </w:pPr>
            <w:r w:rsidRPr="007D2709">
              <w:rPr>
                <w:rFonts w:cstheme="minorHAnsi"/>
                <w:b/>
                <w:sz w:val="20"/>
                <w:szCs w:val="20"/>
              </w:rPr>
              <w:t xml:space="preserve">KA5 Podpora činnosti interdisciplinárních týmů v jiných okresech a šíření dobré praxe. </w:t>
            </w:r>
            <w:r w:rsidRPr="007D2709">
              <w:rPr>
                <w:rFonts w:cstheme="minorHAnsi"/>
                <w:sz w:val="20"/>
                <w:szCs w:val="20"/>
              </w:rPr>
              <w:t>Klíčová aktivita č. 5 se zaměřuje na předávání získaných informací a příkladů dobré praxe a vytvoření souboru doporučených postupů při aplikaci</w:t>
            </w:r>
            <w:r>
              <w:rPr>
                <w:rFonts w:cstheme="minorHAnsi"/>
                <w:sz w:val="20"/>
                <w:szCs w:val="20"/>
              </w:rPr>
              <w:t xml:space="preserve"> principů</w:t>
            </w:r>
            <w:r w:rsidRPr="007D2709">
              <w:rPr>
                <w:rFonts w:cstheme="minorHAnsi"/>
                <w:sz w:val="20"/>
                <w:szCs w:val="20"/>
              </w:rPr>
              <w:t xml:space="preserve"> Cochemského modelu do praxe pro potřeby subjektů působících v Moravskoslezském kraji. </w:t>
            </w:r>
          </w:p>
          <w:p w:rsidR="00E02297" w:rsidRDefault="00E02297" w:rsidP="00B27D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Pr="007D2709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Vzdělávání pracovníků sociálně-právní ochrany dětí obecních úřadů obcí s rozšířenou působností v Moravskoslezském kraji. </w:t>
            </w:r>
            <w:r>
              <w:rPr>
                <w:rFonts w:ascii="Tahoma" w:hAnsi="Tahoma" w:cs="Tahoma"/>
                <w:sz w:val="20"/>
                <w:szCs w:val="20"/>
              </w:rPr>
              <w:t>Cílem vzdělávacích aktivit je získání nových informací a praktických zkušeností s uplatňováním principů Cochemského modelu v praxi tak, aby jednotlivé orgány sociálně-právní ochrany dětí byly schopny aplikovat nově nabyté zkušenosti při řešení rodičovských sporů do praxe.</w:t>
            </w:r>
          </w:p>
          <w:p w:rsidR="00E02297" w:rsidRDefault="00E02297" w:rsidP="00B27D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Vzdělávání bude probíhat ve dvou blocích (tematických oblastech) v celkovém rozsahu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56 hodin</w:t>
            </w:r>
            <w:r>
              <w:rPr>
                <w:rFonts w:ascii="Tahoma" w:hAnsi="Tahoma" w:cs="Tahoma"/>
                <w:sz w:val="20"/>
                <w:szCs w:val="20"/>
              </w:rPr>
              <w:t xml:space="preserve">. Vzdělávání proběhne v jednom běhu, kdy se jej bude účastnit celkem 25 pracovníků orgánu sociálně-právní ochrany dětí obecních úřadů obcí s rozšířenou působností v Moravskoslezském kraji. </w:t>
            </w:r>
          </w:p>
          <w:p w:rsidR="00E02297" w:rsidRDefault="00E02297" w:rsidP="00B27DA5">
            <w:pPr>
              <w:spacing w:after="160" w:line="252" w:lineRule="auto"/>
              <w:rPr>
                <w:rFonts w:ascii="Tahoma" w:hAnsi="Tahoma" w:cs="Tahoma"/>
                <w:sz w:val="20"/>
                <w:szCs w:val="20"/>
              </w:rPr>
            </w:pPr>
            <w:r w:rsidRPr="00CC0345">
              <w:rPr>
                <w:rFonts w:ascii="Tahoma" w:hAnsi="Tahoma" w:cs="Tahoma"/>
                <w:sz w:val="20"/>
                <w:szCs w:val="20"/>
                <w:u w:val="single"/>
              </w:rPr>
              <w:t>Témata vzdělávání</w:t>
            </w:r>
            <w:r w:rsidRPr="00CC0345">
              <w:rPr>
                <w:rFonts w:ascii="Tahoma" w:hAnsi="Tahoma" w:cs="Tahoma"/>
                <w:sz w:val="20"/>
                <w:szCs w:val="20"/>
              </w:rPr>
              <w:t xml:space="preserve">:   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totožný jako u KA 2 </w:t>
            </w:r>
          </w:p>
          <w:p w:rsidR="00E02297" w:rsidRPr="007D2709" w:rsidRDefault="00E02297" w:rsidP="00B27D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V </w:t>
            </w:r>
            <w:r w:rsidRPr="007D2709">
              <w:rPr>
                <w:rFonts w:cstheme="minorHAnsi"/>
                <w:sz w:val="20"/>
                <w:szCs w:val="20"/>
              </w:rPr>
              <w:t>rámci šíření dobré praxe bude realizováno 5 seminářů v jednotlivých soudních regionech, které budou vést zástupci soudu, orgánu sociálně-právní ochrany dětí, nestátních neziskových organizací,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508">
              <w:rPr>
                <w:rFonts w:cstheme="minorHAnsi"/>
                <w:sz w:val="20"/>
                <w:szCs w:val="20"/>
              </w:rPr>
              <w:t>metodici evaluace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D2709">
              <w:rPr>
                <w:rFonts w:cstheme="minorHAnsi"/>
                <w:sz w:val="20"/>
                <w:szCs w:val="20"/>
              </w:rPr>
              <w:t xml:space="preserve"> kteří budou předávat zkušenosti dalším institucím - realizace v r. 201</w:t>
            </w:r>
            <w:r>
              <w:rPr>
                <w:rFonts w:cstheme="minorHAnsi"/>
                <w:sz w:val="20"/>
                <w:szCs w:val="20"/>
              </w:rPr>
              <w:t>9-20.</w:t>
            </w:r>
          </w:p>
          <w:p w:rsidR="00E02297" w:rsidRPr="003354B1" w:rsidRDefault="00E02297" w:rsidP="00B27DA5">
            <w:pPr>
              <w:rPr>
                <w:rFonts w:cstheme="minorHAnsi"/>
                <w:sz w:val="20"/>
                <w:szCs w:val="20"/>
              </w:rPr>
            </w:pPr>
            <w:r w:rsidRPr="00400397">
              <w:rPr>
                <w:rFonts w:cstheme="minorHAnsi"/>
                <w:sz w:val="20"/>
                <w:szCs w:val="20"/>
              </w:rPr>
              <w:t xml:space="preserve">Jedná se o realizaci 5 seminářů v soudních regionech: </w:t>
            </w:r>
            <w:r>
              <w:rPr>
                <w:rFonts w:cstheme="minorHAnsi"/>
                <w:sz w:val="20"/>
                <w:szCs w:val="20"/>
              </w:rPr>
              <w:t xml:space="preserve">Bruntál,       Frýdek- Místek, Karviná, Opava, Ostrava. </w:t>
            </w:r>
            <w:r w:rsidRPr="00A9775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:rsidR="00E02297" w:rsidRDefault="00E02297" w:rsidP="00B27DA5">
            <w:pPr>
              <w:rPr>
                <w:rFonts w:cstheme="minorHAnsi"/>
                <w:sz w:val="20"/>
                <w:szCs w:val="20"/>
              </w:rPr>
            </w:pPr>
            <w:r w:rsidRPr="003354B1">
              <w:rPr>
                <w:rFonts w:cstheme="minorHAnsi"/>
                <w:sz w:val="20"/>
                <w:szCs w:val="20"/>
              </w:rPr>
              <w:t xml:space="preserve">Předpokládaný počet účastníků seminářů: </w:t>
            </w:r>
            <w:r>
              <w:rPr>
                <w:rFonts w:cstheme="minorHAnsi"/>
                <w:sz w:val="20"/>
                <w:szCs w:val="20"/>
              </w:rPr>
              <w:t>150 osob (</w:t>
            </w:r>
            <w:r w:rsidRPr="003354B1">
              <w:rPr>
                <w:rFonts w:cstheme="minorHAnsi"/>
                <w:sz w:val="20"/>
                <w:szCs w:val="20"/>
              </w:rPr>
              <w:t>30 -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354B1">
              <w:rPr>
                <w:rFonts w:cstheme="minorHAnsi"/>
                <w:sz w:val="20"/>
                <w:szCs w:val="20"/>
              </w:rPr>
              <w:t>50 osob/ seminář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3354B1">
              <w:rPr>
                <w:rFonts w:cstheme="minorHAnsi"/>
                <w:sz w:val="20"/>
                <w:szCs w:val="20"/>
              </w:rPr>
              <w:t xml:space="preserve"> - </w:t>
            </w:r>
            <w:r w:rsidRPr="007D2709">
              <w:rPr>
                <w:rFonts w:cstheme="minorHAnsi"/>
                <w:sz w:val="20"/>
                <w:szCs w:val="20"/>
              </w:rPr>
              <w:t>zástupci soudu, orgánu sociálně-právní ochrany dětí, ne</w:t>
            </w:r>
            <w:r>
              <w:rPr>
                <w:rFonts w:cstheme="minorHAnsi"/>
                <w:sz w:val="20"/>
                <w:szCs w:val="20"/>
              </w:rPr>
              <w:t>státních neziskových organizací.</w:t>
            </w:r>
          </w:p>
          <w:p w:rsidR="00E02297" w:rsidRPr="006F76B1" w:rsidRDefault="00E02297" w:rsidP="00B27DA5">
            <w:pPr>
              <w:rPr>
                <w:rFonts w:cstheme="minorHAnsi"/>
                <w:sz w:val="20"/>
                <w:szCs w:val="20"/>
              </w:rPr>
            </w:pPr>
          </w:p>
          <w:p w:rsidR="00E02297" w:rsidRPr="00D97508" w:rsidRDefault="00E02297" w:rsidP="00B27DA5">
            <w:pPr>
              <w:rPr>
                <w:rFonts w:cstheme="minorHAnsi"/>
                <w:b/>
                <w:sz w:val="20"/>
                <w:szCs w:val="20"/>
              </w:rPr>
            </w:pPr>
            <w:r w:rsidRPr="00D97508">
              <w:rPr>
                <w:rFonts w:cstheme="minorHAnsi"/>
                <w:b/>
                <w:sz w:val="20"/>
                <w:szCs w:val="20"/>
              </w:rPr>
              <w:t>KA6 Evaluace</w:t>
            </w:r>
          </w:p>
          <w:p w:rsidR="00E02297" w:rsidRDefault="00E02297" w:rsidP="00B27DA5">
            <w:pPr>
              <w:rPr>
                <w:rFonts w:cstheme="minorHAnsi"/>
                <w:sz w:val="20"/>
                <w:szCs w:val="20"/>
              </w:rPr>
            </w:pPr>
            <w:r w:rsidRPr="00D97508">
              <w:rPr>
                <w:rFonts w:cstheme="minorHAnsi"/>
                <w:b/>
                <w:sz w:val="20"/>
                <w:szCs w:val="20"/>
              </w:rPr>
              <w:t>B</w:t>
            </w:r>
            <w:r w:rsidRPr="00D97508">
              <w:rPr>
                <w:rFonts w:cstheme="minorHAnsi"/>
                <w:sz w:val="20"/>
                <w:szCs w:val="20"/>
              </w:rPr>
              <w:t xml:space="preserve">ude vytvořen systém evaluace, který bude koordinovaný metodiky evaluace </w:t>
            </w:r>
            <w:r w:rsidRPr="00D30BCE">
              <w:rPr>
                <w:rFonts w:cstheme="minorHAnsi"/>
                <w:sz w:val="20"/>
                <w:szCs w:val="20"/>
              </w:rPr>
              <w:t xml:space="preserve">(2 osoby přijaté na DPP). </w:t>
            </w:r>
            <w:r w:rsidRPr="00D97508">
              <w:rPr>
                <w:rFonts w:cstheme="minorHAnsi"/>
                <w:sz w:val="20"/>
                <w:szCs w:val="20"/>
              </w:rPr>
              <w:t xml:space="preserve">Tito budou zapojeni do evaluace od počátku </w:t>
            </w:r>
            <w:r>
              <w:rPr>
                <w:rFonts w:cstheme="minorHAnsi"/>
                <w:sz w:val="20"/>
                <w:szCs w:val="20"/>
              </w:rPr>
              <w:t xml:space="preserve">projektu. Budou odpovědni za nastavení evaluačních kritérií projektu. Jedná se o osoby, které jsou propagátory Cochemského principu v rámci ČR. </w:t>
            </w:r>
          </w:p>
          <w:p w:rsidR="00E02297" w:rsidRDefault="00E02297" w:rsidP="00B27DA5">
            <w:pPr>
              <w:rPr>
                <w:rFonts w:cstheme="minorHAnsi"/>
                <w:sz w:val="20"/>
                <w:szCs w:val="20"/>
              </w:rPr>
            </w:pPr>
            <w:r w:rsidRPr="00D97508">
              <w:rPr>
                <w:rFonts w:cstheme="minorHAnsi"/>
                <w:sz w:val="20"/>
                <w:szCs w:val="20"/>
              </w:rPr>
              <w:t>Samotný průběh evaluace bude zaštítěn externím subjektem, který bude úzce spolupracovat s metodiky evaluace. Metodici evaluace se budou v závěru projektu podílet na tvorbě metodiky</w:t>
            </w:r>
            <w:r>
              <w:rPr>
                <w:rFonts w:cstheme="minorHAnsi"/>
                <w:sz w:val="20"/>
                <w:szCs w:val="20"/>
              </w:rPr>
              <w:t xml:space="preserve"> (KA 4)</w:t>
            </w:r>
            <w:r w:rsidRPr="00D97508">
              <w:rPr>
                <w:rFonts w:cstheme="minorHAnsi"/>
                <w:sz w:val="20"/>
                <w:szCs w:val="20"/>
              </w:rPr>
              <w:t xml:space="preserve">, jež bude shrnovat získaná statistická data. </w:t>
            </w:r>
          </w:p>
          <w:p w:rsidR="00E02297" w:rsidRDefault="00E02297" w:rsidP="00B27D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E36ED4">
              <w:rPr>
                <w:rFonts w:cstheme="minorHAnsi"/>
                <w:sz w:val="20"/>
                <w:szCs w:val="20"/>
              </w:rPr>
              <w:t>udou vytvořeny dvě pozice - metodik evaluace -  kteří se budou podílet na nastavení a koordinac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E36ED4">
              <w:rPr>
                <w:rFonts w:cstheme="minorHAnsi"/>
                <w:sz w:val="20"/>
                <w:szCs w:val="20"/>
              </w:rPr>
              <w:t xml:space="preserve"> systému evaluace, t</w:t>
            </w:r>
            <w:r>
              <w:rPr>
                <w:rFonts w:cstheme="minorHAnsi"/>
                <w:sz w:val="20"/>
                <w:szCs w:val="20"/>
              </w:rPr>
              <w:t>vorbě a připomínkování metodiky a</w:t>
            </w:r>
            <w:r w:rsidRPr="00E36ED4">
              <w:rPr>
                <w:rFonts w:cstheme="minorHAnsi"/>
                <w:sz w:val="20"/>
                <w:szCs w:val="20"/>
              </w:rPr>
              <w:t xml:space="preserve"> účastni</w:t>
            </w:r>
            <w:r>
              <w:rPr>
                <w:rFonts w:cstheme="minorHAnsi"/>
                <w:sz w:val="20"/>
                <w:szCs w:val="20"/>
              </w:rPr>
              <w:t xml:space="preserve">t se setkání řídicího výboru.  </w:t>
            </w:r>
          </w:p>
          <w:p w:rsidR="00E02297" w:rsidRPr="00400397" w:rsidRDefault="00E02297" w:rsidP="00E02297">
            <w:pPr>
              <w:pStyle w:val="MSKNormal"/>
              <w:rPr>
                <w:rFonts w:cstheme="minorHAnsi"/>
                <w:b/>
                <w:i/>
                <w:szCs w:val="20"/>
              </w:rPr>
            </w:pPr>
          </w:p>
        </w:tc>
      </w:tr>
    </w:tbl>
    <w:p w:rsidR="00E02297" w:rsidRDefault="00E02297" w:rsidP="00A05864"/>
    <w:sectPr w:rsidR="00E02297" w:rsidSect="000F0056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52" w:rsidRDefault="005A2552" w:rsidP="00744469">
      <w:pPr>
        <w:spacing w:after="0"/>
      </w:pPr>
      <w:r>
        <w:separator/>
      </w:r>
    </w:p>
  </w:endnote>
  <w:endnote w:type="continuationSeparator" w:id="0">
    <w:p w:rsidR="005A2552" w:rsidRDefault="005A2552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C45584" w:rsidRPr="007B628A" w:rsidTr="002D3192">
      <w:tc>
        <w:tcPr>
          <w:tcW w:w="5000" w:type="pct"/>
          <w:gridSpan w:val="3"/>
          <w:shd w:val="clear" w:color="auto" w:fill="auto"/>
          <w:vAlign w:val="center"/>
        </w:tcPr>
        <w:p w:rsidR="00C45584" w:rsidRPr="00A34F9E" w:rsidRDefault="00C45584" w:rsidP="002D3192">
          <w:pPr>
            <w:pStyle w:val="Tabulkazhlav"/>
            <w:rPr>
              <w:b w:val="0"/>
            </w:rPr>
          </w:pPr>
        </w:p>
      </w:tc>
    </w:tr>
    <w:tr w:rsidR="00C45584" w:rsidTr="002D3192">
      <w:tc>
        <w:tcPr>
          <w:tcW w:w="1667" w:type="pct"/>
          <w:shd w:val="clear" w:color="auto" w:fill="auto"/>
          <w:vAlign w:val="center"/>
        </w:tcPr>
        <w:p w:rsidR="00C45584" w:rsidRDefault="00C45584" w:rsidP="002D3192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C45584" w:rsidRDefault="00C45584" w:rsidP="002D3192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C45584" w:rsidRDefault="00C45584" w:rsidP="002D3192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E0D49">
            <w:rPr>
              <w:noProof/>
            </w:rPr>
            <w:t>6</w:t>
          </w:r>
          <w:r>
            <w:fldChar w:fldCharType="end"/>
          </w:r>
          <w:r>
            <w:t xml:space="preserve"> z </w:t>
          </w:r>
          <w:fldSimple w:instr=" NUMPAGES   \* MERGEFORMAT ">
            <w:r w:rsidR="000E0D49">
              <w:rPr>
                <w:noProof/>
              </w:rPr>
              <w:t>9</w:t>
            </w:r>
          </w:fldSimple>
        </w:p>
      </w:tc>
    </w:tr>
  </w:tbl>
  <w:p w:rsidR="00C45584" w:rsidRDefault="00C455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C45584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C45584" w:rsidRPr="00A34F9E" w:rsidRDefault="00C45584" w:rsidP="00A34F9E">
          <w:pPr>
            <w:pStyle w:val="Tabulkazhlav"/>
            <w:rPr>
              <w:b w:val="0"/>
            </w:rPr>
          </w:pPr>
        </w:p>
      </w:tc>
    </w:tr>
    <w:tr w:rsidR="00C45584" w:rsidTr="00A34F9E">
      <w:tc>
        <w:tcPr>
          <w:tcW w:w="1667" w:type="pct"/>
          <w:shd w:val="clear" w:color="auto" w:fill="auto"/>
          <w:vAlign w:val="center"/>
        </w:tcPr>
        <w:p w:rsidR="00C45584" w:rsidRDefault="00C45584" w:rsidP="002D3192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C45584" w:rsidRDefault="00C45584" w:rsidP="002D3192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C45584" w:rsidRDefault="00C45584" w:rsidP="002D3192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E0D4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0E0D49">
              <w:rPr>
                <w:noProof/>
              </w:rPr>
              <w:t>9</w:t>
            </w:r>
          </w:fldSimple>
        </w:p>
      </w:tc>
    </w:tr>
  </w:tbl>
  <w:p w:rsidR="00C45584" w:rsidRDefault="00C455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52" w:rsidRDefault="005A2552" w:rsidP="00744469">
      <w:pPr>
        <w:spacing w:after="0"/>
      </w:pPr>
      <w:r>
        <w:separator/>
      </w:r>
    </w:p>
  </w:footnote>
  <w:footnote w:type="continuationSeparator" w:id="0">
    <w:p w:rsidR="005A2552" w:rsidRDefault="005A2552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84" w:rsidRDefault="00C45584">
    <w:pPr>
      <w:pStyle w:val="Zhlav"/>
    </w:pPr>
    <w:r>
      <w:rPr>
        <w:noProof/>
        <w:lang w:eastAsia="cs-CZ"/>
      </w:rPr>
      <w:drawing>
        <wp:inline distT="0" distB="0" distL="0" distR="0" wp14:anchorId="705E66E8" wp14:editId="709EB7BB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584" w:rsidRDefault="00C455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75pt;height:5.75pt" o:bullet="t">
        <v:imagedata r:id="rId1" o:title="ul"/>
      </v:shape>
    </w:pict>
  </w:numPicBullet>
  <w:abstractNum w:abstractNumId="0" w15:restartNumberingAfterBreak="0">
    <w:nsid w:val="0304725B"/>
    <w:multiLevelType w:val="hybridMultilevel"/>
    <w:tmpl w:val="017AE946"/>
    <w:lvl w:ilvl="0" w:tplc="D4741B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76EA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2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66B0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6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14C73D0"/>
    <w:multiLevelType w:val="hybridMultilevel"/>
    <w:tmpl w:val="64C2CD7C"/>
    <w:lvl w:ilvl="0" w:tplc="424E3076">
      <w:start w:val="50"/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D627F"/>
    <w:multiLevelType w:val="hybridMultilevel"/>
    <w:tmpl w:val="040ED340"/>
    <w:lvl w:ilvl="0" w:tplc="D50E2C96">
      <w:start w:val="2"/>
      <w:numFmt w:val="bullet"/>
      <w:lvlText w:val="-"/>
      <w:lvlJc w:val="left"/>
      <w:pPr>
        <w:ind w:left="2160" w:hanging="360"/>
      </w:pPr>
      <w:rPr>
        <w:rFonts w:ascii="Tahoma" w:eastAsiaTheme="minorHAnsi" w:hAnsi="Tahoma" w:cs="Tahoma" w:hint="default"/>
        <w:i w:val="0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E1B0830"/>
    <w:multiLevelType w:val="hybridMultilevel"/>
    <w:tmpl w:val="E36E8AF8"/>
    <w:lvl w:ilvl="0" w:tplc="0654328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7CFB06A3"/>
    <w:multiLevelType w:val="hybridMultilevel"/>
    <w:tmpl w:val="BA80599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2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3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8"/>
  </w:num>
  <w:num w:numId="23">
    <w:abstractNumId w:val="14"/>
  </w:num>
  <w:num w:numId="24">
    <w:abstractNumId w:val="5"/>
  </w:num>
  <w:num w:numId="25">
    <w:abstractNumId w:val="16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2AC3"/>
    <w:rsid w:val="0001523D"/>
    <w:rsid w:val="00015461"/>
    <w:rsid w:val="00015EDA"/>
    <w:rsid w:val="000217DF"/>
    <w:rsid w:val="000532DA"/>
    <w:rsid w:val="00055362"/>
    <w:rsid w:val="00057C9B"/>
    <w:rsid w:val="00065731"/>
    <w:rsid w:val="00067F8E"/>
    <w:rsid w:val="000753D6"/>
    <w:rsid w:val="00084CE4"/>
    <w:rsid w:val="000A1FE3"/>
    <w:rsid w:val="000A759E"/>
    <w:rsid w:val="000B25D8"/>
    <w:rsid w:val="000E0D49"/>
    <w:rsid w:val="000E11BF"/>
    <w:rsid w:val="000F0056"/>
    <w:rsid w:val="000F5394"/>
    <w:rsid w:val="000F5592"/>
    <w:rsid w:val="0010048F"/>
    <w:rsid w:val="00115A1A"/>
    <w:rsid w:val="0011753D"/>
    <w:rsid w:val="00121E84"/>
    <w:rsid w:val="00136808"/>
    <w:rsid w:val="00143780"/>
    <w:rsid w:val="001641A3"/>
    <w:rsid w:val="00166816"/>
    <w:rsid w:val="001673AF"/>
    <w:rsid w:val="001719E5"/>
    <w:rsid w:val="001776A7"/>
    <w:rsid w:val="001819EE"/>
    <w:rsid w:val="00184F3F"/>
    <w:rsid w:val="00185596"/>
    <w:rsid w:val="00194656"/>
    <w:rsid w:val="00195CF6"/>
    <w:rsid w:val="001A145B"/>
    <w:rsid w:val="001B55D7"/>
    <w:rsid w:val="001C08A2"/>
    <w:rsid w:val="001C2CB7"/>
    <w:rsid w:val="001C53FB"/>
    <w:rsid w:val="001D3DFE"/>
    <w:rsid w:val="001D5560"/>
    <w:rsid w:val="00202271"/>
    <w:rsid w:val="00204000"/>
    <w:rsid w:val="0020570D"/>
    <w:rsid w:val="00222FF0"/>
    <w:rsid w:val="002258C5"/>
    <w:rsid w:val="0022765C"/>
    <w:rsid w:val="002319F2"/>
    <w:rsid w:val="0025178A"/>
    <w:rsid w:val="00265BDF"/>
    <w:rsid w:val="002671A0"/>
    <w:rsid w:val="0027068B"/>
    <w:rsid w:val="00283A91"/>
    <w:rsid w:val="0028620C"/>
    <w:rsid w:val="002866E8"/>
    <w:rsid w:val="00287808"/>
    <w:rsid w:val="00287DE2"/>
    <w:rsid w:val="002921D1"/>
    <w:rsid w:val="002B3FC2"/>
    <w:rsid w:val="002B44D9"/>
    <w:rsid w:val="002B6E2F"/>
    <w:rsid w:val="002C3D99"/>
    <w:rsid w:val="002C4CF2"/>
    <w:rsid w:val="002C4D5F"/>
    <w:rsid w:val="002D3192"/>
    <w:rsid w:val="002D4955"/>
    <w:rsid w:val="002D7766"/>
    <w:rsid w:val="002F5DAA"/>
    <w:rsid w:val="00302400"/>
    <w:rsid w:val="00306C59"/>
    <w:rsid w:val="00330790"/>
    <w:rsid w:val="00334D40"/>
    <w:rsid w:val="00336EA2"/>
    <w:rsid w:val="00342EB6"/>
    <w:rsid w:val="00361180"/>
    <w:rsid w:val="00361FFC"/>
    <w:rsid w:val="00381CCF"/>
    <w:rsid w:val="003851E9"/>
    <w:rsid w:val="003870F5"/>
    <w:rsid w:val="00394C90"/>
    <w:rsid w:val="00394E65"/>
    <w:rsid w:val="003A5621"/>
    <w:rsid w:val="003A5981"/>
    <w:rsid w:val="003B1163"/>
    <w:rsid w:val="003B6F5A"/>
    <w:rsid w:val="003B72C7"/>
    <w:rsid w:val="003C30A8"/>
    <w:rsid w:val="003D3872"/>
    <w:rsid w:val="003E5795"/>
    <w:rsid w:val="003E64B7"/>
    <w:rsid w:val="003F02C5"/>
    <w:rsid w:val="004162EF"/>
    <w:rsid w:val="004354DE"/>
    <w:rsid w:val="004415B1"/>
    <w:rsid w:val="00443ED6"/>
    <w:rsid w:val="004461FB"/>
    <w:rsid w:val="004548E9"/>
    <w:rsid w:val="00455567"/>
    <w:rsid w:val="004725F4"/>
    <w:rsid w:val="00484997"/>
    <w:rsid w:val="00497ED7"/>
    <w:rsid w:val="004A04F1"/>
    <w:rsid w:val="004B48EE"/>
    <w:rsid w:val="004C5EF7"/>
    <w:rsid w:val="004C721F"/>
    <w:rsid w:val="004D3877"/>
    <w:rsid w:val="004D405E"/>
    <w:rsid w:val="004D73F0"/>
    <w:rsid w:val="004E5D87"/>
    <w:rsid w:val="0050791F"/>
    <w:rsid w:val="00512C01"/>
    <w:rsid w:val="00536184"/>
    <w:rsid w:val="00536CEE"/>
    <w:rsid w:val="0055203F"/>
    <w:rsid w:val="00556F01"/>
    <w:rsid w:val="005679DE"/>
    <w:rsid w:val="00567C05"/>
    <w:rsid w:val="00573732"/>
    <w:rsid w:val="00581669"/>
    <w:rsid w:val="00583E88"/>
    <w:rsid w:val="00597E60"/>
    <w:rsid w:val="005A2552"/>
    <w:rsid w:val="005B66CA"/>
    <w:rsid w:val="005B7AFA"/>
    <w:rsid w:val="005C19CB"/>
    <w:rsid w:val="005C28D2"/>
    <w:rsid w:val="005D7163"/>
    <w:rsid w:val="005D7987"/>
    <w:rsid w:val="005E72E4"/>
    <w:rsid w:val="00605AF1"/>
    <w:rsid w:val="006115B8"/>
    <w:rsid w:val="0062246E"/>
    <w:rsid w:val="00640D76"/>
    <w:rsid w:val="00647088"/>
    <w:rsid w:val="00647AAE"/>
    <w:rsid w:val="00653116"/>
    <w:rsid w:val="00671782"/>
    <w:rsid w:val="006718E7"/>
    <w:rsid w:val="006737F4"/>
    <w:rsid w:val="0068462F"/>
    <w:rsid w:val="00685750"/>
    <w:rsid w:val="006863CC"/>
    <w:rsid w:val="00694A19"/>
    <w:rsid w:val="006B3320"/>
    <w:rsid w:val="006B7AD7"/>
    <w:rsid w:val="006D2EC2"/>
    <w:rsid w:val="006D7FC5"/>
    <w:rsid w:val="006F114E"/>
    <w:rsid w:val="006F7E2F"/>
    <w:rsid w:val="0070061D"/>
    <w:rsid w:val="007013EC"/>
    <w:rsid w:val="007021C1"/>
    <w:rsid w:val="00706BD4"/>
    <w:rsid w:val="00713ABA"/>
    <w:rsid w:val="00715189"/>
    <w:rsid w:val="0071660A"/>
    <w:rsid w:val="00737635"/>
    <w:rsid w:val="00744469"/>
    <w:rsid w:val="00747312"/>
    <w:rsid w:val="007566EB"/>
    <w:rsid w:val="00761343"/>
    <w:rsid w:val="0076546C"/>
    <w:rsid w:val="00773D72"/>
    <w:rsid w:val="00776C46"/>
    <w:rsid w:val="00780BB7"/>
    <w:rsid w:val="00782D4C"/>
    <w:rsid w:val="00797E60"/>
    <w:rsid w:val="007A0075"/>
    <w:rsid w:val="007A1494"/>
    <w:rsid w:val="007A1937"/>
    <w:rsid w:val="007B1C3C"/>
    <w:rsid w:val="007B7AC9"/>
    <w:rsid w:val="007D0935"/>
    <w:rsid w:val="007D5318"/>
    <w:rsid w:val="007E732D"/>
    <w:rsid w:val="007F59A4"/>
    <w:rsid w:val="0080213E"/>
    <w:rsid w:val="008053D8"/>
    <w:rsid w:val="00815F47"/>
    <w:rsid w:val="00816DDA"/>
    <w:rsid w:val="008255F6"/>
    <w:rsid w:val="008406F7"/>
    <w:rsid w:val="00843583"/>
    <w:rsid w:val="00843C20"/>
    <w:rsid w:val="00844670"/>
    <w:rsid w:val="00847203"/>
    <w:rsid w:val="00863144"/>
    <w:rsid w:val="0086370D"/>
    <w:rsid w:val="008647B8"/>
    <w:rsid w:val="008819E7"/>
    <w:rsid w:val="0088236B"/>
    <w:rsid w:val="00882590"/>
    <w:rsid w:val="008831A3"/>
    <w:rsid w:val="008842D3"/>
    <w:rsid w:val="00890FAA"/>
    <w:rsid w:val="00892DE6"/>
    <w:rsid w:val="008B5089"/>
    <w:rsid w:val="008B607A"/>
    <w:rsid w:val="008C6214"/>
    <w:rsid w:val="008F2565"/>
    <w:rsid w:val="008F728F"/>
    <w:rsid w:val="008F7471"/>
    <w:rsid w:val="008F7D9B"/>
    <w:rsid w:val="009004CB"/>
    <w:rsid w:val="00903D61"/>
    <w:rsid w:val="00910732"/>
    <w:rsid w:val="009117F1"/>
    <w:rsid w:val="00933A22"/>
    <w:rsid w:val="009343A7"/>
    <w:rsid w:val="00934A32"/>
    <w:rsid w:val="00942E26"/>
    <w:rsid w:val="00942F74"/>
    <w:rsid w:val="009574F9"/>
    <w:rsid w:val="00960EC6"/>
    <w:rsid w:val="00967D4A"/>
    <w:rsid w:val="009735DF"/>
    <w:rsid w:val="00980826"/>
    <w:rsid w:val="0099128B"/>
    <w:rsid w:val="00996844"/>
    <w:rsid w:val="009A43E5"/>
    <w:rsid w:val="009A7345"/>
    <w:rsid w:val="009A755D"/>
    <w:rsid w:val="009B4538"/>
    <w:rsid w:val="009C6048"/>
    <w:rsid w:val="009C6899"/>
    <w:rsid w:val="009C71CB"/>
    <w:rsid w:val="009D6602"/>
    <w:rsid w:val="009E1C91"/>
    <w:rsid w:val="00A05864"/>
    <w:rsid w:val="00A076EC"/>
    <w:rsid w:val="00A11887"/>
    <w:rsid w:val="00A15D10"/>
    <w:rsid w:val="00A16328"/>
    <w:rsid w:val="00A325FB"/>
    <w:rsid w:val="00A338EB"/>
    <w:rsid w:val="00A33A3D"/>
    <w:rsid w:val="00A34F9E"/>
    <w:rsid w:val="00A36264"/>
    <w:rsid w:val="00A47B09"/>
    <w:rsid w:val="00A60E4B"/>
    <w:rsid w:val="00A67723"/>
    <w:rsid w:val="00A87668"/>
    <w:rsid w:val="00A97C4D"/>
    <w:rsid w:val="00AA3E99"/>
    <w:rsid w:val="00AA5F34"/>
    <w:rsid w:val="00AC3356"/>
    <w:rsid w:val="00AD04D6"/>
    <w:rsid w:val="00AD2549"/>
    <w:rsid w:val="00B04C20"/>
    <w:rsid w:val="00B07597"/>
    <w:rsid w:val="00B11883"/>
    <w:rsid w:val="00B23E69"/>
    <w:rsid w:val="00B32C5C"/>
    <w:rsid w:val="00B50733"/>
    <w:rsid w:val="00B52167"/>
    <w:rsid w:val="00B539D6"/>
    <w:rsid w:val="00B56267"/>
    <w:rsid w:val="00B56786"/>
    <w:rsid w:val="00B5785A"/>
    <w:rsid w:val="00B57C7F"/>
    <w:rsid w:val="00B70C0C"/>
    <w:rsid w:val="00B8227E"/>
    <w:rsid w:val="00B82FD3"/>
    <w:rsid w:val="00B90AFE"/>
    <w:rsid w:val="00B921E9"/>
    <w:rsid w:val="00B93345"/>
    <w:rsid w:val="00B9435E"/>
    <w:rsid w:val="00B9765D"/>
    <w:rsid w:val="00BA0F0F"/>
    <w:rsid w:val="00BA40A6"/>
    <w:rsid w:val="00BA5CD3"/>
    <w:rsid w:val="00BB6DF4"/>
    <w:rsid w:val="00BD26E4"/>
    <w:rsid w:val="00BD5598"/>
    <w:rsid w:val="00BD60A7"/>
    <w:rsid w:val="00C1026C"/>
    <w:rsid w:val="00C26A71"/>
    <w:rsid w:val="00C36356"/>
    <w:rsid w:val="00C45584"/>
    <w:rsid w:val="00C47346"/>
    <w:rsid w:val="00C47804"/>
    <w:rsid w:val="00C51858"/>
    <w:rsid w:val="00C54BB9"/>
    <w:rsid w:val="00C64114"/>
    <w:rsid w:val="00C70F57"/>
    <w:rsid w:val="00C72443"/>
    <w:rsid w:val="00C73943"/>
    <w:rsid w:val="00C773DB"/>
    <w:rsid w:val="00C920D4"/>
    <w:rsid w:val="00CC171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15CF2"/>
    <w:rsid w:val="00D25BB7"/>
    <w:rsid w:val="00D261C4"/>
    <w:rsid w:val="00D43324"/>
    <w:rsid w:val="00D44340"/>
    <w:rsid w:val="00D51DF2"/>
    <w:rsid w:val="00D55B22"/>
    <w:rsid w:val="00D64E22"/>
    <w:rsid w:val="00D6700A"/>
    <w:rsid w:val="00D7542C"/>
    <w:rsid w:val="00D8616B"/>
    <w:rsid w:val="00D87780"/>
    <w:rsid w:val="00D90F1D"/>
    <w:rsid w:val="00D91AD3"/>
    <w:rsid w:val="00D91F9F"/>
    <w:rsid w:val="00DB3EA3"/>
    <w:rsid w:val="00DB40C5"/>
    <w:rsid w:val="00DC370F"/>
    <w:rsid w:val="00DC558E"/>
    <w:rsid w:val="00DD266A"/>
    <w:rsid w:val="00DD5FB3"/>
    <w:rsid w:val="00E02297"/>
    <w:rsid w:val="00E073EC"/>
    <w:rsid w:val="00E0747B"/>
    <w:rsid w:val="00E201FD"/>
    <w:rsid w:val="00E20828"/>
    <w:rsid w:val="00E4229E"/>
    <w:rsid w:val="00E44390"/>
    <w:rsid w:val="00E45C22"/>
    <w:rsid w:val="00E45CF5"/>
    <w:rsid w:val="00E539B2"/>
    <w:rsid w:val="00E66055"/>
    <w:rsid w:val="00E71E86"/>
    <w:rsid w:val="00E74D5F"/>
    <w:rsid w:val="00E81664"/>
    <w:rsid w:val="00E82157"/>
    <w:rsid w:val="00E90E13"/>
    <w:rsid w:val="00E915D8"/>
    <w:rsid w:val="00EA17D9"/>
    <w:rsid w:val="00EA35B3"/>
    <w:rsid w:val="00EB1A20"/>
    <w:rsid w:val="00EB62F1"/>
    <w:rsid w:val="00EC7DDB"/>
    <w:rsid w:val="00ED4574"/>
    <w:rsid w:val="00ED7068"/>
    <w:rsid w:val="00F14015"/>
    <w:rsid w:val="00F25FB9"/>
    <w:rsid w:val="00F332DB"/>
    <w:rsid w:val="00F37E18"/>
    <w:rsid w:val="00F425F1"/>
    <w:rsid w:val="00F429F9"/>
    <w:rsid w:val="00F4441B"/>
    <w:rsid w:val="00F52A67"/>
    <w:rsid w:val="00F543E8"/>
    <w:rsid w:val="00F61DB6"/>
    <w:rsid w:val="00F81FA7"/>
    <w:rsid w:val="00F91466"/>
    <w:rsid w:val="00F91844"/>
    <w:rsid w:val="00F9194D"/>
    <w:rsid w:val="00FA388B"/>
    <w:rsid w:val="00FA5583"/>
    <w:rsid w:val="00FA5BE7"/>
    <w:rsid w:val="00FC0AE3"/>
    <w:rsid w:val="00FC2B1C"/>
    <w:rsid w:val="00FC4FB9"/>
    <w:rsid w:val="00FC7F62"/>
    <w:rsid w:val="00FD570B"/>
    <w:rsid w:val="00FD6BEF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customStyle="1" w:styleId="adr">
    <w:name w:val="adr"/>
    <w:basedOn w:val="Standardnpsmoodstavce"/>
    <w:rsid w:val="007013EC"/>
  </w:style>
  <w:style w:type="character" w:customStyle="1" w:styleId="street-address">
    <w:name w:val="street-address"/>
    <w:basedOn w:val="Standardnpsmoodstavce"/>
    <w:rsid w:val="007013EC"/>
  </w:style>
  <w:style w:type="character" w:customStyle="1" w:styleId="postal-code">
    <w:name w:val="postal-code"/>
    <w:basedOn w:val="Standardnpsmoodstavce"/>
    <w:rsid w:val="007013EC"/>
  </w:style>
  <w:style w:type="character" w:customStyle="1" w:styleId="locality">
    <w:name w:val="locality"/>
    <w:basedOn w:val="Standardnpsmoodstavce"/>
    <w:rsid w:val="007013EC"/>
  </w:style>
  <w:style w:type="character" w:styleId="Odkaznakoment">
    <w:name w:val="annotation reference"/>
    <w:basedOn w:val="Standardnpsmoodstavce"/>
    <w:uiPriority w:val="99"/>
    <w:semiHidden/>
    <w:unhideWhenUsed/>
    <w:rsid w:val="00B822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2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2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2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27E"/>
    <w:rPr>
      <w:b/>
      <w:bCs/>
      <w:sz w:val="20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E0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E0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MSKNormal">
    <w:name w:val="MSK_Normal"/>
    <w:basedOn w:val="Normln"/>
    <w:qFormat/>
    <w:rsid w:val="00E02297"/>
    <w:pPr>
      <w:spacing w:after="0"/>
    </w:pPr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9</Pages>
  <Words>3591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2017-03-01T08:32:00Z</dcterms:created>
  <dcterms:modified xsi:type="dcterms:W3CDTF">2017-03-01T08:32:00Z</dcterms:modified>
</cp:coreProperties>
</file>