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236D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Smlouva</w:t>
      </w:r>
    </w:p>
    <w:p w14:paraId="6292E756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o závazku veřejné služby a vyrovnávací platbě za jeho výkon</w:t>
      </w:r>
    </w:p>
    <w:p w14:paraId="38C1A6CF" w14:textId="77777777" w:rsidR="00C54658" w:rsidRPr="005341FD" w:rsidRDefault="00C54658" w:rsidP="00855C73">
      <w:pPr>
        <w:pStyle w:val="Bodytext30"/>
        <w:shd w:val="clear" w:color="auto" w:fill="auto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 </w:t>
      </w:r>
    </w:p>
    <w:p w14:paraId="7829217F" w14:textId="77777777" w:rsidR="00C54658" w:rsidRPr="005341FD" w:rsidRDefault="00C54658" w:rsidP="00855C73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5341FD">
        <w:rPr>
          <w:rFonts w:ascii="Tahoma" w:hAnsi="Tahoma" w:cs="Tahoma"/>
        </w:rPr>
        <w:t>Smluvní strany</w:t>
      </w:r>
    </w:p>
    <w:p w14:paraId="5CF6FE38" w14:textId="77777777" w:rsidR="00C54658" w:rsidRPr="005341F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47"/>
        </w:tabs>
        <w:spacing w:after="0" w:line="259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</w:rPr>
        <w:t>Moravskoslezský kraj</w:t>
      </w:r>
    </w:p>
    <w:p w14:paraId="0A839891" w14:textId="3089198B" w:rsidR="00C54658" w:rsidRPr="005341FD" w:rsidRDefault="00C54658" w:rsidP="00855C73">
      <w:pPr>
        <w:pStyle w:val="Bodytext20"/>
        <w:shd w:val="clear" w:color="auto" w:fill="auto"/>
        <w:tabs>
          <w:tab w:val="left" w:pos="2792"/>
        </w:tabs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se sídlem:</w:t>
      </w:r>
      <w:r w:rsidRPr="005341FD">
        <w:rPr>
          <w:rFonts w:ascii="Tahoma" w:hAnsi="Tahoma" w:cs="Tahoma"/>
        </w:rPr>
        <w:tab/>
      </w:r>
      <w:r w:rsidR="009B31D1" w:rsidRPr="005341FD">
        <w:rPr>
          <w:rFonts w:ascii="Tahoma" w:hAnsi="Tahoma" w:cs="Tahoma"/>
        </w:rPr>
        <w:t xml:space="preserve">28. října </w:t>
      </w:r>
      <w:r w:rsidR="009B31D1" w:rsidRPr="009C3E7C">
        <w:rPr>
          <w:rFonts w:ascii="Tahoma" w:hAnsi="Tahoma" w:cs="Tahoma"/>
        </w:rPr>
        <w:t>2771/117, 702 00</w:t>
      </w:r>
      <w:r w:rsidR="009B31D1" w:rsidRPr="005341FD">
        <w:rPr>
          <w:rFonts w:ascii="Tahoma" w:hAnsi="Tahoma" w:cs="Tahoma"/>
        </w:rPr>
        <w:t xml:space="preserve"> Ostrava</w:t>
      </w:r>
    </w:p>
    <w:p w14:paraId="7580AD91" w14:textId="77777777" w:rsidR="00C54658" w:rsidRPr="005341F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zastoupený: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MUDr. Martinem Gebauerem, MHA, LL.M.</w:t>
      </w:r>
    </w:p>
    <w:p w14:paraId="648F8B09" w14:textId="77777777" w:rsidR="00C54658" w:rsidRPr="005341FD" w:rsidRDefault="00C54658" w:rsidP="00855C73">
      <w:pPr>
        <w:pStyle w:val="Bodytext20"/>
        <w:shd w:val="clear" w:color="auto" w:fill="auto"/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náměstkem hejtmana kraje</w:t>
      </w:r>
    </w:p>
    <w:p w14:paraId="71D5BFBE" w14:textId="77777777" w:rsidR="00C54658" w:rsidRPr="005341F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IČO:</w:t>
      </w:r>
      <w:r w:rsidRPr="005341FD">
        <w:rPr>
          <w:rFonts w:ascii="Tahoma" w:hAnsi="Tahoma" w:cs="Tahoma"/>
        </w:rPr>
        <w:tab/>
        <w:t>70890692</w:t>
      </w:r>
    </w:p>
    <w:p w14:paraId="3029D64F" w14:textId="77777777" w:rsidR="00C54658" w:rsidRPr="005341FD" w:rsidRDefault="00C54658" w:rsidP="00A8285A">
      <w:pPr>
        <w:pStyle w:val="Bodytext20"/>
        <w:shd w:val="clear" w:color="auto" w:fill="auto"/>
        <w:tabs>
          <w:tab w:val="left" w:pos="2792"/>
        </w:tabs>
        <w:spacing w:line="24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bankovní spojení:</w:t>
      </w:r>
      <w:r w:rsidRPr="005341FD">
        <w:rPr>
          <w:rFonts w:ascii="Tahoma" w:hAnsi="Tahoma" w:cs="Tahoma"/>
        </w:rPr>
        <w:tab/>
        <w:t>Česká spořitelna, a.s.</w:t>
      </w:r>
    </w:p>
    <w:p w14:paraId="500F58F5" w14:textId="77777777" w:rsidR="00C54658" w:rsidRPr="005341FD" w:rsidRDefault="00C54658" w:rsidP="000C68B6">
      <w:pPr>
        <w:pStyle w:val="Bodytext20"/>
        <w:shd w:val="clear" w:color="auto" w:fill="auto"/>
        <w:tabs>
          <w:tab w:val="left" w:pos="2792"/>
          <w:tab w:val="left" w:leader="dot" w:pos="4382"/>
        </w:tabs>
        <w:spacing w:line="240" w:lineRule="auto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číslo účtu:</w:t>
      </w:r>
      <w:r w:rsidRPr="005341FD">
        <w:rPr>
          <w:rFonts w:ascii="Tahoma" w:hAnsi="Tahoma" w:cs="Tahoma"/>
        </w:rPr>
        <w:tab/>
        <w:t>27-1650676349/0800</w:t>
      </w:r>
    </w:p>
    <w:p w14:paraId="77D49B0C" w14:textId="77777777" w:rsidR="00C54658" w:rsidRPr="005341FD" w:rsidRDefault="00C54658" w:rsidP="00855C73">
      <w:pPr>
        <w:pStyle w:val="Bodytext20"/>
        <w:shd w:val="clear" w:color="auto" w:fill="auto"/>
        <w:tabs>
          <w:tab w:val="left" w:pos="2792"/>
          <w:tab w:val="left" w:leader="dot" w:pos="4382"/>
        </w:tabs>
        <w:spacing w:after="296" w:line="264" w:lineRule="exact"/>
        <w:ind w:left="420"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datová schránka:</w:t>
      </w:r>
      <w:r w:rsidRPr="005341FD">
        <w:rPr>
          <w:rFonts w:ascii="Tahoma" w:hAnsi="Tahoma" w:cs="Tahoma"/>
        </w:rPr>
        <w:tab/>
        <w:t>8x6bxsd</w:t>
      </w:r>
    </w:p>
    <w:p w14:paraId="324D18B7" w14:textId="77777777" w:rsidR="00C54658" w:rsidRPr="005341F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„Kraj“)</w:t>
      </w:r>
    </w:p>
    <w:p w14:paraId="52B9F9F9" w14:textId="77777777" w:rsidR="00C54658" w:rsidRPr="005341FD" w:rsidRDefault="00C54658" w:rsidP="00855C73">
      <w:pPr>
        <w:pStyle w:val="Bodytext50"/>
        <w:shd w:val="clear" w:color="auto" w:fill="auto"/>
        <w:spacing w:before="0" w:after="0"/>
        <w:ind w:left="420"/>
        <w:rPr>
          <w:rFonts w:ascii="Tahoma" w:hAnsi="Tahoma" w:cs="Tahoma"/>
        </w:rPr>
      </w:pPr>
    </w:p>
    <w:p w14:paraId="43B7A8F6" w14:textId="75F3749F" w:rsidR="00C54658" w:rsidRPr="005341FD" w:rsidRDefault="00C54658" w:rsidP="00855C73">
      <w:pPr>
        <w:pStyle w:val="Bodytext40"/>
        <w:numPr>
          <w:ilvl w:val="0"/>
          <w:numId w:val="1"/>
        </w:numPr>
        <w:shd w:val="clear" w:color="auto" w:fill="auto"/>
        <w:tabs>
          <w:tab w:val="left" w:pos="358"/>
        </w:tabs>
        <w:spacing w:after="0" w:line="264" w:lineRule="exact"/>
        <w:ind w:left="420"/>
        <w:jc w:val="both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>Nemocnice Třinec, příspěvková organizace</w:t>
      </w:r>
    </w:p>
    <w:p w14:paraId="77D9C798" w14:textId="77777777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se sídlem: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Kaštanová 268, Dolní Líštná, 739 61 Třinec</w:t>
      </w:r>
    </w:p>
    <w:p w14:paraId="78CB1770" w14:textId="5A7851EE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zastoupená: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Ing. Jiří</w:t>
      </w:r>
      <w:r w:rsidR="00CB7A46" w:rsidRPr="005341FD">
        <w:rPr>
          <w:rFonts w:ascii="Tahoma" w:hAnsi="Tahoma" w:cs="Tahoma"/>
          <w:noProof/>
        </w:rPr>
        <w:t>m</w:t>
      </w:r>
      <w:r w:rsidRPr="005341FD">
        <w:rPr>
          <w:rFonts w:ascii="Tahoma" w:hAnsi="Tahoma" w:cs="Tahoma"/>
          <w:noProof/>
        </w:rPr>
        <w:t xml:space="preserve"> Veverk</w:t>
      </w:r>
      <w:r w:rsidR="00CB7A46" w:rsidRPr="005341FD">
        <w:rPr>
          <w:rFonts w:ascii="Tahoma" w:hAnsi="Tahoma" w:cs="Tahoma"/>
          <w:noProof/>
        </w:rPr>
        <w:t>ou</w:t>
      </w:r>
    </w:p>
    <w:p w14:paraId="224F2265" w14:textId="77777777" w:rsidR="00C54658" w:rsidRPr="005341FD" w:rsidRDefault="00C54658" w:rsidP="00855C73">
      <w:pPr>
        <w:pStyle w:val="Bodytext20"/>
        <w:tabs>
          <w:tab w:val="left" w:pos="2792"/>
        </w:tabs>
        <w:spacing w:line="264" w:lineRule="exact"/>
        <w:ind w:left="426" w:right="35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IČO: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534242</w:t>
      </w:r>
    </w:p>
    <w:p w14:paraId="50E73629" w14:textId="77777777" w:rsidR="00C54658" w:rsidRPr="005341FD" w:rsidRDefault="00C54658" w:rsidP="00855C73">
      <w:pPr>
        <w:pStyle w:val="Bodytext20"/>
        <w:tabs>
          <w:tab w:val="left" w:pos="2792"/>
          <w:tab w:val="left" w:leader="dot" w:pos="5167"/>
        </w:tabs>
        <w:spacing w:line="264" w:lineRule="exact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bankovní spojení: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Komerční Banka, a.s.</w:t>
      </w:r>
    </w:p>
    <w:p w14:paraId="5115A8F2" w14:textId="77777777" w:rsidR="00C54658" w:rsidRPr="005341F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číslo účtu: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29034781/0100</w:t>
      </w:r>
    </w:p>
    <w:p w14:paraId="46FF34E3" w14:textId="77777777" w:rsidR="00C54658" w:rsidRPr="005341FD" w:rsidRDefault="00C54658" w:rsidP="000C68B6">
      <w:pPr>
        <w:pStyle w:val="Bodytext20"/>
        <w:tabs>
          <w:tab w:val="left" w:pos="2792"/>
          <w:tab w:val="left" w:leader="dot" w:pos="5167"/>
        </w:tabs>
        <w:spacing w:line="240" w:lineRule="auto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  <w:t>datová schránka: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n3ek6pv</w:t>
      </w:r>
    </w:p>
    <w:p w14:paraId="479CD4A9" w14:textId="77777777" w:rsidR="00C54658" w:rsidRPr="005341FD" w:rsidRDefault="00C54658" w:rsidP="00855C73">
      <w:pPr>
        <w:pStyle w:val="Bodytext50"/>
        <w:spacing w:after="280"/>
        <w:ind w:left="420"/>
        <w:rPr>
          <w:rFonts w:ascii="Tahoma" w:hAnsi="Tahoma" w:cs="Tahoma"/>
        </w:rPr>
      </w:pPr>
      <w:r w:rsidRPr="005341FD">
        <w:rPr>
          <w:rFonts w:ascii="Tahoma" w:hAnsi="Tahoma" w:cs="Tahoma"/>
        </w:rPr>
        <w:t>(dále jen „příjemce“, „poskytovatel zdravotní péče“)</w:t>
      </w:r>
    </w:p>
    <w:p w14:paraId="66973C52" w14:textId="77777777" w:rsidR="00C54658" w:rsidRPr="005341FD" w:rsidRDefault="00C54658" w:rsidP="00855C73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3E99F8CD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 smlouvy</w:t>
      </w:r>
    </w:p>
    <w:p w14:paraId="33EAADC2" w14:textId="77777777" w:rsidR="00D9380A" w:rsidRPr="00C724DD" w:rsidRDefault="00D9380A" w:rsidP="00D9380A">
      <w:pPr>
        <w:pStyle w:val="Bodytext20"/>
        <w:spacing w:line="240" w:lineRule="auto"/>
        <w:ind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Předmětem této smlouvy je vymezení služeb, které bude příjemce vykonávat z pověření Kraje v režimu závazku veřejné služby dle Rozhodnutí Komise č. 2012/21/EU ze dne 20. prosince 2011 o použití čl. 106 odst. 2 Smlouvy o fungování Evropské unie na státní podporu ve formě vyrovnávací platby za závazek veřejné služby udělené určitým podnikům pověřeným poskytováním služeb obecného hospodářského zájmu (dále jen „Rozhodnutí Komise č. 2012/21/EU“), stanovení vyrovnávací platby za výkon těchto služeb, jakožto i úprava otázek souvisejících.</w:t>
      </w:r>
    </w:p>
    <w:p w14:paraId="4D18CAC9" w14:textId="77777777" w:rsidR="00D9380A" w:rsidRPr="00C724DD" w:rsidRDefault="00D9380A" w:rsidP="00D9380A">
      <w:pPr>
        <w:pStyle w:val="Bodytext40"/>
        <w:shd w:val="clear" w:color="auto" w:fill="auto"/>
        <w:spacing w:after="268"/>
        <w:ind w:right="80" w:firstLine="0"/>
        <w:jc w:val="left"/>
        <w:rPr>
          <w:rFonts w:ascii="Tahoma" w:hAnsi="Tahoma" w:cs="Tahoma"/>
          <w:b w:val="0"/>
          <w:bCs w:val="0"/>
        </w:rPr>
      </w:pPr>
    </w:p>
    <w:p w14:paraId="4B285CA8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Pověření</w:t>
      </w:r>
    </w:p>
    <w:p w14:paraId="6677787D" w14:textId="77777777" w:rsidR="00D9380A" w:rsidRPr="00C724DD" w:rsidRDefault="00D9380A" w:rsidP="00D9380A">
      <w:pPr>
        <w:pStyle w:val="Bodytext20"/>
        <w:numPr>
          <w:ilvl w:val="0"/>
          <w:numId w:val="3"/>
        </w:numPr>
        <w:shd w:val="clear" w:color="auto" w:fill="auto"/>
        <w:tabs>
          <w:tab w:val="left" w:pos="347"/>
        </w:tabs>
        <w:spacing w:after="276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Kraj pověřuje příjemce výkonem služeb uvedených v Příloze č. 1, která je nedílnou součást této smlouvy. Služby uvedené v Příloze č. 1 budou vykonávány v režimu závazku veřejné služby. Jakoukoliv změnu činností, jejich rozšíření apod., musí příjemce s Krajem předem písemně projednat.</w:t>
      </w:r>
    </w:p>
    <w:p w14:paraId="10563CFD" w14:textId="5D2F6B7F" w:rsidR="00D9380A" w:rsidRPr="00C724DD" w:rsidRDefault="00D9380A" w:rsidP="00D9380A">
      <w:pPr>
        <w:pStyle w:val="Bodytext20"/>
        <w:numPr>
          <w:ilvl w:val="0"/>
          <w:numId w:val="3"/>
        </w:numPr>
        <w:shd w:val="clear" w:color="auto" w:fill="auto"/>
        <w:tabs>
          <w:tab w:val="left" w:pos="349"/>
        </w:tabs>
        <w:spacing w:line="264" w:lineRule="exact"/>
        <w:ind w:left="42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pověření přijímá a zavazuje se, že bude činnosti dle této smlouvy realizovat na svou vlastní zodpovědnost, v maximální možné kvalitě a v souladu s právními předpisy a platnými Zásadami vztahů orgánů kraje k příspěvkovým organizacím, které byly zřízeny krajem nebo byly na kraj převedeny zvláštním zákonem (dále jen „Zásady“), Metodickým pokynem č. </w:t>
      </w:r>
      <w:r w:rsidRPr="00C724DD">
        <w:t xml:space="preserve">MP </w:t>
      </w:r>
      <w:sdt>
        <w:sdtPr>
          <w:id w:val="401565867"/>
          <w:placeholder>
            <w:docPart w:val="B659D3B8CB364E5F8AA48590416DAA11"/>
          </w:placeholder>
        </w:sdtPr>
        <w:sdtEndPr/>
        <w:sdtContent>
          <w:r w:rsidRPr="00C724DD">
            <w:t>4/2021</w:t>
          </w:r>
        </w:sdtContent>
      </w:sdt>
      <w:r w:rsidR="00FF093B" w:rsidRPr="00FF093B">
        <w:rPr>
          <w:rFonts w:ascii="Tahoma" w:hAnsi="Tahoma" w:cs="Tahoma"/>
        </w:rPr>
        <w:t xml:space="preserve"> </w:t>
      </w:r>
      <w:r w:rsidR="00FF093B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 xml:space="preserve"> a podmínkami této smlouvy.</w:t>
      </w:r>
    </w:p>
    <w:p w14:paraId="576E66C3" w14:textId="77777777" w:rsidR="00D9380A" w:rsidRPr="00C724DD" w:rsidRDefault="00D9380A" w:rsidP="00D9380A">
      <w:pPr>
        <w:pStyle w:val="Bodytext20"/>
        <w:shd w:val="clear" w:color="auto" w:fill="auto"/>
        <w:tabs>
          <w:tab w:val="left" w:pos="349"/>
        </w:tabs>
        <w:spacing w:line="264" w:lineRule="exact"/>
        <w:ind w:left="420" w:firstLine="0"/>
        <w:rPr>
          <w:rFonts w:ascii="Tahoma" w:hAnsi="Tahoma" w:cs="Tahoma"/>
        </w:rPr>
      </w:pPr>
    </w:p>
    <w:p w14:paraId="4169312A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Doba trvání závazku, místo výkonu závazku</w:t>
      </w:r>
    </w:p>
    <w:p w14:paraId="7B8FE86E" w14:textId="77777777" w:rsidR="00D9380A" w:rsidRPr="00C724DD" w:rsidRDefault="00D9380A" w:rsidP="00D9380A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84" w:line="27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Závazek veřejné služby bude vykonáván od 01.01.2025 do 31.12.2034.</w:t>
      </w:r>
    </w:p>
    <w:p w14:paraId="5AD4AB70" w14:textId="77777777" w:rsidR="00D9380A" w:rsidRPr="00C724DD" w:rsidRDefault="00D9380A" w:rsidP="00D9380A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after="260" w:line="24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Závazek bude vykonáván s dopadem na území Kraje.</w:t>
      </w:r>
    </w:p>
    <w:p w14:paraId="2BC1BBAF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Vyrovnávací platba</w:t>
      </w:r>
    </w:p>
    <w:p w14:paraId="4249F3CD" w14:textId="77777777" w:rsidR="00D9380A" w:rsidRPr="00C724DD" w:rsidRDefault="00D9380A" w:rsidP="00D9380A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Za výkon služeb v režimu závazku veřejné služby může být příjemci poskytnut příspěvek formou vyrovnávací platby. Vyrovnávací platba může být poskytována formou příspěvku (závazných ukazatelů) z rozpočtu Kraje nebo dotace z jiných veřejných finančních zdrojů v souvislosti se zajišťováním služeb uvedených v Příloze č. 1 této smlouvy. Stanovené závazné ukazatele z rozpočtu Kraje a další právní akty příslušných orgánů týkající se vyrovnávací platby dle tohoto ustanovení (dále jen „právní akty“), budou obsahovat odkaz na tuto smlouvu. Záležitosti neupravené v právních aktech týkajících vyrovnávací platby ve vztahu k příjemci se budou řídit touto smlouvou.</w:t>
      </w:r>
    </w:p>
    <w:p w14:paraId="2A1AE766" w14:textId="77777777" w:rsidR="00D9380A" w:rsidRPr="00C724DD" w:rsidRDefault="00D9380A" w:rsidP="00D9380A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i příjemce berou na vědomí, že vyrovnávací platba je rovněž veřejnou podporou ve smyslu čl. 107 odst. 1 Smlouvy o fungování Evropské unie, která však naplňuje všechny podmínky Rozhodnutí Komise č. 2012/21/EU, a proto je vyňata z povinnosti ohlašování (notifikace) veřejné podpory před jejím poskytnutím.</w:t>
      </w:r>
    </w:p>
    <w:p w14:paraId="652C0B6B" w14:textId="77777777" w:rsidR="00D9380A" w:rsidRPr="00C724DD" w:rsidRDefault="00D9380A" w:rsidP="00D9380A">
      <w:pPr>
        <w:pStyle w:val="Bodytext20"/>
        <w:numPr>
          <w:ilvl w:val="0"/>
          <w:numId w:val="5"/>
        </w:numPr>
        <w:shd w:val="clear" w:color="auto" w:fill="auto"/>
        <w:tabs>
          <w:tab w:val="left" w:pos="334"/>
        </w:tabs>
        <w:spacing w:after="276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bere na vědomí, že Kraj je povinen průběžně ověřovat naplnění podmínek Rozhodnutí Komise č. 2012/21/EU a je srozuměn s tím, že v případě jejich nenaplnění bude Kraj postupovat podle příslušných předpisů pro oblast veřejné podpory. V takovém případě příjemce poskytne Kraji potřebnou součinnost.</w:t>
      </w:r>
    </w:p>
    <w:p w14:paraId="65BF0021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Výpočet vyrovnávací platby</w:t>
      </w:r>
    </w:p>
    <w:p w14:paraId="6B74E048" w14:textId="5AFDBDBF" w:rsidR="00D9380A" w:rsidRPr="00C724DD" w:rsidRDefault="00D9380A" w:rsidP="00D9380A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Výše vyrovnávací platby nepřesáhne výši čistých nákladů vynaložených při plnění služeb vymezených v Příloze č. 1 této smlouvy a bude vypočtena v souladu se Zásadami a Metodickým pokynem č. MP 4/2021</w:t>
      </w:r>
      <w:r w:rsidR="00275C3D">
        <w:rPr>
          <w:rFonts w:ascii="Tahoma" w:hAnsi="Tahoma" w:cs="Tahoma"/>
        </w:rPr>
        <w:t xml:space="preserve"> </w:t>
      </w:r>
      <w:r w:rsidR="00275C3D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 xml:space="preserve">. Čisté náklady budou vypočítány jako rozdíl mezi náklady, které příjemci prokazatelně vzniknou v souvislosti s výkonem služeb v režimu závazku veřejné služby a budou uznány Krajem a prokazatelnými výnosy z takových služeb. V případě, že příjemce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v souvislosti s výkonem služeb v režimu závazku veřejné služby jiné veřejné prostředky, a to v jakékoliv formě, může být o jejich výši financování ze strany Kraje sníženo. Tuto skutečnost je příjemce povinen Kraji písemně sdělit v souladu se Zásadami.</w:t>
      </w:r>
    </w:p>
    <w:p w14:paraId="7DCD1261" w14:textId="77777777" w:rsidR="00D9380A" w:rsidRPr="00C724DD" w:rsidRDefault="00D9380A" w:rsidP="00D9380A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Vymezení nákladů a výnosů dle této smlouvy je podrobněji upraveno v Zásadách.</w:t>
      </w:r>
    </w:p>
    <w:p w14:paraId="3F47068E" w14:textId="77777777" w:rsidR="00D9380A" w:rsidRPr="00C724DD" w:rsidRDefault="00D9380A" w:rsidP="00D9380A">
      <w:pPr>
        <w:pStyle w:val="Bodytext20"/>
        <w:numPr>
          <w:ilvl w:val="0"/>
          <w:numId w:val="6"/>
        </w:numPr>
        <w:shd w:val="clear" w:color="auto" w:fill="auto"/>
        <w:tabs>
          <w:tab w:val="left" w:pos="33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při plnění služeb vymezených v Příloze č. I této smlouvy účtovat dle obecných právních předpisů a Zásad. Příslušné náklady a výnosy musí být vyúčtovány, uhrazeny a promítnuty v účetnictví příjemce a doloženy Kraji.</w:t>
      </w:r>
    </w:p>
    <w:p w14:paraId="22D33E0B" w14:textId="77777777" w:rsidR="00D9380A" w:rsidRPr="00C724DD" w:rsidRDefault="00D9380A" w:rsidP="00D9380A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požadovat po příjemci zdůvodnění nákladů a výnosů vzniklých v souvislosti s výkonem služeb v režimu závazku veřejné služby. Je rovněž oprávněn předložené náklady a výnosy neuznat. Výnosy vzniklé v souvislosti s výkonem služeb v režimu závazku veřejné služby nesmí být ze strany příjemce bezdůvodně snižovány. Jakékoliv snížení je příjemce povinen dopředu s Krajem písemně projednat.</w:t>
      </w:r>
    </w:p>
    <w:p w14:paraId="1CFFF847" w14:textId="58EEE623" w:rsidR="00D9380A" w:rsidRPr="00C724DD" w:rsidRDefault="00D9380A" w:rsidP="00D9380A">
      <w:pPr>
        <w:pStyle w:val="Bodytext20"/>
        <w:numPr>
          <w:ilvl w:val="0"/>
          <w:numId w:val="6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budou prokazatelné a Krajem uznané náklady příjemce vzniklé v souvislosti s výkonem služeb v režimu závazku veřejné služby po odečtení Krajem uznaných výnosů z takových služeb nižší než poskytnutá výše vyrovnávací platby (dále jen „nadměrná vyrovnávací platba</w:t>
      </w:r>
      <w:r w:rsidRPr="00C724DD">
        <w:rPr>
          <w:rFonts w:ascii="Tahoma" w:hAnsi="Tahoma" w:cs="Tahoma"/>
          <w:vertAlign w:val="superscript"/>
        </w:rPr>
        <w:t>1</w:t>
      </w:r>
      <w:r w:rsidRPr="00C724DD">
        <w:rPr>
          <w:rFonts w:ascii="Tahoma" w:hAnsi="Tahoma" w:cs="Tahoma"/>
        </w:rPr>
        <w:t>'), je příjemce povinen tuto nadměrnou vyrovnávací platbu vrátit do rozpočtu Kraje ve lhůtě stanovené dle Zásad a Metodického pokynu MP 4/2021</w:t>
      </w:r>
      <w:r w:rsidR="00275C3D" w:rsidRPr="00275C3D">
        <w:rPr>
          <w:rFonts w:ascii="Tahoma" w:hAnsi="Tahoma" w:cs="Tahoma"/>
        </w:rPr>
        <w:t xml:space="preserve"> </w:t>
      </w:r>
      <w:r w:rsidR="00275C3D" w:rsidRPr="002D21A7">
        <w:rPr>
          <w:rFonts w:ascii="Tahoma" w:hAnsi="Tahoma" w:cs="Tahoma"/>
        </w:rPr>
        <w:t>v platném znění</w:t>
      </w:r>
      <w:r w:rsidRPr="00C724DD">
        <w:rPr>
          <w:rFonts w:ascii="Tahoma" w:hAnsi="Tahoma" w:cs="Tahoma"/>
        </w:rPr>
        <w:t>.</w:t>
      </w:r>
    </w:p>
    <w:p w14:paraId="22E46BD3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Další podmínky, práva a povinnosti</w:t>
      </w:r>
    </w:p>
    <w:p w14:paraId="300941B0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Pro výpočet výše vyrovnávací platby lze užít pouze náklady a výnosy vzniklé po dobu trvání závazku veřejné služby.</w:t>
      </w:r>
    </w:p>
    <w:p w14:paraId="6E29D414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jako veřejný zadavatel podle platného a účinného zákona o veřejných zakázkách je povinen postupovat při zadávání veřejných zakázek dle tohoto zákona</w:t>
      </w:r>
    </w:p>
    <w:p w14:paraId="55B9E69F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Pokud příjemce vykonává i jiné činnosti či služby než vymezené v Příloze č. 1 této smlouvy, zajistí ve svém účetnictví nebo daňové evidenci, v souladu s obecně platnými předpisy, zejm. zákonem č. 563/1991 Sb., o účetnictví, ve znění pozdějších předpisů, oddělené vykazování nákladů a výnosů vzniklých v souvislosti s výkonem služeb vymezených v Příloze č. 1 této smlouvy.</w:t>
      </w:r>
    </w:p>
    <w:p w14:paraId="57D13634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průběžně informovat Kraj v souladu se Zásadami o všech změnách, které by mohly při vymáhání zadržených nebo neoprávněně použitých prostředků vyrovnávací platby jeho pozici věřitele nebo dobytnost jeho pohledávky ztížit.</w:t>
      </w:r>
    </w:p>
    <w:p w14:paraId="10195DEF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Kraj neprodleně, nejpozději však do 15 kalendářních dnů ode dne vzniku události, písemně informovat o všech změnách identifikačních údajů příjemce. Z důvodu změn identifikačních údajů smluvních stran není nutné uzavírat ke smlouvě dodatek.</w:t>
      </w:r>
    </w:p>
    <w:p w14:paraId="383542A9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Po ukončení kalendářního roku </w:t>
      </w:r>
      <w:proofErr w:type="gramStart"/>
      <w:r w:rsidRPr="00C724DD">
        <w:rPr>
          <w:rFonts w:ascii="Tahoma" w:hAnsi="Tahoma" w:cs="Tahoma"/>
        </w:rPr>
        <w:t>předloží</w:t>
      </w:r>
      <w:proofErr w:type="gramEnd"/>
      <w:r w:rsidRPr="00C724DD">
        <w:rPr>
          <w:rFonts w:ascii="Tahoma" w:hAnsi="Tahoma" w:cs="Tahoma"/>
        </w:rPr>
        <w:t xml:space="preserve"> příjemce Kraji zprávu o realizaci služeb vymezených v Příloze č. 1 této smlouvy, a to v termínu a za podmínek stanovených touto smlouvou a Zásadami.</w:t>
      </w:r>
    </w:p>
    <w:p w14:paraId="6E4B2702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 dobu deseti let od ukončení závazku veřejné služby u služeb vymezených v Příloze č. 1 této smlouvy archivovat následující podkladové materiály:</w:t>
      </w:r>
    </w:p>
    <w:p w14:paraId="54245ADB" w14:textId="77777777" w:rsidR="00D9380A" w:rsidRPr="00C724DD" w:rsidRDefault="00D9380A" w:rsidP="00D9380A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tuto smlouvu,</w:t>
      </w:r>
    </w:p>
    <w:p w14:paraId="11BE6964" w14:textId="77777777" w:rsidR="00D9380A" w:rsidRPr="00C724DD" w:rsidRDefault="00D9380A" w:rsidP="00D9380A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právní akty, na jejichž základě je vyrovnávací platba poskytnuta,</w:t>
      </w:r>
    </w:p>
    <w:p w14:paraId="50DDCF09" w14:textId="77777777" w:rsidR="00D9380A" w:rsidRPr="00C724DD" w:rsidRDefault="00D9380A" w:rsidP="00D9380A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originály dokladů, prokazujících čerpání vyrovnávací platby,</w:t>
      </w:r>
    </w:p>
    <w:p w14:paraId="685C5E77" w14:textId="77777777" w:rsidR="00D9380A" w:rsidRPr="00C724DD" w:rsidRDefault="00D9380A" w:rsidP="00D9380A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line="264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dokumentaci o zadání veřejné zakázky, je-li zadávána,</w:t>
      </w:r>
    </w:p>
    <w:p w14:paraId="3AA0DF09" w14:textId="77777777" w:rsidR="00D9380A" w:rsidRPr="00C724DD" w:rsidRDefault="00D9380A" w:rsidP="00D9380A">
      <w:pPr>
        <w:pStyle w:val="Bodytext20"/>
        <w:numPr>
          <w:ilvl w:val="0"/>
          <w:numId w:val="8"/>
        </w:numPr>
        <w:shd w:val="clear" w:color="auto" w:fill="auto"/>
        <w:tabs>
          <w:tab w:val="left" w:pos="726"/>
        </w:tabs>
        <w:spacing w:after="240" w:line="240" w:lineRule="exact"/>
        <w:ind w:left="380" w:firstLine="0"/>
        <w:jc w:val="left"/>
        <w:rPr>
          <w:rFonts w:ascii="Tahoma" w:hAnsi="Tahoma" w:cs="Tahoma"/>
        </w:rPr>
      </w:pPr>
      <w:r w:rsidRPr="00C724DD">
        <w:rPr>
          <w:rFonts w:ascii="Tahoma" w:hAnsi="Tahoma" w:cs="Tahoma"/>
        </w:rPr>
        <w:t>každoroční zprávy o realizaci služeb vymezených v Příloze č. 1 této smlouvy.</w:t>
      </w:r>
    </w:p>
    <w:p w14:paraId="48993403" w14:textId="77777777" w:rsidR="00D9380A" w:rsidRPr="00C724DD" w:rsidRDefault="00D9380A" w:rsidP="00D9380A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Příjemce je povinen poskytnout Kraji součinnost při plnění všech povinností vyplývajících z pravidel pro oblast veřejné podpory vůči Úřadu pro ochranu hospodářské soutěže a Evropské komisi.</w:t>
      </w:r>
    </w:p>
    <w:p w14:paraId="386D2577" w14:textId="77777777" w:rsidR="00D9380A" w:rsidRPr="00C724DD" w:rsidRDefault="00D9380A" w:rsidP="00D9380A">
      <w:pPr>
        <w:pStyle w:val="Bodytext20"/>
        <w:shd w:val="clear" w:color="auto" w:fill="auto"/>
        <w:tabs>
          <w:tab w:val="left" w:pos="344"/>
        </w:tabs>
        <w:spacing w:after="276" w:line="264" w:lineRule="exact"/>
        <w:ind w:left="380" w:firstLine="0"/>
        <w:rPr>
          <w:rFonts w:ascii="Tahoma" w:hAnsi="Tahoma" w:cs="Tahoma"/>
        </w:rPr>
      </w:pPr>
    </w:p>
    <w:p w14:paraId="4E431FEB" w14:textId="77777777" w:rsidR="00D9380A" w:rsidRPr="00C724DD" w:rsidRDefault="00D9380A" w:rsidP="00D9380A">
      <w:pPr>
        <w:pStyle w:val="Bodytext40"/>
        <w:numPr>
          <w:ilvl w:val="0"/>
          <w:numId w:val="2"/>
        </w:numPr>
        <w:shd w:val="clear" w:color="auto" w:fill="auto"/>
        <w:spacing w:after="268"/>
        <w:ind w:right="80"/>
        <w:rPr>
          <w:rFonts w:ascii="Tahoma" w:hAnsi="Tahoma" w:cs="Tahoma"/>
        </w:rPr>
      </w:pPr>
      <w:r w:rsidRPr="00C724DD">
        <w:rPr>
          <w:rFonts w:ascii="Tahoma" w:hAnsi="Tahoma" w:cs="Tahoma"/>
        </w:rPr>
        <w:t>Kontrola</w:t>
      </w:r>
    </w:p>
    <w:p w14:paraId="002C6479" w14:textId="77777777" w:rsidR="00D9380A" w:rsidRPr="00C724DD" w:rsidRDefault="00D9380A" w:rsidP="00D9380A">
      <w:pPr>
        <w:pStyle w:val="Bodytext20"/>
        <w:shd w:val="clear" w:color="auto" w:fill="auto"/>
        <w:tabs>
          <w:tab w:val="left" w:pos="380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1.</w:t>
      </w:r>
      <w:r w:rsidRPr="00C724DD">
        <w:rPr>
          <w:rFonts w:ascii="Tahoma" w:hAnsi="Tahoma" w:cs="Tahoma"/>
        </w:rPr>
        <w:tab/>
        <w:t>Příslušné orgány Kraje jsou oprávněny v souladu se zvláštním právním předpisem (zákon č. 320/2001 Sb., o finanční kontrole ve veřejné správě a o změně některých zákonů, ve znění pozdějších předpisů, zákon č. 129/2000Sb., o krajích (krajské zřízení), ve znění pozdějších předpisů, zákon č. 250/2000 Sb., o rozpočtových pravidlech územních rozpočtů, ve znění pozdějších předpisů, dále jen „zákon č. 250/2000 Sb.“), kdykoli kontrolovat dodržení podmínek, za kterých byla vyrovnávací platba z rozpočtu Kraje nebo z jiných veřejných finančních zdrojů poskytnuta.</w:t>
      </w:r>
    </w:p>
    <w:p w14:paraId="4217313A" w14:textId="77777777" w:rsidR="00D9380A" w:rsidRPr="00C724DD" w:rsidRDefault="00D9380A" w:rsidP="00D9380A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2.</w:t>
      </w:r>
      <w:r w:rsidRPr="00C724DD">
        <w:rPr>
          <w:rFonts w:ascii="Tahoma" w:hAnsi="Tahoma" w:cs="Tahoma"/>
        </w:rPr>
        <w:tab/>
        <w:t>Příjemce je povinen poskytnout součinnost při výkonu kontrolní činnosti dle odst. 1 tohoto článku, zejména předložit kontrolním orgánům Kraje kdykoliv k nahlédnutí originály všech účetních dokladů souvisejících s vyrovnávací platbou.</w:t>
      </w:r>
    </w:p>
    <w:p w14:paraId="0EC84B8D" w14:textId="77777777" w:rsidR="00D9380A" w:rsidRPr="00C724DD" w:rsidRDefault="00D9380A" w:rsidP="00D9380A">
      <w:pPr>
        <w:pStyle w:val="Bodytext20"/>
        <w:shd w:val="clear" w:color="auto" w:fill="auto"/>
        <w:tabs>
          <w:tab w:val="left" w:pos="344"/>
        </w:tabs>
        <w:spacing w:after="260" w:line="264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3.</w:t>
      </w:r>
      <w:r w:rsidRPr="00C724DD">
        <w:rPr>
          <w:rFonts w:ascii="Tahoma" w:hAnsi="Tahoma" w:cs="Tahoma"/>
        </w:rPr>
        <w:tab/>
        <w:t xml:space="preserve">Příjemce je povinen umožnit příslušným orgánům Kraje provést kontrolu, jak v průběhu, </w:t>
      </w:r>
      <w:r w:rsidRPr="00C724DD">
        <w:rPr>
          <w:rFonts w:ascii="Tahoma" w:hAnsi="Tahoma" w:cs="Tahoma"/>
        </w:rPr>
        <w:lastRenderedPageBreak/>
        <w:t>tak i po ukončení realizace činností dle této smlouvy, a to po dobu dle čl. VII odst. 7 této smlouvy.</w:t>
      </w:r>
    </w:p>
    <w:p w14:paraId="35071B0B" w14:textId="77777777" w:rsidR="00D9380A" w:rsidRPr="00C724DD" w:rsidRDefault="00D9380A" w:rsidP="00D9380A">
      <w:pPr>
        <w:pStyle w:val="Bodytext40"/>
        <w:shd w:val="clear" w:color="auto" w:fill="auto"/>
        <w:spacing w:after="268"/>
        <w:ind w:left="1416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IX. Porušení rozpočtové kázně</w:t>
      </w:r>
    </w:p>
    <w:p w14:paraId="6CA53F06" w14:textId="77777777" w:rsidR="00D9380A" w:rsidRPr="00C724DD" w:rsidRDefault="00D9380A" w:rsidP="00D9380A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Neoprávněné použití vyrovnávací platby nebo zadržení prostředků poskytnutých z rozpočtu Kraje je porušením rozpočtové kázně podle § 22 zákona č. 250/2000 Sb. V případě porušení rozpočtové kázně bude postupováno dle zákona č. 250/2000 Sb. a v souladu se Zásadami.</w:t>
      </w:r>
    </w:p>
    <w:p w14:paraId="1A6FB4B4" w14:textId="77777777" w:rsidR="00D9380A" w:rsidRPr="00C724DD" w:rsidRDefault="00D9380A" w:rsidP="00D9380A">
      <w:pPr>
        <w:pStyle w:val="Bodytext20"/>
        <w:numPr>
          <w:ilvl w:val="0"/>
          <w:numId w:val="9"/>
        </w:numPr>
        <w:shd w:val="clear" w:color="auto" w:fill="auto"/>
        <w:tabs>
          <w:tab w:val="left" w:pos="333"/>
        </w:tabs>
        <w:spacing w:after="240" w:line="240" w:lineRule="exact"/>
        <w:ind w:left="380" w:hanging="380"/>
        <w:rPr>
          <w:rFonts w:ascii="Tahoma" w:hAnsi="Tahoma" w:cs="Tahoma"/>
        </w:rPr>
      </w:pPr>
      <w:r w:rsidRPr="00C724DD">
        <w:rPr>
          <w:rFonts w:ascii="Tahoma" w:hAnsi="Tahoma" w:cs="Tahoma"/>
        </w:rPr>
        <w:t>Kraj je oprávněn při zjištění porušení podmínek této smlouvy ze strany příjemce pozastavit uvolňování finančních prostředků. O pozastavení poskytování finančních prostředků Kraj písemně informuje příjemce.</w:t>
      </w:r>
    </w:p>
    <w:p w14:paraId="4A742A0B" w14:textId="77777777" w:rsidR="00D9380A" w:rsidRPr="00C724DD" w:rsidRDefault="00D9380A" w:rsidP="00D9380A">
      <w:pPr>
        <w:pStyle w:val="Bodytext20"/>
        <w:shd w:val="clear" w:color="auto" w:fill="auto"/>
        <w:tabs>
          <w:tab w:val="left" w:pos="333"/>
        </w:tabs>
        <w:spacing w:line="264" w:lineRule="exact"/>
        <w:ind w:left="380" w:firstLine="0"/>
        <w:rPr>
          <w:rFonts w:ascii="Tahoma" w:hAnsi="Tahoma" w:cs="Tahoma"/>
        </w:rPr>
      </w:pPr>
    </w:p>
    <w:p w14:paraId="657DBADD" w14:textId="77777777" w:rsidR="00D9380A" w:rsidRPr="00C724DD" w:rsidRDefault="00D9380A" w:rsidP="00D9380A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>X. Ukončení smlouvy, výpověď</w:t>
      </w:r>
    </w:p>
    <w:p w14:paraId="2376AC72" w14:textId="77777777" w:rsidR="00D9380A" w:rsidRPr="00C724DD" w:rsidRDefault="00D9380A" w:rsidP="00D9380A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>Závazkový vztah založený touto smlouvou lze ukončit na základě písemné dohody smluvních stran.</w:t>
      </w:r>
    </w:p>
    <w:p w14:paraId="1AC24411" w14:textId="77777777" w:rsidR="00D9380A" w:rsidRPr="00C724DD" w:rsidRDefault="00D9380A" w:rsidP="00D9380A">
      <w:pPr>
        <w:pStyle w:val="Bodytext20"/>
        <w:numPr>
          <w:ilvl w:val="0"/>
          <w:numId w:val="13"/>
        </w:numPr>
        <w:shd w:val="clear" w:color="auto" w:fill="auto"/>
        <w:tabs>
          <w:tab w:val="left" w:pos="426"/>
        </w:tabs>
        <w:spacing w:after="240" w:line="240" w:lineRule="exact"/>
        <w:ind w:left="425" w:hanging="425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Závazkový vztah založený touto smlouvou lze ukončit také výpovědí ze strany Kraje s výpovědní dobou 30 dnů od doručení výpovědi příjemci v případě, že příjemce </w:t>
      </w:r>
      <w:proofErr w:type="gramStart"/>
      <w:r w:rsidRPr="00C724DD">
        <w:rPr>
          <w:rFonts w:ascii="Tahoma" w:hAnsi="Tahoma" w:cs="Tahoma"/>
        </w:rPr>
        <w:t>poruší</w:t>
      </w:r>
      <w:proofErr w:type="gramEnd"/>
      <w:r w:rsidRPr="00C724DD">
        <w:rPr>
          <w:rFonts w:ascii="Tahoma" w:hAnsi="Tahoma" w:cs="Tahoma"/>
        </w:rPr>
        <w:t xml:space="preserve"> jakoukoliv povinnost z této smlouvy.</w:t>
      </w:r>
    </w:p>
    <w:p w14:paraId="29BA11ED" w14:textId="77777777" w:rsidR="00D9380A" w:rsidRPr="00C724DD" w:rsidRDefault="00D9380A" w:rsidP="00D9380A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624E6B17" w14:textId="77777777" w:rsidR="00D9380A" w:rsidRPr="00C724DD" w:rsidRDefault="00D9380A" w:rsidP="00D9380A">
      <w:pPr>
        <w:pStyle w:val="Bodytext20"/>
        <w:shd w:val="clear" w:color="auto" w:fill="auto"/>
        <w:tabs>
          <w:tab w:val="left" w:pos="426"/>
        </w:tabs>
        <w:spacing w:line="264" w:lineRule="exact"/>
        <w:ind w:firstLine="0"/>
        <w:rPr>
          <w:rFonts w:ascii="Tahoma" w:hAnsi="Tahoma" w:cs="Tahoma"/>
        </w:rPr>
      </w:pPr>
    </w:p>
    <w:p w14:paraId="756F41D2" w14:textId="77777777" w:rsidR="00D9380A" w:rsidRPr="00C724DD" w:rsidRDefault="00D9380A" w:rsidP="00D9380A">
      <w:pPr>
        <w:pStyle w:val="Bodytext40"/>
        <w:shd w:val="clear" w:color="auto" w:fill="auto"/>
        <w:spacing w:after="268"/>
        <w:ind w:left="360" w:right="80" w:firstLine="0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XI. Závěrečná ustanovení </w:t>
      </w:r>
    </w:p>
    <w:p w14:paraId="483D07C8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Jakékoli změny této smlouvy lze provádět pouze formou písemných postupně číslovaných dodatků na základě dohody obou smluvních stran.</w:t>
      </w:r>
    </w:p>
    <w:p w14:paraId="68604C1C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Vztahy touto smlouvou neupravené se řídí obecně závaznými právními předpisy, právními akty a Zásadami. </w:t>
      </w:r>
    </w:p>
    <w:p w14:paraId="5154C0D0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 xml:space="preserve">Je-li tato smlouva uzavírána v listinné podobě, vyhotovuje se ve třech stejnopisech s platností originálu, z nichž dva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Kraj a jeden příjemce. Je-li tato smlouva uzavírána elektronicky, </w:t>
      </w:r>
      <w:proofErr w:type="gramStart"/>
      <w:r w:rsidRPr="00C724DD">
        <w:rPr>
          <w:rFonts w:ascii="Tahoma" w:hAnsi="Tahoma" w:cs="Tahoma"/>
        </w:rPr>
        <w:t>obdrží</w:t>
      </w:r>
      <w:proofErr w:type="gramEnd"/>
      <w:r w:rsidRPr="00C724DD">
        <w:rPr>
          <w:rFonts w:ascii="Tahoma" w:hAnsi="Tahoma" w:cs="Tahoma"/>
        </w:rPr>
        <w:t xml:space="preserve"> obě strany její elektronický originál opatřený uznávanými elektronickými podpisy.</w:t>
      </w:r>
    </w:p>
    <w:p w14:paraId="3B75C1F5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Nedílnou součástí smlouvy je Příloha č. 1: Podrobný popis činností příjemce, které budou realizovány v režimu závazku veřejné služby.</w:t>
      </w:r>
    </w:p>
    <w:p w14:paraId="2F9E980A" w14:textId="77777777" w:rsidR="00D9380A" w:rsidRPr="00C724DD" w:rsidRDefault="00D9380A" w:rsidP="00D9380A">
      <w:pPr>
        <w:pStyle w:val="Odstavecseseznamem"/>
        <w:numPr>
          <w:ilvl w:val="0"/>
          <w:numId w:val="11"/>
        </w:numPr>
        <w:tabs>
          <w:tab w:val="left" w:pos="333"/>
        </w:tabs>
        <w:spacing w:after="240" w:line="260" w:lineRule="exact"/>
        <w:ind w:left="380" w:hanging="380"/>
        <w:contextualSpacing w:val="0"/>
        <w:jc w:val="both"/>
        <w:rPr>
          <w:rFonts w:ascii="Tahoma" w:hAnsi="Tahoma" w:cs="Tahoma"/>
        </w:rPr>
      </w:pPr>
      <w:r w:rsidRPr="00C724DD">
        <w:rPr>
          <w:rFonts w:ascii="Tahoma" w:hAnsi="Tahoma" w:cs="Tahoma"/>
        </w:rPr>
        <w:t>Tato smlouva nabývá platnosti a účinnosti dnem, kdy vyjádření souhlasu s obsahem návrhu dojde druhé smluvní straně.</w:t>
      </w:r>
    </w:p>
    <w:p w14:paraId="723B8EC6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Osobní údaje obsažené v této smlouvě budou Moravskoslezským krajem zpracovávány pouze pro účely plnění práv a povinností vyplývajících z této smlouvy; k jiným účelům nebudou tyto osobní údaje Moravskoslezským krajem použity. Moravskoslezský kraj při zpracovávání osobních údajů dodržuje platné právní předpisy. Podrobné informace o ochraně osobních údajů jsou uvedeny na oficiálních webových stránkách Moravskoslezského kraje www.msk.cz.</w:t>
      </w:r>
    </w:p>
    <w:p w14:paraId="71E12548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Smluvní strany shodně prohlašují, že si smlouvu před jejím podpisem přečetly, že byla uzavřena po vzájemném projednání podle jejich pravé a svobodné vůle, určitě, vážně a srozumitelně, a že se dohodly o celém jejím obsahu, což stvrzují svými podpisy.</w:t>
      </w:r>
    </w:p>
    <w:p w14:paraId="656035F6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lastRenderedPageBreak/>
        <w:t>Příjemce bere na vědomí a výslovně souhlasí s tím, že smlouva včetně případných dodatků bude zveřejněna na oficiálních webových stránkách Moravskoslezského kraje. Smlouva bude zveřejněna po anonymizaci provedené v souladu s předpisy na ochranu osobních údajů</w:t>
      </w:r>
    </w:p>
    <w:p w14:paraId="3703137B" w14:textId="7777777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Doložka platnosti právního jednání dle § 23 zákona č. 129/2000 Sb., o krajích (krajské zřízení), ve znění pozdějších předpisů.</w:t>
      </w:r>
    </w:p>
    <w:p w14:paraId="0C0F2BDB" w14:textId="22602A57" w:rsidR="00D9380A" w:rsidRPr="00C724DD" w:rsidRDefault="00D9380A" w:rsidP="00D9380A">
      <w:pPr>
        <w:pStyle w:val="Bodytext20"/>
        <w:numPr>
          <w:ilvl w:val="0"/>
          <w:numId w:val="11"/>
        </w:numPr>
        <w:shd w:val="clear" w:color="auto" w:fill="auto"/>
        <w:tabs>
          <w:tab w:val="left" w:pos="567"/>
        </w:tabs>
        <w:spacing w:after="240" w:line="260" w:lineRule="exact"/>
        <w:ind w:left="426" w:hanging="426"/>
        <w:rPr>
          <w:rFonts w:ascii="Tahoma" w:hAnsi="Tahoma" w:cs="Tahoma"/>
        </w:rPr>
      </w:pPr>
      <w:r w:rsidRPr="00C724DD">
        <w:rPr>
          <w:rFonts w:ascii="Tahoma" w:hAnsi="Tahoma" w:cs="Tahoma"/>
        </w:rPr>
        <w:t>O pověření poskytováním služeb obecného hospodářského zájmu a uzavření této smlouvy rozhodlo zastupitelstvo kraje svým usnesením č.</w:t>
      </w:r>
      <w:proofErr w:type="gramStart"/>
      <w:r w:rsidRPr="00C724DD">
        <w:rPr>
          <w:rFonts w:ascii="Tahoma" w:hAnsi="Tahoma" w:cs="Tahoma"/>
        </w:rPr>
        <w:t> ..</w:t>
      </w:r>
      <w:proofErr w:type="gramEnd"/>
      <w:r w:rsidRPr="00C724DD">
        <w:rPr>
          <w:rFonts w:ascii="Tahoma" w:hAnsi="Tahoma" w:cs="Tahoma"/>
        </w:rPr>
        <w:t>/….. ze dne …</w:t>
      </w:r>
      <w:proofErr w:type="gramStart"/>
      <w:r w:rsidRPr="00C724DD">
        <w:rPr>
          <w:rFonts w:ascii="Tahoma" w:hAnsi="Tahoma" w:cs="Tahoma"/>
        </w:rPr>
        <w:t xml:space="preserve"> ....</w:t>
      </w:r>
      <w:proofErr w:type="gramEnd"/>
      <w:r w:rsidRPr="00C724DD">
        <w:rPr>
          <w:rFonts w:ascii="Tahoma" w:hAnsi="Tahoma" w:cs="Tahoma"/>
        </w:rPr>
        <w:t>2024</w:t>
      </w:r>
      <w:r w:rsidR="00937CB0">
        <w:rPr>
          <w:rFonts w:ascii="Tahoma" w:hAnsi="Tahoma" w:cs="Tahoma"/>
        </w:rPr>
        <w:t>.</w:t>
      </w:r>
    </w:p>
    <w:p w14:paraId="48872439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3858776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34AA6ACC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08CFDF0B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……..……………………………..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  <w:t>……………………………..</w:t>
      </w:r>
    </w:p>
    <w:p w14:paraId="29AC4EB0" w14:textId="0A0838C9" w:rsidR="00C54658" w:rsidRPr="005341FD" w:rsidRDefault="00C54658" w:rsidP="00DD2091">
      <w:pPr>
        <w:pStyle w:val="Bodytext20"/>
        <w:tabs>
          <w:tab w:val="left" w:pos="0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za Moravskoslezský kraj</w:t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DD2091" w:rsidRPr="005341FD">
        <w:rPr>
          <w:rFonts w:ascii="Tahoma" w:hAnsi="Tahoma" w:cs="Tahoma"/>
        </w:rPr>
        <w:tab/>
      </w:r>
      <w:r w:rsidR="00DD2091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 xml:space="preserve">za </w:t>
      </w:r>
      <w:r w:rsidRPr="005341FD">
        <w:rPr>
          <w:rFonts w:ascii="Tahoma" w:hAnsi="Tahoma" w:cs="Tahoma"/>
          <w:noProof/>
        </w:rPr>
        <w:t>Nemocnic</w:t>
      </w:r>
      <w:r w:rsidR="00F80874" w:rsidRPr="005341FD">
        <w:rPr>
          <w:rFonts w:ascii="Tahoma" w:hAnsi="Tahoma" w:cs="Tahoma"/>
          <w:noProof/>
        </w:rPr>
        <w:t>i</w:t>
      </w:r>
      <w:r w:rsidRPr="005341FD">
        <w:rPr>
          <w:rFonts w:ascii="Tahoma" w:hAnsi="Tahoma" w:cs="Tahoma"/>
          <w:noProof/>
        </w:rPr>
        <w:t xml:space="preserve"> Třinec, příspěvková </w:t>
      </w:r>
      <w:r w:rsidR="00DD2091" w:rsidRPr="005341FD">
        <w:rPr>
          <w:rFonts w:ascii="Tahoma" w:hAnsi="Tahoma" w:cs="Tahoma"/>
        </w:rPr>
        <w:t>MUDr. Martin Gebauer, MHA, LL.M.</w:t>
      </w:r>
      <w:r w:rsidR="00DD2091" w:rsidRPr="005341FD">
        <w:rPr>
          <w:rFonts w:ascii="Tahoma" w:hAnsi="Tahoma" w:cs="Tahoma"/>
        </w:rPr>
        <w:tab/>
      </w:r>
      <w:r w:rsidR="00DD2091" w:rsidRPr="005341FD">
        <w:rPr>
          <w:rFonts w:ascii="Tahoma" w:hAnsi="Tahoma" w:cs="Tahoma"/>
        </w:rPr>
        <w:tab/>
      </w:r>
      <w:r w:rsidR="00DD2091" w:rsidRPr="005341FD">
        <w:rPr>
          <w:rFonts w:ascii="Tahoma" w:hAnsi="Tahoma" w:cs="Tahoma"/>
        </w:rPr>
        <w:tab/>
      </w:r>
      <w:r w:rsidR="00DD2091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  <w:noProof/>
        </w:rPr>
        <w:t>organizace</w:t>
      </w:r>
    </w:p>
    <w:p w14:paraId="5253776D" w14:textId="000098F1" w:rsidR="00C54658" w:rsidRPr="005341FD" w:rsidRDefault="00DD2091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náměstek hejtmana kraje</w:t>
      </w:r>
      <w:r w:rsidR="00C54658" w:rsidRPr="005341FD">
        <w:rPr>
          <w:rFonts w:ascii="Tahoma" w:hAnsi="Tahoma" w:cs="Tahoma"/>
        </w:rPr>
        <w:tab/>
      </w:r>
      <w:r w:rsidR="00C54658" w:rsidRPr="005341FD">
        <w:rPr>
          <w:rFonts w:ascii="Tahoma" w:hAnsi="Tahoma" w:cs="Tahoma"/>
        </w:rPr>
        <w:tab/>
      </w:r>
      <w:r w:rsidR="00C54658" w:rsidRPr="005341FD">
        <w:rPr>
          <w:rFonts w:ascii="Tahoma" w:hAnsi="Tahoma" w:cs="Tahoma"/>
        </w:rPr>
        <w:tab/>
      </w:r>
      <w:r w:rsidR="00C54658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C54658" w:rsidRPr="005341FD">
        <w:rPr>
          <w:rFonts w:ascii="Tahoma" w:hAnsi="Tahoma" w:cs="Tahoma"/>
          <w:noProof/>
        </w:rPr>
        <w:t xml:space="preserve">Ing. </w:t>
      </w:r>
      <w:r w:rsidR="005D2E23" w:rsidRPr="005341FD">
        <w:rPr>
          <w:rFonts w:ascii="Tahoma" w:hAnsi="Tahoma" w:cs="Tahoma"/>
          <w:noProof/>
        </w:rPr>
        <w:t> </w:t>
      </w:r>
      <w:r w:rsidR="00D9380A">
        <w:rPr>
          <w:rFonts w:ascii="Tahoma" w:hAnsi="Tahoma" w:cs="Tahoma"/>
          <w:noProof/>
        </w:rPr>
        <w:t>J</w:t>
      </w:r>
      <w:r w:rsidR="00C54658" w:rsidRPr="005341FD">
        <w:rPr>
          <w:rFonts w:ascii="Tahoma" w:hAnsi="Tahoma" w:cs="Tahoma"/>
          <w:noProof/>
        </w:rPr>
        <w:t>iří Veverka</w:t>
      </w:r>
    </w:p>
    <w:p w14:paraId="671960FE" w14:textId="0C7545AD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ab/>
      </w:r>
      <w:r w:rsidR="00F80874" w:rsidRPr="005341FD">
        <w:rPr>
          <w:rFonts w:ascii="Tahoma" w:hAnsi="Tahoma" w:cs="Tahoma"/>
        </w:rPr>
        <w:tab/>
      </w:r>
      <w:r w:rsidR="00F80874" w:rsidRPr="005341FD">
        <w:rPr>
          <w:rFonts w:ascii="Tahoma" w:hAnsi="Tahoma" w:cs="Tahoma"/>
        </w:rPr>
        <w:tab/>
      </w:r>
      <w:r w:rsidR="00F80874" w:rsidRPr="005341FD">
        <w:rPr>
          <w:rFonts w:ascii="Tahoma" w:hAnsi="Tahoma" w:cs="Tahoma"/>
        </w:rPr>
        <w:tab/>
      </w:r>
      <w:r w:rsidR="00F80874" w:rsidRPr="005341FD">
        <w:rPr>
          <w:rFonts w:ascii="Tahoma" w:hAnsi="Tahoma" w:cs="Tahoma"/>
        </w:rPr>
        <w:tab/>
      </w:r>
      <w:r w:rsidRPr="005341FD">
        <w:rPr>
          <w:rFonts w:ascii="Tahoma" w:hAnsi="Tahoma" w:cs="Tahoma"/>
        </w:rPr>
        <w:t>ředitel</w:t>
      </w:r>
    </w:p>
    <w:p w14:paraId="53AAECA7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5F45B096" w14:textId="77777777" w:rsidR="00C54658" w:rsidRPr="005341FD" w:rsidRDefault="00C54658" w:rsidP="006611E1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  <w:r w:rsidRPr="005341FD">
        <w:rPr>
          <w:rFonts w:ascii="Tahoma" w:hAnsi="Tahoma" w:cs="Tahoma"/>
        </w:rPr>
        <w:t>Tuto smlouvu je na základě pověření uděleného se souhlasem rady kraje oprávněn podepsat náměstek hejtmana kraje. V případě nepřítomnosti náměstka hejtmana kraje podepisuje smlouvu hejtman kraje, případně jeho zástupce v pořadí určeném usnesením zastupitelstva kraje č. 1/10 ze dne 05.11.2020, ve znění usnesení zastupitelstva kraje č. 12/1193 ze dne 08.06.2023.</w:t>
      </w:r>
    </w:p>
    <w:p w14:paraId="0F94563E" w14:textId="77777777" w:rsidR="00C54658" w:rsidRPr="005341FD" w:rsidRDefault="00C54658">
      <w:pPr>
        <w:rPr>
          <w:rFonts w:ascii="Tahoma" w:hAnsi="Tahoma" w:cs="Tahoma"/>
        </w:rPr>
      </w:pPr>
      <w:r w:rsidRPr="005341FD">
        <w:rPr>
          <w:rFonts w:ascii="Tahoma" w:hAnsi="Tahoma" w:cs="Tahoma"/>
        </w:rPr>
        <w:br w:type="page"/>
      </w:r>
    </w:p>
    <w:p w14:paraId="48BD43A4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lastRenderedPageBreak/>
        <w:t>Příloha č. 1:</w:t>
      </w:r>
    </w:p>
    <w:p w14:paraId="1FD8D07C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jc w:val="center"/>
        <w:rPr>
          <w:rFonts w:ascii="Tahoma" w:hAnsi="Tahoma" w:cs="Tahoma"/>
          <w:b/>
          <w:bCs/>
          <w:sz w:val="24"/>
          <w:szCs w:val="24"/>
        </w:rPr>
      </w:pPr>
      <w:r w:rsidRPr="005341FD">
        <w:rPr>
          <w:rFonts w:ascii="Tahoma" w:hAnsi="Tahoma" w:cs="Tahoma"/>
          <w:b/>
          <w:bCs/>
          <w:sz w:val="24"/>
          <w:szCs w:val="24"/>
        </w:rPr>
        <w:t>Podrobný popis činností příjemce, které budou realizovány v režimu závazku veřejné služby</w:t>
      </w:r>
    </w:p>
    <w:p w14:paraId="5BC2D9B8" w14:textId="77777777" w:rsidR="00C54658" w:rsidRPr="005341FD" w:rsidRDefault="00C54658" w:rsidP="008541A4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</w:p>
    <w:p w14:paraId="5D275C48" w14:textId="601AB11F" w:rsidR="00C54658" w:rsidRDefault="00C54658" w:rsidP="00BE6982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v rozsahu definovaném v rozhodnutí o registraci poskytovatele zdravotních služeb vydaného Krajským úřadem Moravskoslezského kraje, pod číslem jednacím SZ/8646/03/Le ze dne 29.12.2003 ve znění následujících změn (dále jen "rozhodnutí o PZS"), s výjimkou činností veřejného lékárenství, prodejny zdravotnických pomůcek, pokud tyto činnosti příjemce v souladu s PZS vykonává.</w:t>
      </w:r>
    </w:p>
    <w:p w14:paraId="14A35237" w14:textId="77777777" w:rsidR="0053041A" w:rsidRPr="005341FD" w:rsidRDefault="0053041A" w:rsidP="0053041A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  <w:noProof/>
        </w:rPr>
      </w:pPr>
    </w:p>
    <w:p w14:paraId="4A0C1A56" w14:textId="28A2A36A" w:rsidR="00C54658" w:rsidRDefault="00C54658" w:rsidP="002525F5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>Příjemce bude vykonávat činnosti v režimu závazku veřejné služby související s poskytováním zdravotní péče dle rozhodnutí o PZS, včetně zajištění stravování.</w:t>
      </w:r>
    </w:p>
    <w:p w14:paraId="70BF43AC" w14:textId="77777777" w:rsidR="00853C1C" w:rsidRPr="005341FD" w:rsidRDefault="00853C1C" w:rsidP="00853C1C">
      <w:pPr>
        <w:pStyle w:val="Bodytext20"/>
        <w:tabs>
          <w:tab w:val="left" w:pos="333"/>
        </w:tabs>
        <w:spacing w:line="264" w:lineRule="exact"/>
        <w:ind w:firstLine="0"/>
        <w:rPr>
          <w:rFonts w:ascii="Tahoma" w:hAnsi="Tahoma" w:cs="Tahoma"/>
        </w:rPr>
      </w:pPr>
    </w:p>
    <w:p w14:paraId="4D5B2976" w14:textId="0AA319C5" w:rsidR="00C54658" w:rsidRPr="005341FD" w:rsidRDefault="00C54658" w:rsidP="00F80874">
      <w:pPr>
        <w:pStyle w:val="Bodytext20"/>
        <w:numPr>
          <w:ilvl w:val="0"/>
          <w:numId w:val="14"/>
        </w:numPr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>Příjemce bude vykonávat činnost v rozsahu uvedeném ve smlouvě související s poskytováním sociálních služeb podle zákona č. 108/2006 Sb., o sociálních službách, ve znění pozdějších předpisů, v souladu s rozhodnutím o registraci příslušného subjektu takto:</w:t>
      </w:r>
    </w:p>
    <w:p w14:paraId="3D527400" w14:textId="67B8BC68" w:rsidR="00C54658" w:rsidRPr="005341FD" w:rsidRDefault="00162D66" w:rsidP="00BE6982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Druh služby: Sociální služby poskytované ve zdravotnických zařízeních lůžkové péče</w:t>
      </w:r>
    </w:p>
    <w:p w14:paraId="1F38FF91" w14:textId="356531AA" w:rsidR="00C54658" w:rsidRPr="005341FD" w:rsidRDefault="00162D66" w:rsidP="00BE6982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  <w:noProof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Identifikátor:        1557033</w:t>
      </w:r>
    </w:p>
    <w:p w14:paraId="597DBDC7" w14:textId="7D3142C4" w:rsidR="00C54658" w:rsidRPr="004965BA" w:rsidRDefault="00162D66" w:rsidP="00AA0605">
      <w:pPr>
        <w:pStyle w:val="Bodytext20"/>
        <w:tabs>
          <w:tab w:val="left" w:pos="333"/>
        </w:tabs>
        <w:spacing w:line="264" w:lineRule="exact"/>
        <w:rPr>
          <w:rFonts w:ascii="Tahoma" w:hAnsi="Tahoma" w:cs="Tahoma"/>
        </w:rPr>
      </w:pPr>
      <w:r w:rsidRPr="005341FD">
        <w:rPr>
          <w:rFonts w:ascii="Tahoma" w:hAnsi="Tahoma" w:cs="Tahoma"/>
          <w:noProof/>
        </w:rPr>
        <w:tab/>
      </w:r>
      <w:r w:rsidR="00C54658" w:rsidRPr="005341FD">
        <w:rPr>
          <w:rFonts w:ascii="Tahoma" w:hAnsi="Tahoma" w:cs="Tahoma"/>
          <w:noProof/>
        </w:rPr>
        <w:t>Kapacita služby: dle rozsahu zařazení do krajské sítě sociálních služeb</w:t>
      </w:r>
    </w:p>
    <w:sectPr w:rsidR="00C54658" w:rsidRPr="004965BA" w:rsidSect="00AA0605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30271" w14:textId="77777777" w:rsidR="008A1995" w:rsidRDefault="008A1995" w:rsidP="00F45042">
      <w:pPr>
        <w:spacing w:after="0" w:line="240" w:lineRule="auto"/>
      </w:pPr>
      <w:r>
        <w:separator/>
      </w:r>
    </w:p>
  </w:endnote>
  <w:endnote w:type="continuationSeparator" w:id="0">
    <w:p w14:paraId="4DC11FBD" w14:textId="77777777" w:rsidR="008A1995" w:rsidRDefault="008A1995" w:rsidP="00F4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5957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9D920F" wp14:editId="5FF937E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74268647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1D7EF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D920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3911D7EF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2F83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E21BFD" wp14:editId="5B58A3E8">
              <wp:simplePos x="89916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9954932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A77E1D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21BF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8A77E1D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67BF2" w14:textId="77777777" w:rsidR="00F45042" w:rsidRDefault="00F4504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94E3CE" wp14:editId="54F43E9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01399714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7B527" w14:textId="77777777" w:rsidR="00F45042" w:rsidRPr="00F45042" w:rsidRDefault="00F45042" w:rsidP="00F4504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F4504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4E3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FC7B527" w14:textId="77777777" w:rsidR="00F45042" w:rsidRPr="00F45042" w:rsidRDefault="00F45042" w:rsidP="00F4504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F4504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98B0" w14:textId="77777777" w:rsidR="008A1995" w:rsidRDefault="008A1995" w:rsidP="00F45042">
      <w:pPr>
        <w:spacing w:after="0" w:line="240" w:lineRule="auto"/>
      </w:pPr>
      <w:r>
        <w:separator/>
      </w:r>
    </w:p>
  </w:footnote>
  <w:footnote w:type="continuationSeparator" w:id="0">
    <w:p w14:paraId="7451B614" w14:textId="77777777" w:rsidR="008A1995" w:rsidRDefault="008A1995" w:rsidP="00F45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34405A"/>
    <w:multiLevelType w:val="hybridMultilevel"/>
    <w:tmpl w:val="8682BD8C"/>
    <w:lvl w:ilvl="0" w:tplc="5894B6F0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60" w:hanging="360"/>
      </w:pPr>
    </w:lvl>
    <w:lvl w:ilvl="2" w:tplc="0405001B" w:tentative="1">
      <w:start w:val="1"/>
      <w:numFmt w:val="lowerRoman"/>
      <w:lvlText w:val="%3."/>
      <w:lvlJc w:val="right"/>
      <w:pPr>
        <w:ind w:left="1380" w:hanging="180"/>
      </w:pPr>
    </w:lvl>
    <w:lvl w:ilvl="3" w:tplc="0405000F" w:tentative="1">
      <w:start w:val="1"/>
      <w:numFmt w:val="decimal"/>
      <w:lvlText w:val="%4."/>
      <w:lvlJc w:val="left"/>
      <w:pPr>
        <w:ind w:left="2100" w:hanging="360"/>
      </w:pPr>
    </w:lvl>
    <w:lvl w:ilvl="4" w:tplc="04050019" w:tentative="1">
      <w:start w:val="1"/>
      <w:numFmt w:val="lowerLetter"/>
      <w:lvlText w:val="%5."/>
      <w:lvlJc w:val="left"/>
      <w:pPr>
        <w:ind w:left="2820" w:hanging="360"/>
      </w:pPr>
    </w:lvl>
    <w:lvl w:ilvl="5" w:tplc="0405001B" w:tentative="1">
      <w:start w:val="1"/>
      <w:numFmt w:val="lowerRoman"/>
      <w:lvlText w:val="%6."/>
      <w:lvlJc w:val="right"/>
      <w:pPr>
        <w:ind w:left="3540" w:hanging="180"/>
      </w:pPr>
    </w:lvl>
    <w:lvl w:ilvl="6" w:tplc="0405000F" w:tentative="1">
      <w:start w:val="1"/>
      <w:numFmt w:val="decimal"/>
      <w:lvlText w:val="%7."/>
      <w:lvlJc w:val="left"/>
      <w:pPr>
        <w:ind w:left="4260" w:hanging="360"/>
      </w:pPr>
    </w:lvl>
    <w:lvl w:ilvl="7" w:tplc="04050019" w:tentative="1">
      <w:start w:val="1"/>
      <w:numFmt w:val="lowerLetter"/>
      <w:lvlText w:val="%8."/>
      <w:lvlJc w:val="left"/>
      <w:pPr>
        <w:ind w:left="4980" w:hanging="360"/>
      </w:pPr>
    </w:lvl>
    <w:lvl w:ilvl="8" w:tplc="0405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 w15:restartNumberingAfterBreak="1">
    <w:nsid w:val="09CE57D3"/>
    <w:multiLevelType w:val="multilevel"/>
    <w:tmpl w:val="FCF6F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1">
    <w:nsid w:val="0EC375C1"/>
    <w:multiLevelType w:val="multilevel"/>
    <w:tmpl w:val="533820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1">
    <w:nsid w:val="12D11169"/>
    <w:multiLevelType w:val="multilevel"/>
    <w:tmpl w:val="0C707AD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1">
    <w:nsid w:val="13A97A16"/>
    <w:multiLevelType w:val="multilevel"/>
    <w:tmpl w:val="3C481E38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1">
    <w:nsid w:val="1EBC3B4A"/>
    <w:multiLevelType w:val="multilevel"/>
    <w:tmpl w:val="9F54C4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1">
    <w:nsid w:val="24F91F91"/>
    <w:multiLevelType w:val="multilevel"/>
    <w:tmpl w:val="4530C12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1">
    <w:nsid w:val="29D63734"/>
    <w:multiLevelType w:val="multilevel"/>
    <w:tmpl w:val="031450E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1">
    <w:nsid w:val="2C8935B6"/>
    <w:multiLevelType w:val="multilevel"/>
    <w:tmpl w:val="C02CFD8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1">
    <w:nsid w:val="36AC1253"/>
    <w:multiLevelType w:val="multilevel"/>
    <w:tmpl w:val="68F885D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1">
    <w:nsid w:val="47276AEB"/>
    <w:multiLevelType w:val="hybridMultilevel"/>
    <w:tmpl w:val="F8264E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4FE727AF"/>
    <w:multiLevelType w:val="multilevel"/>
    <w:tmpl w:val="996E8EB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1">
    <w:nsid w:val="6F34703C"/>
    <w:multiLevelType w:val="multilevel"/>
    <w:tmpl w:val="7D8E3530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1">
    <w:nsid w:val="78E94426"/>
    <w:multiLevelType w:val="hybridMultilevel"/>
    <w:tmpl w:val="EA184CE8"/>
    <w:lvl w:ilvl="0" w:tplc="91E46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617727">
    <w:abstractNumId w:val="12"/>
  </w:num>
  <w:num w:numId="2" w16cid:durableId="936980531">
    <w:abstractNumId w:val="13"/>
  </w:num>
  <w:num w:numId="3" w16cid:durableId="1544369180">
    <w:abstractNumId w:val="6"/>
  </w:num>
  <w:num w:numId="4" w16cid:durableId="883718694">
    <w:abstractNumId w:val="11"/>
  </w:num>
  <w:num w:numId="5" w16cid:durableId="426004047">
    <w:abstractNumId w:val="3"/>
  </w:num>
  <w:num w:numId="6" w16cid:durableId="1507094485">
    <w:abstractNumId w:val="2"/>
  </w:num>
  <w:num w:numId="7" w16cid:durableId="1172601512">
    <w:abstractNumId w:val="4"/>
  </w:num>
  <w:num w:numId="8" w16cid:durableId="939335280">
    <w:abstractNumId w:val="5"/>
  </w:num>
  <w:num w:numId="9" w16cid:durableId="450126124">
    <w:abstractNumId w:val="7"/>
  </w:num>
  <w:num w:numId="10" w16cid:durableId="596446031">
    <w:abstractNumId w:val="1"/>
  </w:num>
  <w:num w:numId="11" w16cid:durableId="552736958">
    <w:abstractNumId w:val="9"/>
  </w:num>
  <w:num w:numId="12" w16cid:durableId="126353579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50204500">
    <w:abstractNumId w:val="8"/>
  </w:num>
  <w:num w:numId="14" w16cid:durableId="1496725972">
    <w:abstractNumId w:val="0"/>
  </w:num>
  <w:num w:numId="15" w16cid:durableId="43281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73"/>
    <w:rsid w:val="00057977"/>
    <w:rsid w:val="0006381D"/>
    <w:rsid w:val="0008119C"/>
    <w:rsid w:val="000C68B6"/>
    <w:rsid w:val="0011085D"/>
    <w:rsid w:val="00162D66"/>
    <w:rsid w:val="001C0753"/>
    <w:rsid w:val="001C7AE6"/>
    <w:rsid w:val="00200F93"/>
    <w:rsid w:val="0020421D"/>
    <w:rsid w:val="002525F5"/>
    <w:rsid w:val="00275C3D"/>
    <w:rsid w:val="002A632C"/>
    <w:rsid w:val="002A6D0B"/>
    <w:rsid w:val="002C6997"/>
    <w:rsid w:val="002E1EE0"/>
    <w:rsid w:val="002E4F4B"/>
    <w:rsid w:val="002F4E5D"/>
    <w:rsid w:val="003420D6"/>
    <w:rsid w:val="003A02D7"/>
    <w:rsid w:val="003D1438"/>
    <w:rsid w:val="0040477E"/>
    <w:rsid w:val="00422F2D"/>
    <w:rsid w:val="0043133E"/>
    <w:rsid w:val="00436E7F"/>
    <w:rsid w:val="00454482"/>
    <w:rsid w:val="004847F6"/>
    <w:rsid w:val="004965BA"/>
    <w:rsid w:val="004A31B6"/>
    <w:rsid w:val="004B040C"/>
    <w:rsid w:val="004C0464"/>
    <w:rsid w:val="004C70BC"/>
    <w:rsid w:val="005206C8"/>
    <w:rsid w:val="0053041A"/>
    <w:rsid w:val="005341FD"/>
    <w:rsid w:val="005651EE"/>
    <w:rsid w:val="0057425B"/>
    <w:rsid w:val="005B45AB"/>
    <w:rsid w:val="005D2E23"/>
    <w:rsid w:val="005D5C8F"/>
    <w:rsid w:val="006034B7"/>
    <w:rsid w:val="0065796B"/>
    <w:rsid w:val="00657DAF"/>
    <w:rsid w:val="006611E1"/>
    <w:rsid w:val="006B62DF"/>
    <w:rsid w:val="006C6F92"/>
    <w:rsid w:val="006E3831"/>
    <w:rsid w:val="0071310B"/>
    <w:rsid w:val="00736229"/>
    <w:rsid w:val="00736F90"/>
    <w:rsid w:val="00775D7D"/>
    <w:rsid w:val="00782F43"/>
    <w:rsid w:val="007E368E"/>
    <w:rsid w:val="00851DA6"/>
    <w:rsid w:val="00853C1C"/>
    <w:rsid w:val="008541A4"/>
    <w:rsid w:val="00855C73"/>
    <w:rsid w:val="008758F8"/>
    <w:rsid w:val="008A1995"/>
    <w:rsid w:val="008D1DDE"/>
    <w:rsid w:val="008E0D4F"/>
    <w:rsid w:val="008E6E93"/>
    <w:rsid w:val="009379DF"/>
    <w:rsid w:val="00937CB0"/>
    <w:rsid w:val="00937EEB"/>
    <w:rsid w:val="00985081"/>
    <w:rsid w:val="009A57D0"/>
    <w:rsid w:val="009A5B41"/>
    <w:rsid w:val="009B31D1"/>
    <w:rsid w:val="009C0A58"/>
    <w:rsid w:val="009C51A5"/>
    <w:rsid w:val="009E5DAB"/>
    <w:rsid w:val="00A27F76"/>
    <w:rsid w:val="00A4582E"/>
    <w:rsid w:val="00A8285A"/>
    <w:rsid w:val="00A92D6F"/>
    <w:rsid w:val="00AA0605"/>
    <w:rsid w:val="00AE55B6"/>
    <w:rsid w:val="00B359A7"/>
    <w:rsid w:val="00BC0577"/>
    <w:rsid w:val="00BC6927"/>
    <w:rsid w:val="00BE6031"/>
    <w:rsid w:val="00BE6982"/>
    <w:rsid w:val="00BF3F39"/>
    <w:rsid w:val="00C52A16"/>
    <w:rsid w:val="00C54658"/>
    <w:rsid w:val="00CB7A46"/>
    <w:rsid w:val="00D20979"/>
    <w:rsid w:val="00D9380A"/>
    <w:rsid w:val="00D9643C"/>
    <w:rsid w:val="00DB7FEB"/>
    <w:rsid w:val="00DD2091"/>
    <w:rsid w:val="00DD44C4"/>
    <w:rsid w:val="00E35DD2"/>
    <w:rsid w:val="00E575AA"/>
    <w:rsid w:val="00E8594B"/>
    <w:rsid w:val="00EB0295"/>
    <w:rsid w:val="00EC6FA7"/>
    <w:rsid w:val="00ED035E"/>
    <w:rsid w:val="00EE2AE9"/>
    <w:rsid w:val="00F45042"/>
    <w:rsid w:val="00F515ED"/>
    <w:rsid w:val="00F519BE"/>
    <w:rsid w:val="00F52C28"/>
    <w:rsid w:val="00F80874"/>
    <w:rsid w:val="00F92041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CE9D"/>
  <w15:chartTrackingRefBased/>
  <w15:docId w15:val="{A02084E9-CADA-4990-A0A7-B2B0F955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55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sid w:val="00855C73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855C73"/>
    <w:pPr>
      <w:widowControl w:val="0"/>
      <w:shd w:val="clear" w:color="auto" w:fill="FFFFFF"/>
      <w:spacing w:after="0" w:line="288" w:lineRule="exact"/>
      <w:jc w:val="center"/>
    </w:pPr>
    <w:rPr>
      <w:b/>
      <w:bCs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855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">
    <w:name w:val="Heading #1_"/>
    <w:basedOn w:val="Standardnpsmoodstavce"/>
    <w:link w:val="Heading10"/>
    <w:rsid w:val="00855C73"/>
    <w:rPr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Standardnpsmoodstavce"/>
    <w:link w:val="Bodytext40"/>
    <w:rsid w:val="00855C73"/>
    <w:rPr>
      <w:b/>
      <w:bCs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rsid w:val="00855C73"/>
    <w:rPr>
      <w:shd w:val="clear" w:color="auto" w:fill="FFFFFF"/>
    </w:rPr>
  </w:style>
  <w:style w:type="character" w:customStyle="1" w:styleId="Bodytext5">
    <w:name w:val="Body text (5)_"/>
    <w:basedOn w:val="Standardnpsmoodstavce"/>
    <w:link w:val="Bodytext50"/>
    <w:rsid w:val="00855C73"/>
    <w:rPr>
      <w:i/>
      <w:iCs/>
      <w:shd w:val="clear" w:color="auto" w:fill="FFFFFF"/>
    </w:rPr>
  </w:style>
  <w:style w:type="paragraph" w:customStyle="1" w:styleId="Heading10">
    <w:name w:val="Heading #1"/>
    <w:basedOn w:val="Normln"/>
    <w:link w:val="Heading1"/>
    <w:rsid w:val="00855C73"/>
    <w:pPr>
      <w:widowControl w:val="0"/>
      <w:shd w:val="clear" w:color="auto" w:fill="FFFFFF"/>
      <w:spacing w:before="520" w:after="0" w:line="232" w:lineRule="exact"/>
      <w:outlineLvl w:val="0"/>
    </w:pPr>
    <w:rPr>
      <w:b/>
      <w:bCs/>
      <w:sz w:val="21"/>
      <w:szCs w:val="21"/>
    </w:rPr>
  </w:style>
  <w:style w:type="paragraph" w:customStyle="1" w:styleId="Bodytext40">
    <w:name w:val="Body text (4)"/>
    <w:basedOn w:val="Normln"/>
    <w:link w:val="Bodytext4"/>
    <w:rsid w:val="00855C73"/>
    <w:pPr>
      <w:widowControl w:val="0"/>
      <w:shd w:val="clear" w:color="auto" w:fill="FFFFFF"/>
      <w:spacing w:after="280" w:line="244" w:lineRule="exact"/>
      <w:ind w:hanging="420"/>
      <w:jc w:val="center"/>
    </w:pPr>
    <w:rPr>
      <w:b/>
      <w:bCs/>
    </w:rPr>
  </w:style>
  <w:style w:type="paragraph" w:customStyle="1" w:styleId="Bodytext20">
    <w:name w:val="Body text (2)"/>
    <w:basedOn w:val="Normln"/>
    <w:link w:val="Bodytext2"/>
    <w:rsid w:val="00855C73"/>
    <w:pPr>
      <w:widowControl w:val="0"/>
      <w:shd w:val="clear" w:color="auto" w:fill="FFFFFF"/>
      <w:spacing w:after="0" w:line="259" w:lineRule="exact"/>
      <w:ind w:hanging="420"/>
      <w:jc w:val="both"/>
    </w:pPr>
  </w:style>
  <w:style w:type="paragraph" w:customStyle="1" w:styleId="Bodytext50">
    <w:name w:val="Body text (5)"/>
    <w:basedOn w:val="Normln"/>
    <w:link w:val="Bodytext5"/>
    <w:rsid w:val="00855C73"/>
    <w:pPr>
      <w:widowControl w:val="0"/>
      <w:shd w:val="clear" w:color="auto" w:fill="FFFFFF"/>
      <w:spacing w:before="280" w:after="820" w:line="244" w:lineRule="exact"/>
      <w:jc w:val="both"/>
    </w:pPr>
    <w:rPr>
      <w:i/>
      <w:iCs/>
    </w:rPr>
  </w:style>
  <w:style w:type="character" w:customStyle="1" w:styleId="nowrap">
    <w:name w:val="nowrap"/>
    <w:basedOn w:val="Standardnpsmoodstavce"/>
    <w:rsid w:val="00855C73"/>
  </w:style>
  <w:style w:type="character" w:customStyle="1" w:styleId="Heading2">
    <w:name w:val="Heading #2_"/>
    <w:basedOn w:val="Standardnpsmoodstavce"/>
    <w:link w:val="Heading20"/>
    <w:rsid w:val="00855C73"/>
    <w:rPr>
      <w:b/>
      <w:bCs/>
      <w:shd w:val="clear" w:color="auto" w:fill="FFFFFF"/>
    </w:rPr>
  </w:style>
  <w:style w:type="paragraph" w:customStyle="1" w:styleId="Heading20">
    <w:name w:val="Heading #2"/>
    <w:basedOn w:val="Normln"/>
    <w:link w:val="Heading2"/>
    <w:rsid w:val="00855C73"/>
    <w:pPr>
      <w:widowControl w:val="0"/>
      <w:shd w:val="clear" w:color="auto" w:fill="FFFFFF"/>
      <w:spacing w:after="0" w:line="244" w:lineRule="exact"/>
      <w:ind w:hanging="420"/>
      <w:outlineLvl w:val="1"/>
    </w:pPr>
    <w:rPr>
      <w:b/>
      <w:bCs/>
    </w:rPr>
  </w:style>
  <w:style w:type="character" w:customStyle="1" w:styleId="Bodytext6">
    <w:name w:val="Body text (6)_"/>
    <w:basedOn w:val="Standardnpsmoodstavce"/>
    <w:rsid w:val="0020421D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Bodytext60">
    <w:name w:val="Body text (6)"/>
    <w:basedOn w:val="Bodytext6"/>
    <w:rsid w:val="002042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A8182"/>
      <w:spacing w:val="0"/>
      <w:w w:val="100"/>
      <w:position w:val="0"/>
      <w:sz w:val="10"/>
      <w:szCs w:val="10"/>
      <w:u w:val="none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45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5042"/>
  </w:style>
  <w:style w:type="paragraph" w:styleId="Odstavecseseznamem">
    <w:name w:val="List Paragraph"/>
    <w:basedOn w:val="Normln"/>
    <w:uiPriority w:val="34"/>
    <w:qFormat/>
    <w:rsid w:val="0011085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C70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70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70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0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0B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84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59D3B8CB364E5F8AA48590416DA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D1AE0-401D-4B70-9A33-B296D19B2BFF}"/>
      </w:docPartPr>
      <w:docPartBody>
        <w:p w:rsidR="0024701E" w:rsidRDefault="0024701E" w:rsidP="0024701E">
          <w:pPr>
            <w:pStyle w:val="B659D3B8CB364E5F8AA48590416DAA11"/>
          </w:pPr>
          <w:r>
            <w:rPr>
              <w:rStyle w:val="Zstupntext"/>
            </w:rPr>
            <w:t>xx/201x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E"/>
    <w:rsid w:val="000D4EE6"/>
    <w:rsid w:val="0024701E"/>
    <w:rsid w:val="00454482"/>
    <w:rsid w:val="006E3831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4701E"/>
    <w:rPr>
      <w:color w:val="808080"/>
    </w:rPr>
  </w:style>
  <w:style w:type="paragraph" w:customStyle="1" w:styleId="B659D3B8CB364E5F8AA48590416DAA11">
    <w:name w:val="B659D3B8CB364E5F8AA48590416DAA11"/>
    <w:rsid w:val="002470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6AEC8C08343408DB737D692F89690" ma:contentTypeVersion="18" ma:contentTypeDescription="Vytvoří nový dokument" ma:contentTypeScope="" ma:versionID="df508381e9c3f1098f3fd77caed8e1af">
  <xsd:schema xmlns:xsd="http://www.w3.org/2001/XMLSchema" xmlns:xs="http://www.w3.org/2001/XMLSchema" xmlns:p="http://schemas.microsoft.com/office/2006/metadata/properties" xmlns:ns2="57a80698-73e3-45a8-9ef0-0a50621d402e" xmlns:ns3="c8ae7add-3a3e-4860-bb5b-5300dddd2f37" targetNamespace="http://schemas.microsoft.com/office/2006/metadata/properties" ma:root="true" ma:fieldsID="b98d93b97f19a109d96bd04ede137cc4" ns2:_="" ns3:_="">
    <xsd:import namespace="57a80698-73e3-45a8-9ef0-0a50621d402e"/>
    <xsd:import namespace="c8ae7add-3a3e-4860-bb5b-5300dddd2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80698-73e3-45a8-9ef0-0a50621d4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7add-3a3e-4860-bb5b-5300dddd2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299a98-2717-44ce-9f60-f0e77693ec4b}" ma:internalName="TaxCatchAll" ma:showField="CatchAllData" ma:web="c8ae7add-3a3e-4860-bb5b-5300dddd2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D4708-B211-4155-96EA-9D632452B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6C4B8-DE9D-4985-A493-2E0763BB7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80698-73e3-45a8-9ef0-0a50621d402e"/>
    <ds:schemaRef ds:uri="c8ae7add-3a3e-4860-bb5b-5300dddd2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1857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Šindlerová</dc:creator>
  <cp:keywords/>
  <dc:description/>
  <cp:lastModifiedBy>Iva Šindlerová</cp:lastModifiedBy>
  <cp:revision>9</cp:revision>
  <dcterms:created xsi:type="dcterms:W3CDTF">2024-07-01T05:09:00Z</dcterms:created>
  <dcterms:modified xsi:type="dcterms:W3CDTF">2024-07-22T05:12:00Z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3c705e57,2c447f0d,be4e18c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2024-04-18T08:12:27Z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b7e3e747-66fc-46f1-86d1-d3038aadd3ef</vt:lpwstr>
  </property>
  <property fmtid="{D5CDD505-2E9C-101B-9397-08002B2CF9AE}" pid="11" name="MSIP_Label_215ad6d0-798b-44f9-b3fd-112ad6275fb4_ContentBits">
    <vt:lpwstr>2</vt:lpwstr>
  </property>
</Properties>
</file>