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8F7F" w14:textId="77777777" w:rsidR="00AF4F75" w:rsidRPr="00FE4D61" w:rsidRDefault="00AF4F75" w:rsidP="00FE4D61">
      <w:pPr>
        <w:rPr>
          <w:rFonts w:ascii="Tahoma" w:hAnsi="Tahoma" w:cs="Tahoma"/>
          <w:b/>
          <w:bCs/>
          <w:sz w:val="22"/>
          <w:szCs w:val="22"/>
        </w:rPr>
      </w:pPr>
      <w:bookmarkStart w:id="0" w:name="_Toc72503265"/>
      <w:bookmarkStart w:id="1" w:name="_Toc104273142"/>
      <w:bookmarkStart w:id="2" w:name="_Toc135039475"/>
      <w:r w:rsidRPr="00FE4D61">
        <w:rPr>
          <w:rFonts w:ascii="Tahoma" w:hAnsi="Tahoma" w:cs="Tahoma"/>
          <w:b/>
          <w:bCs/>
          <w:sz w:val="22"/>
          <w:szCs w:val="22"/>
        </w:rPr>
        <w:t>Zůstatky finančních prostředků na bankovních účtech kraje</w:t>
      </w:r>
      <w:bookmarkEnd w:id="0"/>
      <w:bookmarkEnd w:id="1"/>
      <w:r w:rsidRPr="00FE4D61">
        <w:rPr>
          <w:rFonts w:ascii="Tahoma" w:hAnsi="Tahoma" w:cs="Tahoma"/>
          <w:b/>
          <w:bCs/>
          <w:sz w:val="22"/>
          <w:szCs w:val="22"/>
        </w:rPr>
        <w:t xml:space="preserve"> a informace ke Sberbank CZ, a. s. v likvidaci</w:t>
      </w:r>
      <w:bookmarkEnd w:id="2"/>
    </w:p>
    <w:p w14:paraId="393487E2" w14:textId="77777777" w:rsidR="00FE4D61" w:rsidRDefault="00FE4D61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4ED6B0C9" w14:textId="28236186" w:rsidR="00AF4F75" w:rsidRPr="00DB3CB4" w:rsidRDefault="00AF4F75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DB3CB4">
        <w:rPr>
          <w:rFonts w:ascii="Tahoma" w:hAnsi="Tahoma" w:cs="Tahoma"/>
          <w:sz w:val="20"/>
          <w:szCs w:val="20"/>
        </w:rPr>
        <w:t>K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datu 3</w:t>
      </w:r>
      <w:r w:rsidR="00941605">
        <w:rPr>
          <w:rFonts w:ascii="Tahoma" w:hAnsi="Tahoma" w:cs="Tahoma"/>
          <w:sz w:val="20"/>
          <w:szCs w:val="20"/>
        </w:rPr>
        <w:t>0</w:t>
      </w:r>
      <w:r w:rsidRPr="00DB3CB4">
        <w:rPr>
          <w:rFonts w:ascii="Tahoma" w:hAnsi="Tahoma" w:cs="Tahoma"/>
          <w:sz w:val="20"/>
          <w:szCs w:val="20"/>
        </w:rPr>
        <w:t>.</w:t>
      </w:r>
      <w:r w:rsidR="00F07FB1">
        <w:rPr>
          <w:rFonts w:ascii="Tahoma" w:hAnsi="Tahoma" w:cs="Tahoma"/>
          <w:sz w:val="20"/>
          <w:szCs w:val="20"/>
        </w:rPr>
        <w:t> </w:t>
      </w:r>
      <w:r w:rsidR="00941605">
        <w:rPr>
          <w:rFonts w:ascii="Tahoma" w:hAnsi="Tahoma" w:cs="Tahoma"/>
          <w:sz w:val="20"/>
          <w:szCs w:val="20"/>
        </w:rPr>
        <w:t>4</w:t>
      </w:r>
      <w:r w:rsidRPr="00DB3CB4">
        <w:rPr>
          <w:rFonts w:ascii="Tahoma" w:hAnsi="Tahoma" w:cs="Tahoma"/>
          <w:sz w:val="20"/>
          <w:szCs w:val="20"/>
        </w:rPr>
        <w:t>.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202</w:t>
      </w:r>
      <w:r w:rsidR="00941605">
        <w:rPr>
          <w:rFonts w:ascii="Tahoma" w:hAnsi="Tahoma" w:cs="Tahoma"/>
          <w:sz w:val="20"/>
          <w:szCs w:val="20"/>
        </w:rPr>
        <w:t>4</w:t>
      </w:r>
      <w:r w:rsidRPr="00DB3CB4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 w:rsidR="00EC2B19">
        <w:rPr>
          <w:rFonts w:ascii="Tahoma" w:hAnsi="Tahoma" w:cs="Tahoma"/>
          <w:sz w:val="20"/>
          <w:szCs w:val="20"/>
        </w:rPr>
        <w:t>9</w:t>
      </w:r>
      <w:r w:rsidR="00CD3943">
        <w:rPr>
          <w:rFonts w:ascii="Tahoma" w:hAnsi="Tahoma" w:cs="Tahoma"/>
          <w:sz w:val="20"/>
          <w:szCs w:val="20"/>
        </w:rPr>
        <w:t>.</w:t>
      </w:r>
      <w:r w:rsidR="00EC2B19">
        <w:rPr>
          <w:rFonts w:ascii="Tahoma" w:hAnsi="Tahoma" w:cs="Tahoma"/>
          <w:sz w:val="20"/>
          <w:szCs w:val="20"/>
        </w:rPr>
        <w:t>081</w:t>
      </w:r>
      <w:r w:rsidR="00CD3943">
        <w:rPr>
          <w:rFonts w:ascii="Tahoma" w:hAnsi="Tahoma" w:cs="Tahoma"/>
          <w:sz w:val="20"/>
          <w:szCs w:val="20"/>
        </w:rPr>
        <w:t>,</w:t>
      </w:r>
      <w:r w:rsidR="00606D88">
        <w:rPr>
          <w:rFonts w:ascii="Tahoma" w:hAnsi="Tahoma" w:cs="Tahoma"/>
          <w:sz w:val="20"/>
          <w:szCs w:val="20"/>
        </w:rPr>
        <w:t>8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mil.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Kč. V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této hodnotě jsou započteny i prostředky v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pokladně kraje. Mezi tyto finanční prostředky nejsou zahrnuty depozitní účty (účty cizích prostředků) a účet pro přenesenou daňovou povinnost DPH.</w:t>
      </w:r>
    </w:p>
    <w:p w14:paraId="49AC41BB" w14:textId="3F5493E3" w:rsidR="00F07FB1" w:rsidRDefault="00AF4F75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DB3CB4">
        <w:rPr>
          <w:rFonts w:ascii="Tahoma" w:hAnsi="Tahoma" w:cs="Tahoma"/>
          <w:sz w:val="20"/>
          <w:szCs w:val="20"/>
        </w:rPr>
        <w:t>Tyto prostředky byly uloženy u</w:t>
      </w:r>
      <w:r w:rsidR="00F07FB1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10 bank (Česká národní banka (ČNB); Česká spořitelna, a.</w:t>
      </w:r>
      <w:r w:rsidR="009C1929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(ČS); Československá obchodní banka,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(ČSOB); J&amp;T Banka,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(JT); Komerční banka, a.</w:t>
      </w:r>
      <w:r w:rsidR="009C1929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(KB); MONETA Money Bank,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(MONETA); Oberbank AG pobočka Česká republika (OB); PPF Banka,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(PPF); Raiffeisenbank,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(RFB) a UniCredit Bank Czech Republic and Slovakia, a.</w:t>
      </w:r>
      <w:r w:rsidR="00F33465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s. (UCB)).</w:t>
      </w:r>
    </w:p>
    <w:p w14:paraId="1D48EAF6" w14:textId="182B2161" w:rsidR="00AF4F75" w:rsidRPr="00DB3CB4" w:rsidRDefault="00AF4F75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DB3CB4">
        <w:rPr>
          <w:rFonts w:ascii="Tahoma" w:hAnsi="Tahoma" w:cs="Tahoma"/>
          <w:sz w:val="20"/>
          <w:szCs w:val="20"/>
        </w:rPr>
        <w:br w:type="page"/>
      </w:r>
    </w:p>
    <w:p w14:paraId="7C41780E" w14:textId="77777777" w:rsidR="00FE4D61" w:rsidRPr="00F10EF3" w:rsidRDefault="00FE4D61" w:rsidP="00FE4D61">
      <w:pPr>
        <w:pStyle w:val="Styltab"/>
        <w:numPr>
          <w:ilvl w:val="1"/>
          <w:numId w:val="1"/>
        </w:numPr>
        <w:spacing w:before="120"/>
        <w:ind w:left="0"/>
      </w:pPr>
      <w:r w:rsidRPr="00F10EF3">
        <w:lastRenderedPageBreak/>
        <w:t>Rozložení finančních prostředků dle typu účtu</w:t>
      </w:r>
      <w:r w:rsidRPr="00F10EF3">
        <w:tab/>
        <w:t>(v mil. Kč)</w:t>
      </w:r>
    </w:p>
    <w:tbl>
      <w:tblPr>
        <w:tblStyle w:val="Mkatabulky"/>
        <w:tblW w:w="9718" w:type="dxa"/>
        <w:tblLayout w:type="fixed"/>
        <w:tblLook w:val="04A0" w:firstRow="1" w:lastRow="0" w:firstColumn="1" w:lastColumn="0" w:noHBand="0" w:noVBand="1"/>
      </w:tblPr>
      <w:tblGrid>
        <w:gridCol w:w="1361"/>
        <w:gridCol w:w="5669"/>
        <w:gridCol w:w="1344"/>
        <w:gridCol w:w="1344"/>
      </w:tblGrid>
      <w:tr w:rsidR="00AF4F75" w:rsidRPr="00DB3CB4" w14:paraId="4AD386BD" w14:textId="77777777" w:rsidTr="0022128B">
        <w:trPr>
          <w:trHeight w:val="86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D2EC3" w14:textId="77777777" w:rsidR="00AF4F75" w:rsidRPr="00DB3CB4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7B6D8" w14:textId="77777777" w:rsidR="00AF4F75" w:rsidRPr="00DB3CB4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E6BAA" w14:textId="14FBB008" w:rsidR="00AF4F75" w:rsidRPr="00DB3CB4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sz w:val="17"/>
                <w:szCs w:val="17"/>
              </w:rPr>
              <w:t>Výše úložky k 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30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04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>.202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2184" w14:textId="60B5EFFC" w:rsidR="00AF4F75" w:rsidRPr="00DB3CB4" w:rsidRDefault="00AF4F75" w:rsidP="0022128B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sz w:val="17"/>
                <w:szCs w:val="17"/>
              </w:rPr>
              <w:t>Orientační úročení k 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30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04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>.202</w:t>
            </w:r>
            <w:r w:rsidR="00AE20F1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 w:rsidRPr="00DB3CB4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AF4F75" w:rsidRPr="00DB3CB4" w14:paraId="3CA605D8" w14:textId="77777777" w:rsidTr="0022128B">
        <w:trPr>
          <w:trHeight w:val="852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4ECEF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7C62525B" w14:textId="77777777" w:rsidR="00AF4F75" w:rsidRPr="00DB3CB4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cash-pooling), fond zajišťovací a fond pro financování strategických projektů Moravskoslezského kraje (nastaveno zvýhodněné úročení).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62FE5C7A" w14:textId="2F67A0C2" w:rsidR="00AF4F75" w:rsidRPr="00DB3CB4" w:rsidRDefault="00CD3943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A379B2">
              <w:rPr>
                <w:rFonts w:ascii="Tahoma" w:hAnsi="Tahoma" w:cs="Tahoma"/>
                <w:sz w:val="17"/>
                <w:szCs w:val="17"/>
              </w:rPr>
              <w:t> 591,2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E920E" w14:textId="35CFBF8A" w:rsidR="00AF4F75" w:rsidRPr="00DB3CB4" w:rsidRDefault="0085394D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5,03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–</w:t>
            </w:r>
            <w:r w:rsidR="00A379B2">
              <w:rPr>
                <w:rFonts w:ascii="Tahoma" w:hAnsi="Tahoma" w:cs="Tahoma"/>
                <w:sz w:val="17"/>
                <w:szCs w:val="17"/>
              </w:rPr>
              <w:t>5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>25</w:t>
            </w:r>
          </w:p>
        </w:tc>
      </w:tr>
      <w:tr w:rsidR="00AF4F75" w:rsidRPr="00DB3CB4" w14:paraId="26644248" w14:textId="77777777" w:rsidTr="00CC2FC2">
        <w:trPr>
          <w:trHeight w:val="2171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83AF261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69" w:type="dxa"/>
          </w:tcPr>
          <w:p w14:paraId="54CF5570" w14:textId="28DCD7E6" w:rsidR="00366A87" w:rsidRDefault="002F0C6B" w:rsidP="00366A87">
            <w:pPr>
              <w:numPr>
                <w:ilvl w:val="0"/>
                <w:numId w:val="4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366A87">
              <w:rPr>
                <w:rFonts w:ascii="Tahoma" w:hAnsi="Tahoma" w:cs="Tahoma"/>
                <w:sz w:val="17"/>
                <w:szCs w:val="17"/>
              </w:rPr>
              <w:t xml:space="preserve">00,0 mil. Kč na termínovaném vkladu u ČNB s termínem ukončení vkladu 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  <w:r w:rsidR="00366A87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06</w:t>
            </w:r>
            <w:r w:rsidR="00366A87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  <w:r w:rsidR="00366A87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79E93C73" w14:textId="2E09D58A" w:rsidR="00AB3E50" w:rsidRDefault="005F5229" w:rsidP="00AB3E50">
            <w:pPr>
              <w:numPr>
                <w:ilvl w:val="0"/>
                <w:numId w:val="4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="00AB3E50">
              <w:rPr>
                <w:rFonts w:ascii="Tahoma" w:hAnsi="Tahoma" w:cs="Tahoma"/>
                <w:sz w:val="17"/>
                <w:szCs w:val="17"/>
              </w:rPr>
              <w:t xml:space="preserve">00,0 mil. Kč na termínovaném vkladu u ČNB s termínem ukončení vkladu 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  <w:r w:rsidR="00AB3E50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09</w:t>
            </w:r>
            <w:r w:rsidR="00AB3E50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  <w:r w:rsidR="00AB3E50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E42469B" w14:textId="4FB4D0E7" w:rsidR="00AB3E50" w:rsidRDefault="005F5229" w:rsidP="00AB3E50">
            <w:pPr>
              <w:numPr>
                <w:ilvl w:val="0"/>
                <w:numId w:val="4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AB3E50">
              <w:rPr>
                <w:rFonts w:ascii="Tahoma" w:hAnsi="Tahoma" w:cs="Tahoma"/>
                <w:sz w:val="17"/>
                <w:szCs w:val="17"/>
              </w:rPr>
              <w:t>00,0 mil. Kč na termínovaném vkladu u ČNB s termínem ukončení vkladu 0</w:t>
            </w:r>
            <w:r>
              <w:rPr>
                <w:rFonts w:ascii="Tahoma" w:hAnsi="Tahoma" w:cs="Tahoma"/>
                <w:sz w:val="17"/>
                <w:szCs w:val="17"/>
              </w:rPr>
              <w:t>1</w:t>
            </w:r>
            <w:r w:rsidR="00AB3E50">
              <w:rPr>
                <w:rFonts w:ascii="Tahoma" w:hAnsi="Tahoma" w:cs="Tahoma"/>
                <w:sz w:val="17"/>
                <w:szCs w:val="17"/>
              </w:rPr>
              <w:t>.11.202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  <w:r w:rsidR="00AB3E50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7CAC5296" w14:textId="37A6146A" w:rsidR="00AB3E50" w:rsidRPr="002F0C6B" w:rsidRDefault="001B3D10" w:rsidP="002F0C6B">
            <w:pPr>
              <w:numPr>
                <w:ilvl w:val="0"/>
                <w:numId w:val="4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="00AB3E50">
              <w:rPr>
                <w:rFonts w:ascii="Tahoma" w:hAnsi="Tahoma" w:cs="Tahoma"/>
                <w:sz w:val="17"/>
                <w:szCs w:val="17"/>
              </w:rPr>
              <w:t xml:space="preserve">00,0 mil. Kč na termínovaném vkladu u ČNB s termínem ukončení vkladu 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  <w:r w:rsidR="00AB3E50">
              <w:rPr>
                <w:rFonts w:ascii="Tahoma" w:hAnsi="Tahoma" w:cs="Tahoma"/>
                <w:sz w:val="17"/>
                <w:szCs w:val="17"/>
              </w:rPr>
              <w:t>.1</w:t>
            </w: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AB3E50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  <w:r w:rsidR="00AB3E50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87154F3" w14:textId="27FA6EDE" w:rsidR="00366A87" w:rsidRPr="00CC2FC2" w:rsidRDefault="008055BA" w:rsidP="0022128B">
            <w:pPr>
              <w:numPr>
                <w:ilvl w:val="0"/>
                <w:numId w:val="4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8055BA">
              <w:rPr>
                <w:rFonts w:ascii="Tahoma" w:hAnsi="Tahoma" w:cs="Tahoma"/>
                <w:sz w:val="17"/>
                <w:szCs w:val="17"/>
              </w:rPr>
              <w:t>200,0 mil. Kč na vkladovém účtu u JT s 1denní výpovědí.</w:t>
            </w:r>
          </w:p>
        </w:tc>
        <w:tc>
          <w:tcPr>
            <w:tcW w:w="1344" w:type="dxa"/>
            <w:vAlign w:val="center"/>
          </w:tcPr>
          <w:p w14:paraId="4ED49C5C" w14:textId="729F07DF" w:rsidR="00AF4F75" w:rsidRPr="00DB3CB4" w:rsidRDefault="001B3D10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1 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200,0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4D7F4419" w14:textId="5BB3CBD8" w:rsidR="00AF4F75" w:rsidRPr="00DB3CB4" w:rsidRDefault="00AE20F1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4,25-</w:t>
            </w:r>
            <w:r w:rsidR="00074504">
              <w:rPr>
                <w:rFonts w:ascii="Tahoma" w:hAnsi="Tahoma" w:cs="Tahoma"/>
                <w:sz w:val="17"/>
                <w:szCs w:val="17"/>
              </w:rPr>
              <w:t>5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,00</w:t>
            </w:r>
          </w:p>
        </w:tc>
      </w:tr>
      <w:tr w:rsidR="00AF4F75" w:rsidRPr="00DB3CB4" w14:paraId="4AF11076" w14:textId="77777777" w:rsidTr="0022128B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F4F9DC5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</w:p>
        </w:tc>
        <w:tc>
          <w:tcPr>
            <w:tcW w:w="5669" w:type="dxa"/>
          </w:tcPr>
          <w:p w14:paraId="5C6471B2" w14:textId="548AB4AF" w:rsidR="00AF4F75" w:rsidRPr="00DB3CB4" w:rsidRDefault="00312E79" w:rsidP="00AF4F75">
            <w:pPr>
              <w:numPr>
                <w:ilvl w:val="0"/>
                <w:numId w:val="3"/>
              </w:numPr>
              <w:spacing w:before="60"/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628,5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 mil. Kč na běžném účtu u PPF se zvýhodněným úročením,</w:t>
            </w:r>
          </w:p>
          <w:p w14:paraId="6E536623" w14:textId="4A498FAB" w:rsidR="00AF4F75" w:rsidRDefault="00074504" w:rsidP="00CD3943">
            <w:pPr>
              <w:numPr>
                <w:ilvl w:val="0"/>
                <w:numId w:val="3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152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>7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 xml:space="preserve"> mil. Kč na spořícím účtu u ČS se zvýhodněným úročením,</w:t>
            </w:r>
          </w:p>
          <w:p w14:paraId="0AA9C8AB" w14:textId="58A6F248" w:rsidR="008055BA" w:rsidRPr="00CD3943" w:rsidRDefault="008055BA" w:rsidP="00CD3943">
            <w:pPr>
              <w:numPr>
                <w:ilvl w:val="0"/>
                <w:numId w:val="3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200</w:t>
            </w:r>
            <w:r w:rsidR="00312E79">
              <w:rPr>
                <w:rFonts w:ascii="Tahoma" w:hAnsi="Tahoma" w:cs="Tahoma"/>
                <w:sz w:val="17"/>
                <w:szCs w:val="17"/>
              </w:rPr>
              <w:t>,0</w:t>
            </w:r>
            <w:r>
              <w:rPr>
                <w:rFonts w:ascii="Tahoma" w:hAnsi="Tahoma" w:cs="Tahoma"/>
                <w:sz w:val="17"/>
                <w:szCs w:val="17"/>
              </w:rPr>
              <w:t xml:space="preserve"> mil. Kč na </w:t>
            </w:r>
            <w:r w:rsidRPr="00DB3CB4">
              <w:rPr>
                <w:rFonts w:ascii="Tahoma" w:hAnsi="Tahoma" w:cs="Tahoma"/>
                <w:sz w:val="17"/>
                <w:szCs w:val="17"/>
              </w:rPr>
              <w:t>spořícím účtu u ČS</w:t>
            </w:r>
            <w:r>
              <w:rPr>
                <w:rFonts w:ascii="Tahoma" w:hAnsi="Tahoma" w:cs="Tahoma"/>
                <w:sz w:val="17"/>
                <w:szCs w:val="17"/>
              </w:rPr>
              <w:t>OB</w:t>
            </w:r>
            <w:r w:rsidRPr="00DB3CB4">
              <w:rPr>
                <w:rFonts w:ascii="Tahoma" w:hAnsi="Tahoma" w:cs="Tahoma"/>
                <w:sz w:val="17"/>
                <w:szCs w:val="17"/>
              </w:rPr>
              <w:t xml:space="preserve"> se zvýhodněným úročením</w:t>
            </w:r>
          </w:p>
        </w:tc>
        <w:tc>
          <w:tcPr>
            <w:tcW w:w="1344" w:type="dxa"/>
            <w:vAlign w:val="center"/>
          </w:tcPr>
          <w:p w14:paraId="2E840590" w14:textId="011F0D28" w:rsidR="00AF4F75" w:rsidRPr="00DB3CB4" w:rsidRDefault="00242C6A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981,2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9D63D0E" w14:textId="6E7D0588" w:rsidR="00AF4F75" w:rsidRPr="00DB3CB4" w:rsidRDefault="00242C6A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2,0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–</w:t>
            </w:r>
            <w:r w:rsidR="002C0210">
              <w:rPr>
                <w:rFonts w:ascii="Tahoma" w:hAnsi="Tahoma" w:cs="Tahoma"/>
                <w:sz w:val="17"/>
                <w:szCs w:val="17"/>
              </w:rPr>
              <w:t>5,25</w:t>
            </w:r>
          </w:p>
        </w:tc>
      </w:tr>
      <w:tr w:rsidR="00D24C46" w:rsidRPr="00DB3CB4" w14:paraId="320CDEBB" w14:textId="77777777" w:rsidTr="0022128B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1D11588F" w14:textId="77777777" w:rsidR="00D24C46" w:rsidRPr="00DB3CB4" w:rsidRDefault="00D24C46" w:rsidP="00D24C46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Virtuální účty (prostředky vyvedeny na technický účet banky)</w:t>
            </w:r>
          </w:p>
        </w:tc>
        <w:tc>
          <w:tcPr>
            <w:tcW w:w="5669" w:type="dxa"/>
          </w:tcPr>
          <w:p w14:paraId="3AFC1167" w14:textId="34000D33" w:rsidR="00D24C46" w:rsidRDefault="00D24C46" w:rsidP="00D24C4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500,0 mil. Kč u ČS do </w:t>
            </w:r>
            <w:r w:rsidR="00632C11">
              <w:rPr>
                <w:rFonts w:ascii="Tahoma" w:hAnsi="Tahoma" w:cs="Tahoma"/>
                <w:sz w:val="17"/>
                <w:szCs w:val="17"/>
              </w:rPr>
              <w:t>15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="00632C11">
              <w:rPr>
                <w:rFonts w:ascii="Tahoma" w:hAnsi="Tahoma" w:cs="Tahoma"/>
                <w:sz w:val="17"/>
                <w:szCs w:val="17"/>
              </w:rPr>
              <w:t>05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632C11">
              <w:rPr>
                <w:rFonts w:ascii="Tahoma" w:hAnsi="Tahoma" w:cs="Tahoma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DBDDE41" w14:textId="792EC874" w:rsidR="00D24C46" w:rsidRDefault="00D24C46" w:rsidP="00D24C4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  <w:r w:rsidR="002C6BBC">
              <w:rPr>
                <w:rFonts w:ascii="Tahoma" w:hAnsi="Tahoma" w:cs="Tahoma"/>
                <w:sz w:val="17"/>
                <w:szCs w:val="17"/>
              </w:rPr>
              <w:t>0</w:t>
            </w:r>
            <w:r>
              <w:rPr>
                <w:rFonts w:ascii="Tahoma" w:hAnsi="Tahoma" w:cs="Tahoma"/>
                <w:sz w:val="17"/>
                <w:szCs w:val="17"/>
              </w:rPr>
              <w:t xml:space="preserve">0,0 mil. Kč ČSOB do </w:t>
            </w:r>
            <w:r w:rsidR="002C6BBC">
              <w:rPr>
                <w:rFonts w:ascii="Tahoma" w:hAnsi="Tahoma" w:cs="Tahoma"/>
                <w:sz w:val="17"/>
                <w:szCs w:val="17"/>
              </w:rPr>
              <w:t>16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="002C6BBC">
              <w:rPr>
                <w:rFonts w:ascii="Tahoma" w:hAnsi="Tahoma" w:cs="Tahoma"/>
                <w:sz w:val="17"/>
                <w:szCs w:val="17"/>
              </w:rPr>
              <w:t>05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2C6BBC">
              <w:rPr>
                <w:rFonts w:ascii="Tahoma" w:hAnsi="Tahoma" w:cs="Tahoma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80435A9" w14:textId="51647C91" w:rsidR="00D24C46" w:rsidRDefault="00D24C46" w:rsidP="00D24C4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  <w:r w:rsidR="007B2673">
              <w:rPr>
                <w:rFonts w:ascii="Tahoma" w:hAnsi="Tahoma" w:cs="Tahoma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  <w:r w:rsidR="007B2673">
              <w:rPr>
                <w:rFonts w:ascii="Tahoma" w:hAnsi="Tahoma" w:cs="Tahoma"/>
                <w:sz w:val="17"/>
                <w:szCs w:val="17"/>
              </w:rPr>
              <w:t>0</w:t>
            </w:r>
            <w:r>
              <w:rPr>
                <w:rFonts w:ascii="Tahoma" w:hAnsi="Tahoma" w:cs="Tahoma"/>
                <w:sz w:val="17"/>
                <w:szCs w:val="17"/>
              </w:rPr>
              <w:t xml:space="preserve"> mil. Kč u KB do </w:t>
            </w:r>
            <w:r w:rsidR="007B2673">
              <w:rPr>
                <w:rFonts w:ascii="Tahoma" w:hAnsi="Tahoma" w:cs="Tahoma"/>
                <w:sz w:val="17"/>
                <w:szCs w:val="17"/>
              </w:rPr>
              <w:t>06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="007B2673">
              <w:rPr>
                <w:rFonts w:ascii="Tahoma" w:hAnsi="Tahoma" w:cs="Tahoma"/>
                <w:sz w:val="17"/>
                <w:szCs w:val="17"/>
              </w:rPr>
              <w:t>05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EE1752">
              <w:rPr>
                <w:rFonts w:ascii="Tahoma" w:hAnsi="Tahoma" w:cs="Tahoma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48B6A44" w14:textId="16BF3B6C" w:rsidR="00D24C46" w:rsidRPr="00BF2B72" w:rsidRDefault="00D24C46" w:rsidP="00D24C4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300,0 mil. Kč u PPF do </w:t>
            </w:r>
            <w:r w:rsidR="00EE1752">
              <w:rPr>
                <w:rFonts w:ascii="Tahoma" w:hAnsi="Tahoma" w:cs="Tahoma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="00EE1752">
              <w:rPr>
                <w:rFonts w:ascii="Tahoma" w:hAnsi="Tahoma" w:cs="Tahoma"/>
                <w:sz w:val="17"/>
                <w:szCs w:val="17"/>
              </w:rPr>
              <w:t>05</w:t>
            </w:r>
            <w:r>
              <w:rPr>
                <w:rFonts w:ascii="Tahoma" w:hAnsi="Tahoma" w:cs="Tahoma"/>
                <w:sz w:val="17"/>
                <w:szCs w:val="17"/>
              </w:rPr>
              <w:t>.202</w:t>
            </w:r>
            <w:r w:rsidR="00EE1752">
              <w:rPr>
                <w:rFonts w:ascii="Tahoma" w:hAnsi="Tahoma" w:cs="Tahoma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43786C53" w14:textId="62C8F511" w:rsidR="00D24C46" w:rsidRDefault="00EE1752" w:rsidP="00D24C4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402</w:t>
            </w:r>
            <w:r w:rsidR="00D24C46">
              <w:rPr>
                <w:rFonts w:ascii="Tahoma" w:hAnsi="Tahoma" w:cs="Tahoma"/>
                <w:sz w:val="17"/>
                <w:szCs w:val="17"/>
              </w:rPr>
              <w:t xml:space="preserve">,0 mil. Kč u RFB do </w:t>
            </w:r>
            <w:r>
              <w:rPr>
                <w:rFonts w:ascii="Tahoma" w:hAnsi="Tahoma" w:cs="Tahoma"/>
                <w:sz w:val="17"/>
                <w:szCs w:val="17"/>
              </w:rPr>
              <w:t>10</w:t>
            </w:r>
            <w:r w:rsidR="00D24C46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05</w:t>
            </w:r>
            <w:r w:rsidR="00D24C46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  <w:r w:rsidR="00D24C46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D7F29AF" w14:textId="32B29D04" w:rsidR="00D24C46" w:rsidRPr="00CC2FC2" w:rsidRDefault="003C58E3" w:rsidP="00CC2FC2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</w:t>
            </w:r>
            <w:r w:rsidR="00D1537F" w:rsidRPr="00D1537F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>6</w:t>
            </w:r>
            <w:r w:rsidR="00D1537F" w:rsidRPr="00D1537F">
              <w:rPr>
                <w:rFonts w:ascii="Tahoma" w:hAnsi="Tahoma" w:cs="Tahoma"/>
                <w:sz w:val="17"/>
                <w:szCs w:val="17"/>
              </w:rPr>
              <w:t xml:space="preserve"> mil. Kč u UCB do </w:t>
            </w:r>
            <w:r>
              <w:rPr>
                <w:rFonts w:ascii="Tahoma" w:hAnsi="Tahoma" w:cs="Tahoma"/>
                <w:sz w:val="17"/>
                <w:szCs w:val="17"/>
              </w:rPr>
              <w:t>09</w:t>
            </w:r>
            <w:r w:rsidR="00D1537F" w:rsidRPr="00D1537F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05</w:t>
            </w:r>
            <w:r w:rsidR="00D1537F" w:rsidRPr="00D1537F">
              <w:rPr>
                <w:rFonts w:ascii="Tahoma" w:hAnsi="Tahoma" w:cs="Tahoma"/>
                <w:sz w:val="17"/>
                <w:szCs w:val="17"/>
              </w:rPr>
              <w:t>.202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1344" w:type="dxa"/>
            <w:vAlign w:val="center"/>
          </w:tcPr>
          <w:p w14:paraId="526F0034" w14:textId="4C5123A5" w:rsidR="00D24C46" w:rsidRPr="00DB3CB4" w:rsidRDefault="003C58E3" w:rsidP="00D24C4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1 846,6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767BEBC" w14:textId="3065554A" w:rsidR="00D24C46" w:rsidRPr="00DB3CB4" w:rsidRDefault="00E555B5" w:rsidP="00D24C4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3,62</w:t>
            </w:r>
            <w:r w:rsidR="002348B5">
              <w:rPr>
                <w:rFonts w:ascii="Tahoma" w:hAnsi="Tahoma" w:cs="Tahoma"/>
                <w:sz w:val="17"/>
                <w:szCs w:val="17"/>
              </w:rPr>
              <w:t xml:space="preserve"> – 5,45 </w:t>
            </w:r>
          </w:p>
        </w:tc>
      </w:tr>
      <w:tr w:rsidR="00AF4F75" w:rsidRPr="00DB3CB4" w14:paraId="7FBE4247" w14:textId="77777777" w:rsidTr="0022128B">
        <w:trPr>
          <w:trHeight w:val="368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2C97AC2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Zhodnocovací cash-poolingové účty bez výpovědní lhůty</w:t>
            </w:r>
          </w:p>
        </w:tc>
        <w:tc>
          <w:tcPr>
            <w:tcW w:w="5669" w:type="dxa"/>
          </w:tcPr>
          <w:p w14:paraId="7677419C" w14:textId="40B3CB70" w:rsidR="00AF4F75" w:rsidRPr="00DB3CB4" w:rsidRDefault="00AF4F75" w:rsidP="0022128B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ve</w:t>
            </w:r>
            <w:r w:rsidR="000830CF">
              <w:rPr>
                <w:rFonts w:ascii="Tahoma" w:hAnsi="Tahoma" w:cs="Tahoma"/>
                <w:sz w:val="17"/>
                <w:szCs w:val="17"/>
              </w:rPr>
              <w:t> </w:t>
            </w:r>
            <w:r w:rsidRPr="00DB3CB4">
              <w:rPr>
                <w:rFonts w:ascii="Tahoma" w:hAnsi="Tahoma" w:cs="Tahoma"/>
                <w:sz w:val="17"/>
                <w:szCs w:val="17"/>
              </w:rPr>
              <w:t>fiktivním cash-poolingu (FCP) a současně nejsou uvedeny v jiném typu účtu.</w:t>
            </w:r>
          </w:p>
          <w:p w14:paraId="581CF568" w14:textId="5C13D188" w:rsidR="00AF4F75" w:rsidRPr="00DB3CB4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 xml:space="preserve">Celková úložka kraje v tomto systému totiž činí </w:t>
            </w:r>
            <w:r w:rsidR="004544AF">
              <w:rPr>
                <w:rFonts w:ascii="Tahoma" w:hAnsi="Tahoma" w:cs="Tahoma"/>
                <w:sz w:val="17"/>
                <w:szCs w:val="17"/>
              </w:rPr>
              <w:t>2.</w:t>
            </w:r>
            <w:r w:rsidR="00935E43">
              <w:rPr>
                <w:rFonts w:ascii="Tahoma" w:hAnsi="Tahoma" w:cs="Tahoma"/>
                <w:sz w:val="17"/>
                <w:szCs w:val="17"/>
              </w:rPr>
              <w:t>375,5</w:t>
            </w:r>
            <w:r w:rsidRPr="00DB3CB4">
              <w:rPr>
                <w:rFonts w:ascii="Tahoma" w:hAnsi="Tahoma" w:cs="Tahoma"/>
                <w:sz w:val="17"/>
                <w:szCs w:val="17"/>
              </w:rPr>
              <w:t xml:space="preserve"> mil. Kč (KB + UCB + ČSOB). Rozdíl ve výši 1.</w:t>
            </w:r>
            <w:r w:rsidR="00CA7ED7">
              <w:rPr>
                <w:rFonts w:ascii="Tahoma" w:hAnsi="Tahoma" w:cs="Tahoma"/>
                <w:sz w:val="17"/>
                <w:szCs w:val="17"/>
              </w:rPr>
              <w:t>689,9</w:t>
            </w:r>
            <w:r w:rsidRPr="00DB3CB4">
              <w:rPr>
                <w:rFonts w:ascii="Tahoma" w:hAnsi="Tahoma" w:cs="Tahoma"/>
                <w:sz w:val="17"/>
                <w:szCs w:val="17"/>
              </w:rPr>
              <w:t xml:space="preserve"> mil. Kč (</w:t>
            </w:r>
            <w:r w:rsidR="00E12377">
              <w:rPr>
                <w:rFonts w:ascii="Tahoma" w:hAnsi="Tahoma" w:cs="Tahoma"/>
                <w:sz w:val="17"/>
                <w:szCs w:val="17"/>
              </w:rPr>
              <w:t>2.375,5</w:t>
            </w:r>
            <w:r w:rsidR="00E12377" w:rsidRPr="00DB3CB4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B3CB4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E12377">
              <w:rPr>
                <w:rFonts w:ascii="Tahoma" w:hAnsi="Tahoma" w:cs="Tahoma"/>
                <w:sz w:val="17"/>
                <w:szCs w:val="17"/>
              </w:rPr>
              <w:t>685,6</w:t>
            </w:r>
            <w:r w:rsidRPr="00DB3CB4">
              <w:rPr>
                <w:rFonts w:ascii="Tahoma" w:hAnsi="Tahoma" w:cs="Tahoma"/>
                <w:sz w:val="17"/>
                <w:szCs w:val="17"/>
              </w:rPr>
              <w:t>) je způsoben tím, že v tomto systému jsou zapojeny i účty, které jsou napojeny do FCP, ale současně jsou v této tabulce uváděny samostatně i</w:t>
            </w:r>
            <w:r w:rsidR="000830CF">
              <w:rPr>
                <w:rFonts w:ascii="Tahoma" w:hAnsi="Tahoma" w:cs="Tahoma"/>
                <w:sz w:val="17"/>
                <w:szCs w:val="17"/>
              </w:rPr>
              <w:t> </w:t>
            </w:r>
            <w:r w:rsidRPr="00DB3CB4">
              <w:rPr>
                <w:rFonts w:ascii="Tahoma" w:hAnsi="Tahoma" w:cs="Tahoma"/>
                <w:sz w:val="17"/>
                <w:szCs w:val="17"/>
              </w:rPr>
              <w:t>dle typu </w:t>
            </w:r>
            <w:r w:rsidRPr="00DB3CB4">
              <w:rPr>
                <w:rFonts w:ascii="Tahoma" w:hAnsi="Tahoma" w:cs="Tahoma"/>
                <w:sz w:val="17"/>
                <w:szCs w:val="17"/>
              </w:rPr>
              <w:noBreakHyphen/>
              <w:t> účty fondů, účet pro sociální služby, účet po evropské projekty, některé účty základní běžné a účty pro evropské projekty. Nelze tedy hodnoty zůstatků na těchto účtech současně do více kategorií, aby nedošlo k duplicitě zůstatků na účtech.</w:t>
            </w:r>
          </w:p>
          <w:p w14:paraId="69FF7ACF" w14:textId="70D03B08" w:rsidR="00AF4F75" w:rsidRPr="00DB3CB4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 xml:space="preserve">Tento systém umožňuje dosáhnout i na klasických běžných účtech vyššího úrokového zhodnocení bez jakéhokoli omezení. Do systému jsou dále napojeny i účty </w:t>
            </w:r>
            <w:r w:rsidR="00AF6552">
              <w:rPr>
                <w:rFonts w:ascii="Tahoma" w:hAnsi="Tahoma" w:cs="Tahoma"/>
                <w:sz w:val="17"/>
                <w:szCs w:val="17"/>
              </w:rPr>
              <w:t>170</w:t>
            </w:r>
            <w:r w:rsidRPr="00DB3CB4">
              <w:rPr>
                <w:rFonts w:ascii="Tahoma" w:hAnsi="Tahoma" w:cs="Tahoma"/>
                <w:sz w:val="17"/>
                <w:szCs w:val="17"/>
              </w:rPr>
              <w:t> příspěvkových organizací kraje vč. Bílovecké nemocnice, a. s., a MSID, a. s., které měly v tomto systému uloženy k </w:t>
            </w:r>
            <w:r w:rsidR="00A04AF2">
              <w:rPr>
                <w:rFonts w:ascii="Tahoma" w:hAnsi="Tahoma" w:cs="Tahoma"/>
                <w:sz w:val="17"/>
                <w:szCs w:val="17"/>
              </w:rPr>
              <w:t>30</w:t>
            </w:r>
            <w:r w:rsidRPr="00DB3CB4">
              <w:rPr>
                <w:rFonts w:ascii="Tahoma" w:hAnsi="Tahoma" w:cs="Tahoma"/>
                <w:sz w:val="17"/>
                <w:szCs w:val="17"/>
              </w:rPr>
              <w:t>.</w:t>
            </w:r>
            <w:r w:rsidR="00A04AF2">
              <w:rPr>
                <w:rFonts w:ascii="Tahoma" w:hAnsi="Tahoma" w:cs="Tahoma"/>
                <w:sz w:val="17"/>
                <w:szCs w:val="17"/>
              </w:rPr>
              <w:t>04</w:t>
            </w:r>
            <w:r w:rsidRPr="00DB3CB4">
              <w:rPr>
                <w:rFonts w:ascii="Tahoma" w:hAnsi="Tahoma" w:cs="Tahoma"/>
                <w:sz w:val="17"/>
                <w:szCs w:val="17"/>
              </w:rPr>
              <w:t>.202</w:t>
            </w:r>
            <w:r w:rsidR="00A04AF2">
              <w:rPr>
                <w:rFonts w:ascii="Tahoma" w:hAnsi="Tahoma" w:cs="Tahoma"/>
                <w:sz w:val="17"/>
                <w:szCs w:val="17"/>
              </w:rPr>
              <w:t>4</w:t>
            </w:r>
            <w:r w:rsidRPr="00DB3CB4">
              <w:rPr>
                <w:rFonts w:ascii="Tahoma" w:hAnsi="Tahoma" w:cs="Tahoma"/>
                <w:sz w:val="17"/>
                <w:szCs w:val="17"/>
              </w:rPr>
              <w:t xml:space="preserve"> prostředky v celkové výši </w:t>
            </w:r>
            <w:r w:rsidR="00A04AF2" w:rsidRPr="00A04AF2">
              <w:rPr>
                <w:rFonts w:ascii="Tahoma" w:hAnsi="Tahoma" w:cs="Tahoma"/>
                <w:sz w:val="17"/>
                <w:szCs w:val="17"/>
              </w:rPr>
              <w:t>3.606,97 mil. Kč (v KB, a.s.: 1.620,53 mil. Kč, v UCB, a.s.: 1.792,08 mil. Kč a v ČSOB: 194,36 mil. Kč)</w:t>
            </w:r>
            <w:r w:rsidR="00FC34C7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44" w:type="dxa"/>
            <w:vAlign w:val="center"/>
          </w:tcPr>
          <w:p w14:paraId="091743D9" w14:textId="31BB9471" w:rsidR="00AF4F75" w:rsidRPr="00DB3CB4" w:rsidRDefault="00935E43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685,6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5C929DD8" w14:textId="726F89B3" w:rsidR="00AF4F75" w:rsidRPr="00DB3CB4" w:rsidRDefault="00E12377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4,62</w:t>
            </w:r>
            <w:r w:rsidR="00AF4F75" w:rsidRPr="00DB3CB4">
              <w:rPr>
                <w:rFonts w:ascii="Tahoma" w:hAnsi="Tahoma" w:cs="Tahoma"/>
                <w:sz w:val="17"/>
                <w:szCs w:val="17"/>
              </w:rPr>
              <w:t>–</w:t>
            </w:r>
            <w:r w:rsidR="00935E43">
              <w:rPr>
                <w:rFonts w:ascii="Tahoma" w:hAnsi="Tahoma" w:cs="Tahoma"/>
                <w:sz w:val="17"/>
                <w:szCs w:val="17"/>
              </w:rPr>
              <w:t>5,18</w:t>
            </w:r>
          </w:p>
        </w:tc>
      </w:tr>
      <w:tr w:rsidR="00AF4F75" w:rsidRPr="00DB3CB4" w14:paraId="7BA9E4DE" w14:textId="77777777" w:rsidTr="0022128B">
        <w:trPr>
          <w:trHeight w:val="34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101A3B1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69" w:type="dxa"/>
            <w:vAlign w:val="center"/>
          </w:tcPr>
          <w:p w14:paraId="76F1878D" w14:textId="77777777" w:rsidR="00AF4F75" w:rsidRPr="00DB3CB4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2AEA2CA7" w14:textId="3AB413C2" w:rsidR="00AF4F75" w:rsidRPr="00DB3CB4" w:rsidRDefault="00BF5006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74BFC307" w14:textId="77777777" w:rsidR="00AF4F75" w:rsidRPr="00DB3CB4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AF4F75" w:rsidRPr="00DB3CB4" w14:paraId="3647BB1C" w14:textId="77777777" w:rsidTr="0022128B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FBE0645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69" w:type="dxa"/>
            <w:vAlign w:val="center"/>
          </w:tcPr>
          <w:p w14:paraId="78035503" w14:textId="77777777" w:rsidR="00AF4F75" w:rsidRPr="00DB3CB4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32E14D06" w14:textId="4EA65AB7" w:rsidR="00AF4F75" w:rsidRPr="00DB3CB4" w:rsidRDefault="008C25CA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658,1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854BF9E" w14:textId="22F6923C" w:rsidR="00AF4F75" w:rsidRPr="00DB3CB4" w:rsidRDefault="008C25CA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5,03</w:t>
            </w:r>
          </w:p>
        </w:tc>
      </w:tr>
      <w:tr w:rsidR="00AF4F75" w:rsidRPr="00DB3CB4" w14:paraId="3D283754" w14:textId="77777777" w:rsidTr="00EB1EB4">
        <w:trPr>
          <w:trHeight w:val="41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78E1E92D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69" w:type="dxa"/>
            <w:vAlign w:val="center"/>
          </w:tcPr>
          <w:p w14:paraId="0DBB528B" w14:textId="47D381B1" w:rsidR="00AF4F75" w:rsidRPr="00DB3CB4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</w:tc>
        <w:tc>
          <w:tcPr>
            <w:tcW w:w="1344" w:type="dxa"/>
            <w:vAlign w:val="center"/>
          </w:tcPr>
          <w:p w14:paraId="665A6740" w14:textId="1F277C0E" w:rsidR="00AF4F75" w:rsidRPr="00DB3CB4" w:rsidRDefault="008C25CA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405,2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3537EA67" w14:textId="0C6D5FE1" w:rsidR="00AF4F75" w:rsidRPr="00DB3CB4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0,00–</w:t>
            </w:r>
            <w:r w:rsidR="00EB1EB4">
              <w:rPr>
                <w:rFonts w:ascii="Tahoma" w:hAnsi="Tahoma" w:cs="Tahoma"/>
                <w:sz w:val="17"/>
                <w:szCs w:val="17"/>
              </w:rPr>
              <w:t>5,03</w:t>
            </w:r>
          </w:p>
        </w:tc>
      </w:tr>
      <w:tr w:rsidR="00AF4F75" w:rsidRPr="00DB3CB4" w14:paraId="418E53BC" w14:textId="77777777" w:rsidTr="0022128B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DF570C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51B56C6" w14:textId="2B7ABC26" w:rsidR="00AF4F75" w:rsidRPr="00DB3CB4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částka </w:t>
            </w:r>
            <w:r w:rsidR="00E41719">
              <w:rPr>
                <w:rFonts w:ascii="Tahoma" w:hAnsi="Tahoma" w:cs="Tahoma"/>
                <w:sz w:val="17"/>
                <w:szCs w:val="17"/>
              </w:rPr>
              <w:t>246,2</w:t>
            </w:r>
            <w:r w:rsidRPr="00DB3CB4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4DCEDF4" w14:textId="74B698D6" w:rsidR="00E41719" w:rsidRPr="00DB3CB4" w:rsidRDefault="00E41719" w:rsidP="00E41719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596,8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A18595" w14:textId="52FC5C3E" w:rsidR="00AF4F75" w:rsidRPr="00DB3CB4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0,00–</w:t>
            </w:r>
            <w:r w:rsidR="00EB1EB4">
              <w:rPr>
                <w:rFonts w:ascii="Tahoma" w:hAnsi="Tahoma" w:cs="Tahoma"/>
                <w:sz w:val="17"/>
                <w:szCs w:val="17"/>
              </w:rPr>
              <w:t>5,03</w:t>
            </w:r>
          </w:p>
        </w:tc>
      </w:tr>
      <w:tr w:rsidR="00AF4F75" w:rsidRPr="00DB3CB4" w14:paraId="4998D395" w14:textId="77777777" w:rsidTr="0022128B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F2C64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8C6AAAF" w14:textId="77777777" w:rsidR="00AF4F75" w:rsidRPr="00DB3CB4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 xml:space="preserve">Zde uvedený údaj přepočtený na Kč, účty vedeny v EUR.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88EB173" w14:textId="50643DFC" w:rsidR="00AF4F75" w:rsidRPr="00DB3CB4" w:rsidRDefault="004641AF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18,0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3A5342" w14:textId="77777777" w:rsidR="00AF4F75" w:rsidRPr="00DB3CB4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0,00–0,05</w:t>
            </w:r>
          </w:p>
        </w:tc>
      </w:tr>
      <w:tr w:rsidR="00AF4F75" w:rsidRPr="00DB3CB4" w14:paraId="531F2A03" w14:textId="77777777" w:rsidTr="0022128B">
        <w:trPr>
          <w:trHeight w:val="227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9D559" w14:textId="77777777" w:rsidR="00AF4F75" w:rsidRPr="00DB3CB4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7A5F1F" w14:textId="77777777" w:rsidR="00AF4F75" w:rsidRPr="00DB3CB4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9FED0C" w14:textId="23025035" w:rsidR="00AF4F75" w:rsidRPr="00DB3CB4" w:rsidRDefault="00AF4F75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0,</w:t>
            </w:r>
            <w:r w:rsidR="004641AF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5B575" w14:textId="77777777" w:rsidR="00AF4F75" w:rsidRPr="00DB3CB4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B3CB4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AF4F75" w:rsidRPr="00DB3CB4" w14:paraId="150E63EE" w14:textId="77777777" w:rsidTr="0022128B">
        <w:trPr>
          <w:trHeight w:val="22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B8D21" w14:textId="77777777" w:rsidR="00AF4F75" w:rsidRPr="00DB3CB4" w:rsidRDefault="00AF4F75" w:rsidP="0022128B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B3CB4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2153E" w14:textId="77777777" w:rsidR="00AF4F75" w:rsidRPr="00DB3CB4" w:rsidRDefault="00AF4F75" w:rsidP="0022128B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58E84" w14:textId="0E67948C" w:rsidR="00AF4F75" w:rsidRPr="00DB3CB4" w:rsidRDefault="00606D88" w:rsidP="00D01969">
            <w:pPr>
              <w:tabs>
                <w:tab w:val="decimal" w:pos="535"/>
              </w:tabs>
              <w:jc w:val="right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06D88"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Pr="00606D88">
              <w:rPr>
                <w:rFonts w:ascii="Tahoma" w:hAnsi="Tahoma" w:cs="Tahoma"/>
                <w:b/>
                <w:bCs/>
                <w:sz w:val="17"/>
                <w:szCs w:val="17"/>
              </w:rPr>
              <w:t>081,8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93120" w14:textId="77777777" w:rsidR="00AF4F75" w:rsidRPr="00DB3CB4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6F5ECA95" w14:textId="77777777" w:rsidR="00FE4D61" w:rsidRPr="00F10EF3" w:rsidRDefault="00FE4D61" w:rsidP="00FE4D61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F10EF3">
        <w:rPr>
          <w:rFonts w:ascii="Tahoma" w:hAnsi="Tahoma" w:cs="Tahoma"/>
          <w:sz w:val="20"/>
          <w:szCs w:val="20"/>
        </w:rPr>
        <w:lastRenderedPageBreak/>
        <w:t>Grafy: Rozložení finančních prostředků k 30.04.2024 dle typu účtů a dle bankovních domů v %</w:t>
      </w:r>
    </w:p>
    <w:p w14:paraId="257F5D69" w14:textId="2B6F32F4" w:rsidR="00FE4D61" w:rsidRDefault="00FE4D61" w:rsidP="00AF4F75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40287E4" wp14:editId="4B7FAE20">
            <wp:extent cx="5760720" cy="3464560"/>
            <wp:effectExtent l="0" t="0" r="11430" b="2540"/>
            <wp:docPr id="182891643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8C68D0F-58BF-CFDA-A10E-AF63732EF6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5F4922" w14:textId="77777777" w:rsidR="00FE4D61" w:rsidRDefault="00FE4D61" w:rsidP="00AF4F7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263590C1" w14:textId="285E26C7" w:rsidR="00D01969" w:rsidRPr="00DB3CB4" w:rsidRDefault="00ED58D2" w:rsidP="00AF4F75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3F027AF5" wp14:editId="0665048D">
            <wp:extent cx="5760720" cy="3412490"/>
            <wp:effectExtent l="0" t="0" r="11430" b="16510"/>
            <wp:docPr id="39175467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DF48C6-93A7-6F5F-EAB8-890BCE3668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799ADF" w14:textId="23174FB9" w:rsidR="006F3EF5" w:rsidRPr="0042568E" w:rsidRDefault="006F3EF5" w:rsidP="006F3EF5">
      <w:pPr>
        <w:pStyle w:val="Mjtext"/>
        <w:spacing w:before="240"/>
        <w:rPr>
          <w:bCs/>
          <w:iCs/>
        </w:rPr>
      </w:pPr>
      <w:r w:rsidRPr="0042568E">
        <w:rPr>
          <w:bCs/>
          <w:iCs/>
        </w:rPr>
        <w:t xml:space="preserve">Z výše uvedeného </w:t>
      </w:r>
      <w:r>
        <w:rPr>
          <w:bCs/>
          <w:iCs/>
        </w:rPr>
        <w:t>grafu je patrno, že největší podíl úložek (97,</w:t>
      </w:r>
      <w:r w:rsidR="005D58E2">
        <w:rPr>
          <w:bCs/>
          <w:iCs/>
        </w:rPr>
        <w:t>8</w:t>
      </w:r>
      <w:r>
        <w:rPr>
          <w:bCs/>
          <w:iCs/>
        </w:rPr>
        <w:t xml:space="preserve"> %) je uloženo u ČNB a tzv. systémově významných institucí, které pro daný rok stanoví ČNB. Zbývající část finančních prostředků (2,</w:t>
      </w:r>
      <w:r w:rsidR="00A41558">
        <w:rPr>
          <w:bCs/>
          <w:iCs/>
        </w:rPr>
        <w:t>2</w:t>
      </w:r>
      <w:r>
        <w:rPr>
          <w:bCs/>
          <w:iCs/>
        </w:rPr>
        <w:t xml:space="preserve"> %) je uložena u ostatních spolupracujících bankovních domů (konkrétně zejména u JT a minimální úložka u</w:t>
      </w:r>
      <w:r w:rsidR="00A41558">
        <w:rPr>
          <w:bCs/>
          <w:iCs/>
        </w:rPr>
        <w:t> </w:t>
      </w:r>
      <w:r>
        <w:rPr>
          <w:bCs/>
          <w:iCs/>
        </w:rPr>
        <w:t>OB. U Monety kraj nemá provedenou žádnou úložku).</w:t>
      </w:r>
    </w:p>
    <w:p w14:paraId="380336BE" w14:textId="77777777" w:rsidR="006F3EF5" w:rsidRDefault="006F3EF5" w:rsidP="00AF4F75">
      <w:pPr>
        <w:pStyle w:val="Mjtext"/>
        <w:spacing w:before="360"/>
        <w:rPr>
          <w:b/>
          <w:iCs/>
          <w:u w:val="single"/>
        </w:rPr>
      </w:pPr>
    </w:p>
    <w:p w14:paraId="6057A8F9" w14:textId="6E57DB21" w:rsidR="00AF4F75" w:rsidRPr="00DB3CB4" w:rsidRDefault="00AF4F75" w:rsidP="00AF4F75">
      <w:pPr>
        <w:pStyle w:val="Mjtext"/>
        <w:spacing w:before="360"/>
        <w:rPr>
          <w:b/>
          <w:iCs/>
          <w:u w:val="single"/>
        </w:rPr>
      </w:pPr>
      <w:r w:rsidRPr="00DB3CB4">
        <w:rPr>
          <w:b/>
          <w:iCs/>
          <w:u w:val="single"/>
        </w:rPr>
        <w:lastRenderedPageBreak/>
        <w:t>Informace k vývoji pohledávky kraje vůči Sberbank CZ, a.s. v likvidaci</w:t>
      </w:r>
    </w:p>
    <w:p w14:paraId="668A638B" w14:textId="71F82092" w:rsidR="00106BDE" w:rsidRPr="0085394D" w:rsidRDefault="00106BDE" w:rsidP="0085394D">
      <w:pPr>
        <w:jc w:val="both"/>
        <w:rPr>
          <w:sz w:val="20"/>
          <w:szCs w:val="20"/>
        </w:rPr>
      </w:pPr>
      <w:r w:rsidRPr="0085394D">
        <w:rPr>
          <w:rFonts w:ascii="Tahoma" w:hAnsi="Tahoma" w:cs="Tahoma"/>
          <w:sz w:val="20"/>
          <w:szCs w:val="20"/>
        </w:rPr>
        <w:t>Z celkové pohledávky kraje vůči Sberb</w:t>
      </w:r>
      <w:r>
        <w:rPr>
          <w:rFonts w:ascii="Tahoma" w:hAnsi="Tahoma" w:cs="Tahoma"/>
          <w:sz w:val="20"/>
          <w:szCs w:val="20"/>
        </w:rPr>
        <w:t>ank</w:t>
      </w:r>
      <w:r w:rsidRPr="0085394D">
        <w:rPr>
          <w:rFonts w:ascii="Tahoma" w:hAnsi="Tahoma" w:cs="Tahoma"/>
          <w:sz w:val="20"/>
          <w:szCs w:val="20"/>
        </w:rPr>
        <w:t xml:space="preserve"> CZ, a.s. v</w:t>
      </w:r>
      <w:r w:rsidR="00571CD2">
        <w:rPr>
          <w:rFonts w:ascii="Tahoma" w:hAnsi="Tahoma" w:cs="Tahoma"/>
          <w:sz w:val="20"/>
          <w:szCs w:val="20"/>
        </w:rPr>
        <w:t> </w:t>
      </w:r>
      <w:r w:rsidRPr="0085394D">
        <w:rPr>
          <w:rFonts w:ascii="Tahoma" w:hAnsi="Tahoma" w:cs="Tahoma"/>
          <w:sz w:val="20"/>
          <w:szCs w:val="20"/>
        </w:rPr>
        <w:t>likvidaci</w:t>
      </w:r>
      <w:r w:rsidR="00571CD2">
        <w:rPr>
          <w:rFonts w:ascii="Tahoma" w:hAnsi="Tahoma" w:cs="Tahoma"/>
          <w:sz w:val="20"/>
          <w:szCs w:val="20"/>
        </w:rPr>
        <w:t>,</w:t>
      </w:r>
      <w:r w:rsidRPr="0085394D">
        <w:rPr>
          <w:rFonts w:ascii="Tahoma" w:hAnsi="Tahoma" w:cs="Tahoma"/>
          <w:sz w:val="20"/>
          <w:szCs w:val="20"/>
        </w:rPr>
        <w:t xml:space="preserve"> ve výši 370,5 mil. Kč kraj obdržel </w:t>
      </w:r>
      <w:r w:rsidR="006F1E13">
        <w:rPr>
          <w:rFonts w:ascii="Tahoma" w:hAnsi="Tahoma" w:cs="Tahoma"/>
          <w:sz w:val="20"/>
          <w:szCs w:val="20"/>
        </w:rPr>
        <w:t>dne 26.</w:t>
      </w:r>
      <w:r w:rsidR="00571CD2">
        <w:rPr>
          <w:rFonts w:ascii="Tahoma" w:hAnsi="Tahoma" w:cs="Tahoma"/>
          <w:sz w:val="20"/>
          <w:szCs w:val="20"/>
        </w:rPr>
        <w:t> </w:t>
      </w:r>
      <w:r w:rsidR="006F1E13">
        <w:rPr>
          <w:rFonts w:ascii="Tahoma" w:hAnsi="Tahoma" w:cs="Tahoma"/>
          <w:sz w:val="20"/>
          <w:szCs w:val="20"/>
        </w:rPr>
        <w:t>3.</w:t>
      </w:r>
      <w:r w:rsidR="00571CD2">
        <w:rPr>
          <w:rFonts w:ascii="Tahoma" w:hAnsi="Tahoma" w:cs="Tahoma"/>
          <w:sz w:val="20"/>
          <w:szCs w:val="20"/>
        </w:rPr>
        <w:t> </w:t>
      </w:r>
      <w:r w:rsidR="006F1E13">
        <w:rPr>
          <w:rFonts w:ascii="Tahoma" w:hAnsi="Tahoma" w:cs="Tahoma"/>
          <w:sz w:val="20"/>
          <w:szCs w:val="20"/>
        </w:rPr>
        <w:t xml:space="preserve">2024 </w:t>
      </w:r>
      <w:r w:rsidRPr="0085394D">
        <w:rPr>
          <w:rFonts w:ascii="Tahoma" w:hAnsi="Tahoma" w:cs="Tahoma"/>
          <w:sz w:val="20"/>
          <w:szCs w:val="20"/>
        </w:rPr>
        <w:t>v rámci částečného rozvrhu 95 % této pohledávky ve výši 352,0 mil. Kč. Zbývající část 18,5</w:t>
      </w:r>
      <w:r w:rsidR="006F1E13">
        <w:rPr>
          <w:rFonts w:ascii="Tahoma" w:hAnsi="Tahoma" w:cs="Tahoma"/>
          <w:sz w:val="20"/>
          <w:szCs w:val="20"/>
        </w:rPr>
        <w:t> </w:t>
      </w:r>
      <w:r w:rsidRPr="0085394D">
        <w:rPr>
          <w:rFonts w:ascii="Tahoma" w:hAnsi="Tahoma" w:cs="Tahoma"/>
          <w:sz w:val="20"/>
          <w:szCs w:val="20"/>
        </w:rPr>
        <w:t>mil. Kč bude předmětem dalšího vypořádání ze strany insolvenční správkyně po rozp</w:t>
      </w:r>
      <w:r>
        <w:rPr>
          <w:rFonts w:ascii="Tahoma" w:hAnsi="Tahoma" w:cs="Tahoma"/>
          <w:sz w:val="20"/>
          <w:szCs w:val="20"/>
        </w:rPr>
        <w:t xml:space="preserve">rodeji </w:t>
      </w:r>
      <w:r w:rsidRPr="0085394D">
        <w:rPr>
          <w:rFonts w:ascii="Tahoma" w:hAnsi="Tahoma" w:cs="Tahoma"/>
          <w:sz w:val="20"/>
          <w:szCs w:val="20"/>
        </w:rPr>
        <w:t>zbývajícího majetku</w:t>
      </w:r>
      <w:r>
        <w:rPr>
          <w:rFonts w:ascii="Tahoma" w:hAnsi="Tahoma" w:cs="Tahoma"/>
          <w:sz w:val="20"/>
          <w:szCs w:val="20"/>
        </w:rPr>
        <w:t xml:space="preserve"> v průběhu roku 2024.</w:t>
      </w:r>
    </w:p>
    <w:p w14:paraId="0387B84A" w14:textId="77777777" w:rsidR="00106BDE" w:rsidRDefault="00106BDE" w:rsidP="0085394D">
      <w:pPr>
        <w:jc w:val="both"/>
      </w:pPr>
    </w:p>
    <w:p w14:paraId="5AA2DFFC" w14:textId="20A4E2A4" w:rsidR="00106BDE" w:rsidRDefault="00106BDE" w:rsidP="00106BDE"/>
    <w:p w14:paraId="1FD933AB" w14:textId="65CCEEE4" w:rsidR="00AF4F75" w:rsidRPr="00DB3CB4" w:rsidRDefault="00E001D7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důvodu pozitivního vývoje inkasa pohledávky Sberbank CZ, a.s. v</w:t>
      </w:r>
      <w:r w:rsidR="002B2B1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likvidaci</w:t>
      </w:r>
      <w:r w:rsidR="002B2B1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došlo ke změně stávajících pravidel pro nakládání s finančními prostředky a usnesením rady kraje</w:t>
      </w:r>
      <w:r w:rsidR="00AF4F75" w:rsidRPr="00DB3CB4">
        <w:rPr>
          <w:rFonts w:ascii="Tahoma" w:hAnsi="Tahoma" w:cs="Tahoma"/>
          <w:sz w:val="20"/>
          <w:szCs w:val="20"/>
        </w:rPr>
        <w:t xml:space="preserve"> č. </w:t>
      </w:r>
      <w:r w:rsidR="002152F3">
        <w:rPr>
          <w:rFonts w:ascii="Tahoma" w:hAnsi="Tahoma" w:cs="Tahoma"/>
          <w:sz w:val="20"/>
          <w:szCs w:val="20"/>
        </w:rPr>
        <w:t>94</w:t>
      </w:r>
      <w:r w:rsidR="00AF4F75" w:rsidRPr="00DB3CB4">
        <w:rPr>
          <w:rFonts w:ascii="Tahoma" w:hAnsi="Tahoma" w:cs="Tahoma"/>
          <w:sz w:val="20"/>
          <w:szCs w:val="20"/>
        </w:rPr>
        <w:t>/</w:t>
      </w:r>
      <w:r w:rsidR="002152F3">
        <w:rPr>
          <w:rFonts w:ascii="Tahoma" w:hAnsi="Tahoma" w:cs="Tahoma"/>
          <w:sz w:val="20"/>
          <w:szCs w:val="20"/>
        </w:rPr>
        <w:t>6824</w:t>
      </w:r>
      <w:r w:rsidR="00AF4F75" w:rsidRPr="00DB3CB4">
        <w:rPr>
          <w:rFonts w:ascii="Tahoma" w:hAnsi="Tahoma" w:cs="Tahoma"/>
          <w:sz w:val="20"/>
          <w:szCs w:val="20"/>
        </w:rPr>
        <w:t xml:space="preserve"> ze dne </w:t>
      </w:r>
      <w:r w:rsidR="002152F3">
        <w:rPr>
          <w:rFonts w:ascii="Tahoma" w:hAnsi="Tahoma" w:cs="Tahoma"/>
          <w:sz w:val="20"/>
          <w:szCs w:val="20"/>
        </w:rPr>
        <w:t>8</w:t>
      </w:r>
      <w:r w:rsidR="00AF4F75" w:rsidRPr="00DB3CB4">
        <w:rPr>
          <w:rFonts w:ascii="Tahoma" w:hAnsi="Tahoma" w:cs="Tahoma"/>
          <w:sz w:val="20"/>
          <w:szCs w:val="20"/>
        </w:rPr>
        <w:t xml:space="preserve">. </w:t>
      </w:r>
      <w:r w:rsidR="002152F3">
        <w:rPr>
          <w:rFonts w:ascii="Tahoma" w:hAnsi="Tahoma" w:cs="Tahoma"/>
          <w:sz w:val="20"/>
          <w:szCs w:val="20"/>
        </w:rPr>
        <w:t>4</w:t>
      </w:r>
      <w:r w:rsidR="00AF4F75" w:rsidRPr="00DB3CB4">
        <w:rPr>
          <w:rFonts w:ascii="Tahoma" w:hAnsi="Tahoma" w:cs="Tahoma"/>
          <w:sz w:val="20"/>
          <w:szCs w:val="20"/>
        </w:rPr>
        <w:t>. 202</w:t>
      </w:r>
      <w:r w:rsidR="002152F3">
        <w:rPr>
          <w:rFonts w:ascii="Tahoma" w:hAnsi="Tahoma" w:cs="Tahoma"/>
          <w:sz w:val="20"/>
          <w:szCs w:val="20"/>
        </w:rPr>
        <w:t>4</w:t>
      </w:r>
      <w:r w:rsidR="00AF4F75" w:rsidRPr="00DB3C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možno </w:t>
      </w:r>
      <w:r w:rsidR="00AF4F75" w:rsidRPr="00DB3CB4">
        <w:rPr>
          <w:rFonts w:ascii="Tahoma" w:hAnsi="Tahoma" w:cs="Tahoma"/>
          <w:sz w:val="20"/>
          <w:szCs w:val="20"/>
        </w:rPr>
        <w:t xml:space="preserve">u systémově významných bank (ČS, ČSOB, KB, RFB, UCB, PPF) </w:t>
      </w:r>
      <w:r>
        <w:rPr>
          <w:rFonts w:ascii="Tahoma" w:hAnsi="Tahoma" w:cs="Tahoma"/>
          <w:sz w:val="20"/>
          <w:szCs w:val="20"/>
        </w:rPr>
        <w:t xml:space="preserve">provádět </w:t>
      </w:r>
      <w:r w:rsidR="00AF4F75" w:rsidRPr="00DB3CB4">
        <w:rPr>
          <w:rFonts w:ascii="Tahoma" w:hAnsi="Tahoma" w:cs="Tahoma"/>
          <w:sz w:val="20"/>
          <w:szCs w:val="20"/>
        </w:rPr>
        <w:t>úložky s maximálně 1</w:t>
      </w:r>
      <w:r w:rsidR="00C54D0F">
        <w:rPr>
          <w:rFonts w:ascii="Tahoma" w:hAnsi="Tahoma" w:cs="Tahoma"/>
          <w:sz w:val="20"/>
          <w:szCs w:val="20"/>
        </w:rPr>
        <w:t>2měsíční</w:t>
      </w:r>
      <w:r w:rsidR="00AF4F75" w:rsidRPr="00DB3CB4">
        <w:rPr>
          <w:rFonts w:ascii="Tahoma" w:hAnsi="Tahoma" w:cs="Tahoma"/>
          <w:sz w:val="20"/>
          <w:szCs w:val="20"/>
        </w:rPr>
        <w:t xml:space="preserve"> výpovědní lhůtou</w:t>
      </w:r>
      <w:r>
        <w:rPr>
          <w:rFonts w:ascii="Tahoma" w:hAnsi="Tahoma" w:cs="Tahoma"/>
          <w:sz w:val="20"/>
          <w:szCs w:val="20"/>
        </w:rPr>
        <w:t xml:space="preserve"> (původně 14 dnů)</w:t>
      </w:r>
      <w:r w:rsidR="00AF4F75" w:rsidRPr="00DB3CB4">
        <w:rPr>
          <w:rFonts w:ascii="Tahoma" w:hAnsi="Tahoma" w:cs="Tahoma"/>
          <w:sz w:val="20"/>
          <w:szCs w:val="20"/>
        </w:rPr>
        <w:t>, u ostatních bank (JT, OB a MONETA) s maximálně 1</w:t>
      </w:r>
      <w:r w:rsidR="006F40B0">
        <w:rPr>
          <w:rFonts w:ascii="Tahoma" w:hAnsi="Tahoma" w:cs="Tahoma"/>
          <w:sz w:val="20"/>
          <w:szCs w:val="20"/>
        </w:rPr>
        <w:t>4</w:t>
      </w:r>
      <w:r w:rsidR="00AF4F75" w:rsidRPr="00DB3CB4">
        <w:rPr>
          <w:rFonts w:ascii="Tahoma" w:hAnsi="Tahoma" w:cs="Tahoma"/>
          <w:sz w:val="20"/>
          <w:szCs w:val="20"/>
        </w:rPr>
        <w:t>denní výpovědní lhůtou</w:t>
      </w:r>
      <w:r>
        <w:rPr>
          <w:rFonts w:ascii="Tahoma" w:hAnsi="Tahoma" w:cs="Tahoma"/>
          <w:sz w:val="20"/>
          <w:szCs w:val="20"/>
        </w:rPr>
        <w:t xml:space="preserve"> (původně 1denní výpovědní lhůta)</w:t>
      </w:r>
      <w:r w:rsidR="00AF4F75" w:rsidRPr="00DB3CB4">
        <w:rPr>
          <w:rFonts w:ascii="Tahoma" w:hAnsi="Tahoma" w:cs="Tahoma"/>
          <w:sz w:val="20"/>
          <w:szCs w:val="20"/>
        </w:rPr>
        <w:t xml:space="preserve">. U ČNB je možnost zřizovat vklady </w:t>
      </w:r>
      <w:r w:rsidR="006F40B0">
        <w:rPr>
          <w:rFonts w:ascii="Tahoma" w:hAnsi="Tahoma" w:cs="Tahoma"/>
          <w:sz w:val="20"/>
          <w:szCs w:val="20"/>
        </w:rPr>
        <w:t>bez omezení</w:t>
      </w:r>
      <w:r>
        <w:rPr>
          <w:rFonts w:ascii="Tahoma" w:hAnsi="Tahoma" w:cs="Tahoma"/>
          <w:sz w:val="20"/>
          <w:szCs w:val="20"/>
        </w:rPr>
        <w:t xml:space="preserve"> (původně pouze s devítiměsíční výpovědní lhůtou)</w:t>
      </w:r>
      <w:r w:rsidR="006F40B0">
        <w:rPr>
          <w:rFonts w:ascii="Tahoma" w:hAnsi="Tahoma" w:cs="Tahoma"/>
          <w:sz w:val="20"/>
          <w:szCs w:val="20"/>
        </w:rPr>
        <w:t>.</w:t>
      </w:r>
    </w:p>
    <w:p w14:paraId="6A9FE708" w14:textId="1BFD38BE" w:rsidR="00AF4F75" w:rsidRDefault="00AF4F75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  <w:r w:rsidRPr="00DB3CB4">
        <w:rPr>
          <w:rFonts w:ascii="Tahoma" w:hAnsi="Tahoma" w:cs="Tahoma"/>
          <w:sz w:val="20"/>
          <w:szCs w:val="20"/>
        </w:rPr>
        <w:t xml:space="preserve">Přes výrazný přesun prostředků k systémově významným bankám se </w:t>
      </w:r>
      <w:r w:rsidR="002307DC">
        <w:rPr>
          <w:rFonts w:ascii="Tahoma" w:hAnsi="Tahoma" w:cs="Tahoma"/>
          <w:sz w:val="20"/>
          <w:szCs w:val="20"/>
        </w:rPr>
        <w:t>i přes pokles</w:t>
      </w:r>
      <w:r w:rsidRPr="00DB3CB4">
        <w:rPr>
          <w:rFonts w:ascii="Tahoma" w:hAnsi="Tahoma" w:cs="Tahoma"/>
          <w:sz w:val="20"/>
          <w:szCs w:val="20"/>
        </w:rPr>
        <w:t xml:space="preserve"> úrokových sazeb a dennímu řízení cash</w:t>
      </w:r>
      <w:r w:rsidR="006B1AAB">
        <w:rPr>
          <w:rFonts w:ascii="Tahoma" w:hAnsi="Tahoma" w:cs="Tahoma"/>
          <w:sz w:val="20"/>
          <w:szCs w:val="20"/>
        </w:rPr>
        <w:t xml:space="preserve"> </w:t>
      </w:r>
      <w:r w:rsidRPr="00DB3CB4">
        <w:rPr>
          <w:rFonts w:ascii="Tahoma" w:hAnsi="Tahoma" w:cs="Tahoma"/>
          <w:sz w:val="20"/>
          <w:szCs w:val="20"/>
        </w:rPr>
        <w:t xml:space="preserve">flow </w:t>
      </w:r>
      <w:proofErr w:type="gramStart"/>
      <w:r w:rsidRPr="00DB3CB4">
        <w:rPr>
          <w:rFonts w:ascii="Tahoma" w:hAnsi="Tahoma" w:cs="Tahoma"/>
          <w:sz w:val="20"/>
          <w:szCs w:val="20"/>
        </w:rPr>
        <w:t>daří</w:t>
      </w:r>
      <w:proofErr w:type="gramEnd"/>
      <w:r w:rsidRPr="00DB3CB4">
        <w:rPr>
          <w:rFonts w:ascii="Tahoma" w:hAnsi="Tahoma" w:cs="Tahoma"/>
          <w:sz w:val="20"/>
          <w:szCs w:val="20"/>
        </w:rPr>
        <w:t xml:space="preserve"> přeplňovat očekávaný příjem z úrokových výnosů. K datu 3</w:t>
      </w:r>
      <w:r w:rsidR="002307DC">
        <w:rPr>
          <w:rFonts w:ascii="Tahoma" w:hAnsi="Tahoma" w:cs="Tahoma"/>
          <w:sz w:val="20"/>
          <w:szCs w:val="20"/>
        </w:rPr>
        <w:t>0</w:t>
      </w:r>
      <w:r w:rsidRPr="00DB3CB4">
        <w:rPr>
          <w:rFonts w:ascii="Tahoma" w:hAnsi="Tahoma" w:cs="Tahoma"/>
          <w:sz w:val="20"/>
          <w:szCs w:val="20"/>
        </w:rPr>
        <w:t>.</w:t>
      </w:r>
      <w:r w:rsidR="00452013">
        <w:rPr>
          <w:rFonts w:ascii="Tahoma" w:hAnsi="Tahoma" w:cs="Tahoma"/>
          <w:sz w:val="20"/>
          <w:szCs w:val="20"/>
        </w:rPr>
        <w:t> </w:t>
      </w:r>
      <w:r w:rsidR="000F34D7">
        <w:rPr>
          <w:rFonts w:ascii="Tahoma" w:hAnsi="Tahoma" w:cs="Tahoma"/>
          <w:sz w:val="20"/>
          <w:szCs w:val="20"/>
        </w:rPr>
        <w:t>4</w:t>
      </w:r>
      <w:r w:rsidRPr="00DB3CB4">
        <w:rPr>
          <w:rFonts w:ascii="Tahoma" w:hAnsi="Tahoma" w:cs="Tahoma"/>
          <w:sz w:val="20"/>
          <w:szCs w:val="20"/>
        </w:rPr>
        <w:t>.</w:t>
      </w:r>
      <w:r w:rsidR="00452013">
        <w:rPr>
          <w:rFonts w:ascii="Tahoma" w:hAnsi="Tahoma" w:cs="Tahoma"/>
          <w:sz w:val="20"/>
          <w:szCs w:val="20"/>
        </w:rPr>
        <w:t> </w:t>
      </w:r>
      <w:r w:rsidRPr="00DB3CB4">
        <w:rPr>
          <w:rFonts w:ascii="Tahoma" w:hAnsi="Tahoma" w:cs="Tahoma"/>
          <w:sz w:val="20"/>
          <w:szCs w:val="20"/>
        </w:rPr>
        <w:t>202</w:t>
      </w:r>
      <w:r w:rsidR="000F34D7">
        <w:rPr>
          <w:rFonts w:ascii="Tahoma" w:hAnsi="Tahoma" w:cs="Tahoma"/>
          <w:sz w:val="20"/>
          <w:szCs w:val="20"/>
        </w:rPr>
        <w:t>4</w:t>
      </w:r>
      <w:r w:rsidRPr="00DB3CB4">
        <w:rPr>
          <w:rFonts w:ascii="Tahoma" w:hAnsi="Tahoma" w:cs="Tahoma"/>
          <w:sz w:val="20"/>
          <w:szCs w:val="20"/>
        </w:rPr>
        <w:t xml:space="preserve"> kraj inkasoval na úrokových příjmech částku </w:t>
      </w:r>
      <w:r w:rsidR="00980BE6" w:rsidRPr="00E867A7">
        <w:rPr>
          <w:rFonts w:ascii="Tahoma" w:hAnsi="Tahoma" w:cs="Tahoma"/>
          <w:sz w:val="20"/>
          <w:szCs w:val="20"/>
        </w:rPr>
        <w:t>14</w:t>
      </w:r>
      <w:r w:rsidR="000C30BB">
        <w:rPr>
          <w:rFonts w:ascii="Tahoma" w:hAnsi="Tahoma" w:cs="Tahoma"/>
          <w:sz w:val="20"/>
          <w:szCs w:val="20"/>
        </w:rPr>
        <w:t>8</w:t>
      </w:r>
      <w:r w:rsidRPr="00E867A7">
        <w:rPr>
          <w:rFonts w:ascii="Tahoma" w:hAnsi="Tahoma" w:cs="Tahoma"/>
          <w:sz w:val="20"/>
          <w:szCs w:val="20"/>
        </w:rPr>
        <w:t> mil. Kč (schválený rozpočet počít</w:t>
      </w:r>
      <w:r w:rsidR="00E867A7" w:rsidRPr="00E867A7">
        <w:rPr>
          <w:rFonts w:ascii="Tahoma" w:hAnsi="Tahoma" w:cs="Tahoma"/>
          <w:sz w:val="20"/>
          <w:szCs w:val="20"/>
        </w:rPr>
        <w:t>á</w:t>
      </w:r>
      <w:r w:rsidRPr="00E867A7">
        <w:rPr>
          <w:rFonts w:ascii="Tahoma" w:hAnsi="Tahoma" w:cs="Tahoma"/>
          <w:sz w:val="20"/>
          <w:szCs w:val="20"/>
        </w:rPr>
        <w:t xml:space="preserve"> s částkou </w:t>
      </w:r>
      <w:r w:rsidR="00E867A7" w:rsidRPr="00E867A7">
        <w:rPr>
          <w:rFonts w:ascii="Tahoma" w:hAnsi="Tahoma" w:cs="Tahoma"/>
          <w:sz w:val="20"/>
          <w:szCs w:val="20"/>
        </w:rPr>
        <w:t>120</w:t>
      </w:r>
      <w:r w:rsidRPr="00E867A7">
        <w:rPr>
          <w:rFonts w:ascii="Tahoma" w:hAnsi="Tahoma" w:cs="Tahoma"/>
          <w:sz w:val="20"/>
          <w:szCs w:val="20"/>
        </w:rPr>
        <w:t> mil. Kč).</w:t>
      </w:r>
    </w:p>
    <w:p w14:paraId="151DEB94" w14:textId="77777777" w:rsidR="00FE4D61" w:rsidRDefault="00FE4D61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</w:p>
    <w:p w14:paraId="265AA2B8" w14:textId="77777777" w:rsidR="00FE4D61" w:rsidRDefault="00FE4D61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</w:p>
    <w:p w14:paraId="5CA1A4C1" w14:textId="77777777" w:rsidR="00FE4D61" w:rsidRDefault="00FE4D61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</w:p>
    <w:p w14:paraId="1CC452D8" w14:textId="77777777" w:rsidR="00FE4D61" w:rsidRDefault="00FE4D61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</w:p>
    <w:p w14:paraId="63C3F68B" w14:textId="77777777" w:rsidR="00FE4D61" w:rsidRPr="00DB3CB4" w:rsidRDefault="00FE4D61" w:rsidP="00AF4F75">
      <w:pPr>
        <w:spacing w:before="360" w:after="240"/>
        <w:jc w:val="both"/>
        <w:rPr>
          <w:rFonts w:ascii="Tahoma" w:hAnsi="Tahoma" w:cs="Tahoma"/>
          <w:sz w:val="20"/>
          <w:szCs w:val="20"/>
        </w:rPr>
      </w:pPr>
    </w:p>
    <w:p w14:paraId="643D2E11" w14:textId="77777777" w:rsidR="00E24720" w:rsidRPr="00CD212D" w:rsidRDefault="00E24720" w:rsidP="00FE4D61">
      <w:pPr>
        <w:pStyle w:val="xl33"/>
        <w:tabs>
          <w:tab w:val="left" w:pos="2160"/>
        </w:tabs>
        <w:spacing w:before="400" w:beforeAutospacing="0" w:after="120" w:afterAutospacing="0"/>
        <w:jc w:val="left"/>
        <w:textAlignment w:val="auto"/>
        <w:rPr>
          <w:rFonts w:cs="Tahoma"/>
          <w:bCs w:val="0"/>
          <w:sz w:val="16"/>
          <w:szCs w:val="16"/>
          <w:u w:val="single"/>
        </w:rPr>
      </w:pPr>
      <w:r w:rsidRPr="00CD212D">
        <w:rPr>
          <w:rFonts w:cs="Tahoma"/>
          <w:bCs w:val="0"/>
          <w:sz w:val="16"/>
          <w:szCs w:val="16"/>
          <w:u w:val="single"/>
        </w:rPr>
        <w:t>Seznam použitých zkratek:</w:t>
      </w:r>
    </w:p>
    <w:p w14:paraId="1A1D3040" w14:textId="6196B8CC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a.</w:t>
      </w:r>
      <w:r w:rsidR="009D70E5">
        <w:rPr>
          <w:rFonts w:cs="Tahoma"/>
          <w:b w:val="0"/>
          <w:sz w:val="18"/>
          <w:szCs w:val="18"/>
        </w:rPr>
        <w:t> </w:t>
      </w:r>
      <w:r w:rsidRPr="00CD212D">
        <w:rPr>
          <w:rFonts w:cs="Tahoma"/>
          <w:b w:val="0"/>
          <w:sz w:val="18"/>
          <w:szCs w:val="18"/>
        </w:rPr>
        <w:t>s.</w:t>
      </w:r>
      <w:r w:rsidRPr="00CD212D">
        <w:rPr>
          <w:rFonts w:cs="Tahoma"/>
          <w:b w:val="0"/>
          <w:sz w:val="18"/>
          <w:szCs w:val="18"/>
        </w:rPr>
        <w:tab/>
        <w:t>akciová společnost</w:t>
      </w:r>
    </w:p>
    <w:p w14:paraId="6CD0B434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ČNB</w:t>
      </w:r>
      <w:r w:rsidRPr="00CD212D">
        <w:rPr>
          <w:rFonts w:cs="Tahoma"/>
          <w:b w:val="0"/>
          <w:sz w:val="18"/>
          <w:szCs w:val="18"/>
        </w:rPr>
        <w:tab/>
        <w:t>Česká národní banka</w:t>
      </w:r>
    </w:p>
    <w:p w14:paraId="1D9E2E7F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</w:t>
      </w:r>
      <w:r w:rsidRPr="00CD212D">
        <w:rPr>
          <w:rFonts w:cs="Tahoma"/>
          <w:b w:val="0"/>
          <w:sz w:val="18"/>
          <w:szCs w:val="18"/>
        </w:rPr>
        <w:tab/>
        <w:t>Česká spořitelna, a. s.</w:t>
      </w:r>
    </w:p>
    <w:p w14:paraId="586A7E80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ČSOB</w:t>
      </w:r>
      <w:r w:rsidRPr="00CD212D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0883CF77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DPH</w:t>
      </w:r>
      <w:r w:rsidRPr="00CD212D">
        <w:rPr>
          <w:rFonts w:cs="Tahoma"/>
          <w:b w:val="0"/>
          <w:sz w:val="18"/>
          <w:szCs w:val="18"/>
        </w:rPr>
        <w:tab/>
        <w:t>daň z přidané hodnoty</w:t>
      </w:r>
    </w:p>
    <w:p w14:paraId="43BACF56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EIB</w:t>
      </w:r>
      <w:r w:rsidRPr="00CD212D">
        <w:rPr>
          <w:rFonts w:cs="Tahoma"/>
          <w:b w:val="0"/>
          <w:sz w:val="18"/>
          <w:szCs w:val="18"/>
        </w:rPr>
        <w:tab/>
        <w:t>Evropská investiční banka</w:t>
      </w:r>
    </w:p>
    <w:p w14:paraId="70B0FE8A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EU</w:t>
      </w:r>
      <w:r w:rsidRPr="00CD212D">
        <w:rPr>
          <w:rFonts w:cs="Tahoma"/>
          <w:b w:val="0"/>
          <w:sz w:val="18"/>
          <w:szCs w:val="18"/>
        </w:rPr>
        <w:tab/>
        <w:t>Evropská unie</w:t>
      </w:r>
    </w:p>
    <w:p w14:paraId="5121EE57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ICT</w:t>
      </w:r>
      <w:r w:rsidRPr="00CD212D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1DC16356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JT</w:t>
      </w:r>
      <w:r w:rsidRPr="00CD212D">
        <w:rPr>
          <w:rFonts w:cs="Tahoma"/>
          <w:b w:val="0"/>
          <w:sz w:val="18"/>
          <w:szCs w:val="18"/>
        </w:rPr>
        <w:tab/>
        <w:t>J&amp;T Banka, a. s.</w:t>
      </w:r>
    </w:p>
    <w:p w14:paraId="1F0CAB04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KB</w:t>
      </w:r>
      <w:r w:rsidRPr="00CD212D">
        <w:rPr>
          <w:rFonts w:cs="Tahoma"/>
          <w:b w:val="0"/>
          <w:sz w:val="18"/>
          <w:szCs w:val="18"/>
        </w:rPr>
        <w:tab/>
        <w:t>Komerční banka, a. s.</w:t>
      </w:r>
    </w:p>
    <w:p w14:paraId="44098AF3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MONETA</w:t>
      </w:r>
      <w:r w:rsidRPr="00CD212D">
        <w:rPr>
          <w:rFonts w:cs="Tahoma"/>
          <w:b w:val="0"/>
          <w:sz w:val="18"/>
          <w:szCs w:val="18"/>
        </w:rPr>
        <w:tab/>
        <w:t>MONETA Money Bank, a. s.</w:t>
      </w:r>
    </w:p>
    <w:p w14:paraId="3D246598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MSK</w:t>
      </w:r>
      <w:r w:rsidRPr="00CD212D">
        <w:rPr>
          <w:rFonts w:cs="Tahoma"/>
          <w:b w:val="0"/>
          <w:sz w:val="18"/>
          <w:szCs w:val="18"/>
        </w:rPr>
        <w:tab/>
        <w:t>Moravskoslezský kraj</w:t>
      </w:r>
    </w:p>
    <w:p w14:paraId="385A3F7A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OB</w:t>
      </w:r>
      <w:r w:rsidRPr="00CD212D">
        <w:rPr>
          <w:rFonts w:cs="Tahoma"/>
          <w:b w:val="0"/>
          <w:sz w:val="18"/>
          <w:szCs w:val="18"/>
        </w:rPr>
        <w:tab/>
        <w:t>Oberbank AG pobočka Česká republika</w:t>
      </w:r>
    </w:p>
    <w:p w14:paraId="7941FB31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p. o.</w:t>
      </w:r>
      <w:r w:rsidRPr="00CD212D">
        <w:rPr>
          <w:rFonts w:cs="Tahoma"/>
          <w:b w:val="0"/>
          <w:sz w:val="18"/>
          <w:szCs w:val="18"/>
        </w:rPr>
        <w:tab/>
        <w:t>příspěvková organizace</w:t>
      </w:r>
    </w:p>
    <w:p w14:paraId="734E78C4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PPF</w:t>
      </w:r>
      <w:r w:rsidRPr="00CD212D">
        <w:rPr>
          <w:rFonts w:cs="Tahoma"/>
          <w:b w:val="0"/>
          <w:sz w:val="18"/>
          <w:szCs w:val="18"/>
        </w:rPr>
        <w:tab/>
        <w:t>PPF Banka, a. s.</w:t>
      </w:r>
    </w:p>
    <w:p w14:paraId="247BDBAF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RFB</w:t>
      </w:r>
      <w:r w:rsidRPr="00CD212D">
        <w:rPr>
          <w:rFonts w:cs="Tahoma"/>
          <w:b w:val="0"/>
          <w:sz w:val="18"/>
          <w:szCs w:val="18"/>
        </w:rPr>
        <w:tab/>
        <w:t>Raiffeisenbank, a. s.</w:t>
      </w:r>
    </w:p>
    <w:p w14:paraId="3EA79261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RK</w:t>
      </w:r>
      <w:r w:rsidRPr="00CD212D">
        <w:rPr>
          <w:rFonts w:cs="Tahoma"/>
          <w:b w:val="0"/>
          <w:sz w:val="18"/>
          <w:szCs w:val="18"/>
        </w:rPr>
        <w:tab/>
        <w:t>rada kraje</w:t>
      </w:r>
    </w:p>
    <w:p w14:paraId="3DA769DB" w14:textId="632630E5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SB</w:t>
      </w:r>
      <w:r w:rsidRPr="00CD212D">
        <w:rPr>
          <w:rFonts w:cs="Tahoma"/>
          <w:b w:val="0"/>
          <w:sz w:val="18"/>
          <w:szCs w:val="18"/>
        </w:rPr>
        <w:tab/>
        <w:t>Sberbank CZ, a. s.</w:t>
      </w:r>
      <w:r w:rsidR="002D3F47">
        <w:rPr>
          <w:rFonts w:cs="Tahoma"/>
          <w:b w:val="0"/>
          <w:sz w:val="18"/>
          <w:szCs w:val="18"/>
        </w:rPr>
        <w:t>, v likvidaci</w:t>
      </w:r>
    </w:p>
    <w:p w14:paraId="5A94CF7F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s. r. o.</w:t>
      </w:r>
      <w:r w:rsidRPr="00CD212D">
        <w:rPr>
          <w:rFonts w:cs="Tahoma"/>
          <w:b w:val="0"/>
          <w:sz w:val="18"/>
          <w:szCs w:val="18"/>
        </w:rPr>
        <w:tab/>
        <w:t>společnost s ručením omezeným</w:t>
      </w:r>
    </w:p>
    <w:p w14:paraId="19E92C48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UCB</w:t>
      </w:r>
      <w:r w:rsidRPr="00CD212D">
        <w:rPr>
          <w:rFonts w:cs="Tahoma"/>
          <w:b w:val="0"/>
          <w:sz w:val="18"/>
          <w:szCs w:val="18"/>
        </w:rPr>
        <w:tab/>
        <w:t>UniCredit Bank Czech Republic and Slovakia, a. s.</w:t>
      </w:r>
    </w:p>
    <w:p w14:paraId="21548446" w14:textId="77777777" w:rsidR="00E24720" w:rsidRPr="00CD212D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ZK</w:t>
      </w:r>
      <w:r w:rsidRPr="00CD212D">
        <w:rPr>
          <w:rFonts w:cs="Tahoma"/>
          <w:b w:val="0"/>
          <w:sz w:val="18"/>
          <w:szCs w:val="18"/>
        </w:rPr>
        <w:tab/>
        <w:t>zastupitelstvo kraje</w:t>
      </w:r>
    </w:p>
    <w:p w14:paraId="42633B29" w14:textId="77777777" w:rsidR="00E24720" w:rsidRPr="00CD212D" w:rsidRDefault="00E24720" w:rsidP="00E24720">
      <w:pPr>
        <w:pStyle w:val="Mjtext"/>
        <w:spacing w:before="240"/>
        <w:rPr>
          <w:bCs/>
          <w:iCs/>
        </w:rPr>
      </w:pPr>
    </w:p>
    <w:sectPr w:rsidR="00E24720" w:rsidRPr="00CD212D" w:rsidSect="00A51BB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AF9B" w14:textId="77777777" w:rsidR="00A51BB2" w:rsidRDefault="00A51BB2" w:rsidP="00630977">
      <w:r>
        <w:separator/>
      </w:r>
    </w:p>
  </w:endnote>
  <w:endnote w:type="continuationSeparator" w:id="0">
    <w:p w14:paraId="0E56633F" w14:textId="77777777" w:rsidR="00A51BB2" w:rsidRDefault="00A51BB2" w:rsidP="006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D79B" w14:textId="578BFC63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5E5103" wp14:editId="039CC4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8634534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0001" w14:textId="0BE11962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E51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E40001" w14:textId="0BE11962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5C50" w14:textId="61CECDDC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BC6762" wp14:editId="65C8B1F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1739288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B6DD" w14:textId="47032BDA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C67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BDBB6DD" w14:textId="47032BDA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F793" w14:textId="510ACB76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C61C8" wp14:editId="4D2281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3243580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C10B3" w14:textId="671970E0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61C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EFC10B3" w14:textId="671970E0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028B" w14:textId="77777777" w:rsidR="00A51BB2" w:rsidRDefault="00A51BB2" w:rsidP="00630977">
      <w:r>
        <w:separator/>
      </w:r>
    </w:p>
  </w:footnote>
  <w:footnote w:type="continuationSeparator" w:id="0">
    <w:p w14:paraId="1135008A" w14:textId="77777777" w:rsidR="00A51BB2" w:rsidRDefault="00A51BB2" w:rsidP="0063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36F8" w14:textId="77777777" w:rsidR="00FE4D61" w:rsidRPr="00434448" w:rsidRDefault="00FE4D61" w:rsidP="00FE4D61">
    <w:pPr>
      <w:pStyle w:val="Zhlav"/>
      <w:rPr>
        <w:rFonts w:ascii="Tahoma" w:hAnsi="Tahoma" w:cs="Tahoma"/>
        <w:sz w:val="18"/>
        <w:szCs w:val="18"/>
      </w:rPr>
    </w:pPr>
    <w:r w:rsidRPr="00434448">
      <w:rPr>
        <w:rFonts w:ascii="Tahoma" w:hAnsi="Tahoma" w:cs="Tahoma"/>
        <w:sz w:val="18"/>
        <w:szCs w:val="18"/>
      </w:rPr>
      <w:t>Příloha č. 7</w:t>
    </w:r>
  </w:p>
  <w:p w14:paraId="4841EB56" w14:textId="77777777" w:rsidR="00FE4D61" w:rsidRDefault="00FE4D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27CF786F"/>
    <w:multiLevelType w:val="multilevel"/>
    <w:tmpl w:val="BCD6FC9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Tabulka %1.%2:"/>
      <w:lvlJc w:val="left"/>
      <w:pPr>
        <w:ind w:left="1277" w:firstLine="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10D9"/>
    <w:multiLevelType w:val="multilevel"/>
    <w:tmpl w:val="36364466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sz w:val="27"/>
        <w:szCs w:val="27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2262602">
    <w:abstractNumId w:val="1"/>
  </w:num>
  <w:num w:numId="2" w16cid:durableId="1523744134">
    <w:abstractNumId w:val="4"/>
  </w:num>
  <w:num w:numId="3" w16cid:durableId="525680961">
    <w:abstractNumId w:val="3"/>
  </w:num>
  <w:num w:numId="4" w16cid:durableId="370543251">
    <w:abstractNumId w:val="2"/>
  </w:num>
  <w:num w:numId="5" w16cid:durableId="450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5"/>
    <w:rsid w:val="00074504"/>
    <w:rsid w:val="000830CF"/>
    <w:rsid w:val="000B7C33"/>
    <w:rsid w:val="000C0D71"/>
    <w:rsid w:val="000C30BB"/>
    <w:rsid w:val="000F34D7"/>
    <w:rsid w:val="00106BDE"/>
    <w:rsid w:val="001B3D10"/>
    <w:rsid w:val="001C1479"/>
    <w:rsid w:val="002152F3"/>
    <w:rsid w:val="002307DC"/>
    <w:rsid w:val="002348B5"/>
    <w:rsid w:val="00242C6A"/>
    <w:rsid w:val="002B2B1A"/>
    <w:rsid w:val="002C0210"/>
    <w:rsid w:val="002C6BBC"/>
    <w:rsid w:val="002D3F47"/>
    <w:rsid w:val="002F0C6B"/>
    <w:rsid w:val="00312E79"/>
    <w:rsid w:val="00366A87"/>
    <w:rsid w:val="00392C9E"/>
    <w:rsid w:val="003B79D3"/>
    <w:rsid w:val="003C58E3"/>
    <w:rsid w:val="00452013"/>
    <w:rsid w:val="004544AF"/>
    <w:rsid w:val="004641AF"/>
    <w:rsid w:val="00571CD2"/>
    <w:rsid w:val="005722F6"/>
    <w:rsid w:val="005D58E2"/>
    <w:rsid w:val="005F5229"/>
    <w:rsid w:val="00606D88"/>
    <w:rsid w:val="00630977"/>
    <w:rsid w:val="00632C11"/>
    <w:rsid w:val="00647591"/>
    <w:rsid w:val="006B1AAB"/>
    <w:rsid w:val="006F1E13"/>
    <w:rsid w:val="006F3EF5"/>
    <w:rsid w:val="006F40B0"/>
    <w:rsid w:val="007B2673"/>
    <w:rsid w:val="007C5D30"/>
    <w:rsid w:val="008055BA"/>
    <w:rsid w:val="0085394D"/>
    <w:rsid w:val="00853A30"/>
    <w:rsid w:val="008C25CA"/>
    <w:rsid w:val="008E4C52"/>
    <w:rsid w:val="008F0F03"/>
    <w:rsid w:val="00935E43"/>
    <w:rsid w:val="00937823"/>
    <w:rsid w:val="00941605"/>
    <w:rsid w:val="009559A6"/>
    <w:rsid w:val="00980BE6"/>
    <w:rsid w:val="009C1929"/>
    <w:rsid w:val="009C7012"/>
    <w:rsid w:val="009D70E5"/>
    <w:rsid w:val="00A04AF2"/>
    <w:rsid w:val="00A379B2"/>
    <w:rsid w:val="00A41558"/>
    <w:rsid w:val="00A51BB2"/>
    <w:rsid w:val="00AB3E50"/>
    <w:rsid w:val="00AE20F1"/>
    <w:rsid w:val="00AF4F75"/>
    <w:rsid w:val="00AF6552"/>
    <w:rsid w:val="00B26115"/>
    <w:rsid w:val="00B9408A"/>
    <w:rsid w:val="00BF5006"/>
    <w:rsid w:val="00C54D0F"/>
    <w:rsid w:val="00C649C7"/>
    <w:rsid w:val="00CA7ED7"/>
    <w:rsid w:val="00CC2FC2"/>
    <w:rsid w:val="00CD3943"/>
    <w:rsid w:val="00D01969"/>
    <w:rsid w:val="00D1537F"/>
    <w:rsid w:val="00D24C46"/>
    <w:rsid w:val="00DA5E27"/>
    <w:rsid w:val="00E001D7"/>
    <w:rsid w:val="00E12377"/>
    <w:rsid w:val="00E24720"/>
    <w:rsid w:val="00E41719"/>
    <w:rsid w:val="00E555B5"/>
    <w:rsid w:val="00E867A7"/>
    <w:rsid w:val="00EA4D26"/>
    <w:rsid w:val="00EB1EB4"/>
    <w:rsid w:val="00EC2B19"/>
    <w:rsid w:val="00ED58D2"/>
    <w:rsid w:val="00EE1752"/>
    <w:rsid w:val="00EF1DDD"/>
    <w:rsid w:val="00F07FB1"/>
    <w:rsid w:val="00F33465"/>
    <w:rsid w:val="00FC34C7"/>
    <w:rsid w:val="00FE4D61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CB"/>
  <w15:chartTrackingRefBased/>
  <w15:docId w15:val="{2DCCF48E-85BD-4DE9-860B-F55B0B9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F4F75"/>
    <w:pPr>
      <w:keepNext/>
      <w:numPr>
        <w:numId w:val="2"/>
      </w:numPr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AF4F75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85394D"/>
    <w:pPr>
      <w:numPr>
        <w:ilvl w:val="2"/>
        <w:numId w:val="2"/>
      </w:numPr>
      <w:tabs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AF4F75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AF4F75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AF4F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4F7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F4F7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F4F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4F75"/>
    <w:rPr>
      <w:rFonts w:ascii="Tahoma" w:eastAsia="Times New Roman" w:hAnsi="Tahoma" w:cs="Arial"/>
      <w:b/>
      <w:bCs/>
      <w:kern w:val="32"/>
      <w:sz w:val="27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F4F75"/>
    <w:rPr>
      <w:rFonts w:ascii="Tahoma" w:eastAsia="Times New Roman" w:hAnsi="Tahoma" w:cs="Tahoma"/>
      <w:b/>
      <w:bCs/>
      <w:i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85394D"/>
    <w:rPr>
      <w:rFonts w:ascii="Tahoma" w:eastAsia="Times New Roman" w:hAnsi="Tahoma" w:cs="Tahoma"/>
      <w:b/>
      <w:bCs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F4F75"/>
    <w:rPr>
      <w:rFonts w:ascii="Times New Roman" w:eastAsia="Times New Roman" w:hAnsi="Times New Roman" w:cs="Times New Roman"/>
      <w:b/>
      <w:bCs/>
      <w:kern w:val="0"/>
      <w:sz w:val="24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F4F75"/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AF4F75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AF4F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AF4F75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AF4F75"/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106BDE"/>
    <w:pPr>
      <w:keepNext/>
      <w:tabs>
        <w:tab w:val="right" w:pos="9053"/>
      </w:tabs>
      <w:ind w:left="1277"/>
      <w:jc w:val="both"/>
      <w:outlineLvl w:val="1"/>
    </w:pPr>
    <w:rPr>
      <w:rFonts w:ascii="Tahoma" w:hAnsi="Tahoma" w:cs="Tahoma"/>
      <w:b/>
      <w:sz w:val="18"/>
      <w:szCs w:val="18"/>
    </w:rPr>
  </w:style>
  <w:style w:type="character" w:customStyle="1" w:styleId="StyltabChar">
    <w:name w:val="Styl tab. Char"/>
    <w:basedOn w:val="Standardnpsmoodstavce"/>
    <w:link w:val="Styltab"/>
    <w:rsid w:val="00106BDE"/>
    <w:rPr>
      <w:rFonts w:ascii="Tahoma" w:eastAsia="Times New Roman" w:hAnsi="Tahoma" w:cs="Tahoma"/>
      <w:b/>
      <w:kern w:val="0"/>
      <w:sz w:val="18"/>
      <w:szCs w:val="18"/>
      <w:lang w:eastAsia="cs-CZ"/>
      <w14:ligatures w14:val="none"/>
    </w:rPr>
  </w:style>
  <w:style w:type="paragraph" w:customStyle="1" w:styleId="Mjtext">
    <w:name w:val="Můj text"/>
    <w:basedOn w:val="Normln"/>
    <w:link w:val="MjtextChar"/>
    <w:rsid w:val="00AF4F75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AF4F75"/>
    <w:rPr>
      <w:rFonts w:ascii="Tahoma" w:eastAsia="Times New Roman" w:hAnsi="Tahoma" w:cs="Tahoma"/>
      <w:kern w:val="0"/>
      <w:sz w:val="20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AF4F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30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9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722F6"/>
    <w:pPr>
      <w:ind w:left="720"/>
      <w:contextualSpacing/>
    </w:pPr>
  </w:style>
  <w:style w:type="paragraph" w:customStyle="1" w:styleId="xl33">
    <w:name w:val="xl33"/>
    <w:basedOn w:val="Normln"/>
    <w:rsid w:val="00E24720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paragraph" w:styleId="Revize">
    <w:name w:val="Revision"/>
    <w:hidden/>
    <w:uiPriority w:val="99"/>
    <w:semiHidden/>
    <w:rsid w:val="00106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E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D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4/04_2024/2024_04_30_Stavy%20&#250;&#269;t&#367;_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4/04_2024/2024_04_30_Stavy%20&#250;&#269;t&#367;_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1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Rozložení finančních prostředků k 30. 4. 2024 dle typů účtů v %</a:t>
            </a: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1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1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16254842612758511"/>
          <c:y val="1.88679245283018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E9-4DD8-B0FE-BA1DE92D8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E9-4DD8-B0FE-BA1DE92D8C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E9-4DD8-B0FE-BA1DE92D8C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E9-4DD8-B0FE-BA1DE92D8C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E9-4DD8-B0FE-BA1DE92D8C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4E9-4DD8-B0FE-BA1DE92D8C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4E9-4DD8-B0FE-BA1DE92D8C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4E9-4DD8-B0FE-BA1DE92D8C0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4E9-4DD8-B0FE-BA1DE92D8C0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4E9-4DD8-B0FE-BA1DE92D8C0B}"/>
              </c:ext>
            </c:extLst>
          </c:dPt>
          <c:dLbls>
            <c:dLbl>
              <c:idx val="0"/>
              <c:layout>
                <c:manualLayout>
                  <c:x val="2.9622233391038817E-2"/>
                  <c:y val="-7.3289258653989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E9-4DD8-B0FE-BA1DE92D8C0B}"/>
                </c:ext>
              </c:extLst>
            </c:dLbl>
            <c:dLbl>
              <c:idx val="1"/>
              <c:layout>
                <c:manualLayout>
                  <c:x val="6.0044451890322079E-2"/>
                  <c:y val="-3.58287525380083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E9-4DD8-B0FE-BA1DE92D8C0B}"/>
                </c:ext>
              </c:extLst>
            </c:dLbl>
            <c:dLbl>
              <c:idx val="2"/>
              <c:layout>
                <c:manualLayout>
                  <c:x val="7.1868505798477381E-2"/>
                  <c:y val="2.94448571287078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E9-4DD8-B0FE-BA1DE92D8C0B}"/>
                </c:ext>
              </c:extLst>
            </c:dLbl>
            <c:dLbl>
              <c:idx val="3"/>
              <c:layout>
                <c:manualLayout>
                  <c:x val="-3.0348057556635208E-2"/>
                  <c:y val="-2.419897984450056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E9-4DD8-B0FE-BA1DE92D8C0B}"/>
                </c:ext>
              </c:extLst>
            </c:dLbl>
            <c:dLbl>
              <c:idx val="4"/>
              <c:layout>
                <c:manualLayout>
                  <c:x val="-0.10226719532398876"/>
                  <c:y val="0.106759520625959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E9-4DD8-B0FE-BA1DE92D8C0B}"/>
                </c:ext>
              </c:extLst>
            </c:dLbl>
            <c:dLbl>
              <c:idx val="5"/>
              <c:layout>
                <c:manualLayout>
                  <c:x val="-4.6251410063103814E-2"/>
                  <c:y val="8.716510672015048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E9-4DD8-B0FE-BA1DE92D8C0B}"/>
                </c:ext>
              </c:extLst>
            </c:dLbl>
            <c:dLbl>
              <c:idx val="6"/>
              <c:layout>
                <c:manualLayout>
                  <c:x val="-6.3959792260010084E-2"/>
                  <c:y val="5.66988560392214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4E9-4DD8-B0FE-BA1DE92D8C0B}"/>
                </c:ext>
              </c:extLst>
            </c:dLbl>
            <c:dLbl>
              <c:idx val="7"/>
              <c:layout>
                <c:manualLayout>
                  <c:x val="-7.9426369576143394E-2"/>
                  <c:y val="-3.12680136681028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4E9-4DD8-B0FE-BA1DE92D8C0B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4E9-4DD8-B0FE-BA1DE92D8C0B}"/>
                </c:ext>
              </c:extLst>
            </c:dLbl>
            <c:dLbl>
              <c:idx val="9"/>
              <c:layout>
                <c:manualLayout>
                  <c:x val="-3.0206139126226314E-2"/>
                  <c:y val="-0.103155053731491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4E9-4DD8-B0FE-BA1DE92D8C0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4E9-4DD8-B0FE-BA1DE92D8C0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28.532919749093452</c:v>
                </c:pt>
                <c:pt idx="1">
                  <c:v>13.213548108082216</c:v>
                </c:pt>
                <c:pt idx="2">
                  <c:v>10.804243340756196</c:v>
                </c:pt>
                <c:pt idx="3">
                  <c:v>20.333613449671869</c:v>
                </c:pt>
                <c:pt idx="4">
                  <c:v>7.5489446311935886</c:v>
                </c:pt>
                <c:pt idx="5">
                  <c:v>1.0879439880682313</c:v>
                </c:pt>
                <c:pt idx="6">
                  <c:v>7.246466399244512</c:v>
                </c:pt>
                <c:pt idx="7">
                  <c:v>4.4622094975365165</c:v>
                </c:pt>
                <c:pt idx="8">
                  <c:v>6.5714400261345114</c:v>
                </c:pt>
                <c:pt idx="9">
                  <c:v>0.19867081021892427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4E9-4DD8-B0FE-BA1DE92D8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65000"/>
          <a:lumOff val="3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1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Rozložení finančních prostředků k 30. 4. 2024 dle bankovních domů v %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0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(pozn.:SVI=systémově významná instituce dle ČNB)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0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1596276159924454"/>
          <c:y val="2.97729810197246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34339938570832"/>
          <c:y val="0.22967258296346846"/>
          <c:w val="0.33019503220225449"/>
          <c:h val="0.572457817948958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90-4A36-AF8A-0F3C24B5B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90-4A36-AF8A-0F3C24B5B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90-4A36-AF8A-0F3C24B5B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90-4A36-AF8A-0F3C24B5B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90-4A36-AF8A-0F3C24B5BA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790-4A36-AF8A-0F3C24B5BA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790-4A36-AF8A-0F3C24B5BA6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790-4A36-AF8A-0F3C24B5BA6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790-4A36-AF8A-0F3C24B5BA6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790-4A36-AF8A-0F3C24B5BA6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790-4A36-AF8A-0F3C24B5BA6A}"/>
              </c:ext>
            </c:extLst>
          </c:dPt>
          <c:dLbls>
            <c:dLbl>
              <c:idx val="0"/>
              <c:layout>
                <c:manualLayout>
                  <c:x val="-1.090431877833522E-3"/>
                  <c:y val="-4.75744129106164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90-4A36-AF8A-0F3C24B5BA6A}"/>
                </c:ext>
              </c:extLst>
            </c:dLbl>
            <c:dLbl>
              <c:idx val="1"/>
              <c:layout>
                <c:manualLayout>
                  <c:x val="6.4682355046528278E-2"/>
                  <c:y val="-5.5930562636504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90-4A36-AF8A-0F3C24B5BA6A}"/>
                </c:ext>
              </c:extLst>
            </c:dLbl>
            <c:dLbl>
              <c:idx val="2"/>
              <c:layout>
                <c:manualLayout>
                  <c:x val="5.4004414220949655E-2"/>
                  <c:y val="5.602925533588876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90-4A36-AF8A-0F3C24B5BA6A}"/>
                </c:ext>
              </c:extLst>
            </c:dLbl>
            <c:dLbl>
              <c:idx val="3"/>
              <c:layout>
                <c:manualLayout>
                  <c:x val="-4.0599349797184478E-2"/>
                  <c:y val="5.42610950609591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90-4A36-AF8A-0F3C24B5BA6A}"/>
                </c:ext>
              </c:extLst>
            </c:dLbl>
            <c:dLbl>
              <c:idx val="4"/>
              <c:layout>
                <c:manualLayout>
                  <c:x val="-0.16821641612980195"/>
                  <c:y val="8.09383359454167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90-4A36-AF8A-0F3C24B5BA6A}"/>
                </c:ext>
              </c:extLst>
            </c:dLbl>
            <c:dLbl>
              <c:idx val="5"/>
              <c:layout>
                <c:manualLayout>
                  <c:x val="-0.13331066571224054"/>
                  <c:y val="-1.630695443645083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90-4A36-AF8A-0F3C24B5BA6A}"/>
                </c:ext>
              </c:extLst>
            </c:dLbl>
            <c:dLbl>
              <c:idx val="6"/>
              <c:layout>
                <c:manualLayout>
                  <c:x val="-0.16791398234311619"/>
                  <c:y val="2.64033182902496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90-4A36-AF8A-0F3C24B5BA6A}"/>
                </c:ext>
              </c:extLst>
            </c:dLbl>
            <c:dLbl>
              <c:idx val="7"/>
              <c:layout>
                <c:manualLayout>
                  <c:x val="-0.16326040921021237"/>
                  <c:y val="-7.24303706640987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90-4A36-AF8A-0F3C24B5BA6A}"/>
                </c:ext>
              </c:extLst>
            </c:dLbl>
            <c:dLbl>
              <c:idx val="8"/>
              <c:layout>
                <c:manualLayout>
                  <c:x val="-9.5499731567644977E-2"/>
                  <c:y val="-9.60569497158178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790-4A36-AF8A-0F3C24B5BA6A}"/>
                </c:ext>
              </c:extLst>
            </c:dLbl>
            <c:dLbl>
              <c:idx val="9"/>
              <c:layout>
                <c:manualLayout>
                  <c:x val="-3.3128131710808882E-2"/>
                  <c:y val="-0.131938291886176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790-4A36-AF8A-0F3C24B5BA6A}"/>
                </c:ext>
              </c:extLst>
            </c:dLbl>
            <c:dLbl>
              <c:idx val="10"/>
              <c:layout>
                <c:manualLayout>
                  <c:x val="-6.3618468146023734E-4"/>
                  <c:y val="-8.75197794520289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790-4A36-AF8A-0F3C24B5BA6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 -SVI</c:v>
                </c:pt>
                <c:pt idx="2">
                  <c:v>ČSOB- SVI</c:v>
                </c:pt>
                <c:pt idx="3">
                  <c:v>JT</c:v>
                </c:pt>
                <c:pt idx="4">
                  <c:v>KB - SVI</c:v>
                </c:pt>
                <c:pt idx="5">
                  <c:v>MONETA</c:v>
                </c:pt>
                <c:pt idx="6">
                  <c:v>OB</c:v>
                </c:pt>
                <c:pt idx="7">
                  <c:v>PPF - SVI</c:v>
                </c:pt>
                <c:pt idx="8">
                  <c:v>RFB - SVI</c:v>
                </c:pt>
                <c:pt idx="10">
                  <c:v>UCB - SVI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12.779768359442242</c:v>
                </c:pt>
                <c:pt idx="1">
                  <c:v>34.702498154215533</c:v>
                </c:pt>
                <c:pt idx="2">
                  <c:v>12.120385729136242</c:v>
                </c:pt>
                <c:pt idx="3">
                  <c:v>2.2023765632504415</c:v>
                </c:pt>
                <c:pt idx="4">
                  <c:v>1.9787164760594114</c:v>
                </c:pt>
                <c:pt idx="5">
                  <c:v>0</c:v>
                </c:pt>
                <c:pt idx="6">
                  <c:v>9.8966171942508789E-5</c:v>
                </c:pt>
                <c:pt idx="7">
                  <c:v>10.362906452223585</c:v>
                </c:pt>
                <c:pt idx="8">
                  <c:v>4.4266243119030069</c:v>
                </c:pt>
                <c:pt idx="10">
                  <c:v>21.426624987597613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3790-4A36-AF8A-0F3C24B5B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65000"/>
          <a:lumOff val="3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Neděla Pavel</dc:creator>
  <cp:keywords/>
  <dc:description/>
  <cp:lastModifiedBy>Klučková Pavla</cp:lastModifiedBy>
  <cp:revision>9</cp:revision>
  <dcterms:created xsi:type="dcterms:W3CDTF">2024-05-14T13:11:00Z</dcterms:created>
  <dcterms:modified xsi:type="dcterms:W3CDTF">2024-05-15T08:06:00Z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6d38c060,7c5b1a81,429a0ff3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2024-03-20T10:17:51Z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3904869c-cdcc-4269-b0d0-7946dd2c8339</vt:lpwstr>
  </property>
  <property fmtid="{D5CDD505-2E9C-101B-9397-08002B2CF9AE}" pid="11" name="MSIP_Label_215ad6d0-798b-44f9-b3fd-112ad6275fb4_ContentBits">
    <vt:lpwstr>2</vt:lpwstr>
  </property>
</Properties>
</file>