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AC" w:rsidRPr="005B23AC" w:rsidRDefault="005B23AC" w:rsidP="005B23A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</w:pPr>
      <w:r w:rsidRPr="005B23AC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Kupní sml</w:t>
      </w:r>
      <w:r w:rsidR="002C7C10" w:rsidRPr="00564E18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 xml:space="preserve">ouva o převodu </w:t>
      </w:r>
      <w:r w:rsidR="00564E18" w:rsidRPr="00564E18">
        <w:rPr>
          <w:rFonts w:ascii="Tahoma" w:eastAsia="Times New Roman" w:hAnsi="Tahoma" w:cs="Tahoma"/>
          <w:b/>
          <w:bCs/>
          <w:kern w:val="36"/>
          <w:sz w:val="24"/>
          <w:szCs w:val="24"/>
          <w:lang w:eastAsia="cs-CZ"/>
        </w:rPr>
        <w:t>akcií</w:t>
      </w:r>
    </w:p>
    <w:p w:rsidR="005B23AC" w:rsidRPr="005B23AC" w:rsidRDefault="005B23AC" w:rsidP="00264CD9">
      <w:pPr>
        <w:keepNext/>
        <w:spacing w:before="360" w:after="0" w:line="240" w:lineRule="auto"/>
        <w:jc w:val="center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I.</w:t>
      </w:r>
      <w:r>
        <w:rPr>
          <w:rFonts w:ascii="Tahoma" w:eastAsia="Times New Roman" w:hAnsi="Tahoma" w:cs="Tahoma"/>
          <w:b/>
          <w:bCs/>
          <w:lang w:eastAsia="cs-CZ"/>
        </w:rPr>
        <w:br/>
        <w:t>Smluvní strany</w:t>
      </w:r>
    </w:p>
    <w:p w:rsidR="005B23AC" w:rsidRPr="005B23AC" w:rsidRDefault="005B23AC" w:rsidP="005232EA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Agentura pro regionální rozvoj, a. s.</w:t>
      </w:r>
    </w:p>
    <w:p w:rsidR="005B23AC" w:rsidRDefault="005B23AC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se sídlem:</w:t>
      </w:r>
      <w:r>
        <w:rPr>
          <w:rFonts w:ascii="Tahoma" w:eastAsia="Times New Roman" w:hAnsi="Tahoma" w:cs="Tahoma"/>
          <w:bCs/>
          <w:lang w:eastAsia="cs-CZ"/>
        </w:rPr>
        <w:tab/>
      </w:r>
      <w:r w:rsidR="005232EA" w:rsidRPr="005232EA">
        <w:rPr>
          <w:rFonts w:ascii="Tahoma" w:eastAsia="Times New Roman" w:hAnsi="Tahoma" w:cs="Tahoma"/>
          <w:bCs/>
          <w:lang w:eastAsia="cs-CZ"/>
        </w:rPr>
        <w:t>Na Jízdárně 1245/7, Moravská Ostrava, 702</w:t>
      </w:r>
      <w:r w:rsidR="005232EA">
        <w:rPr>
          <w:rFonts w:ascii="Tahoma" w:eastAsia="Times New Roman" w:hAnsi="Tahoma" w:cs="Tahoma"/>
          <w:bCs/>
          <w:lang w:eastAsia="cs-CZ"/>
        </w:rPr>
        <w:t> </w:t>
      </w:r>
      <w:r w:rsidR="005232EA" w:rsidRPr="005232EA">
        <w:rPr>
          <w:rFonts w:ascii="Tahoma" w:eastAsia="Times New Roman" w:hAnsi="Tahoma" w:cs="Tahoma"/>
          <w:bCs/>
          <w:lang w:eastAsia="cs-CZ"/>
        </w:rPr>
        <w:t>00 Ostrava</w:t>
      </w:r>
    </w:p>
    <w:p w:rsidR="005B23AC" w:rsidRDefault="005B23AC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zastoupena:</w:t>
      </w:r>
      <w:r>
        <w:rPr>
          <w:rFonts w:ascii="Tahoma" w:eastAsia="Times New Roman" w:hAnsi="Tahoma" w:cs="Tahoma"/>
          <w:bCs/>
          <w:lang w:eastAsia="cs-CZ"/>
        </w:rPr>
        <w:tab/>
        <w:t xml:space="preserve">Ing. Petrou </w:t>
      </w:r>
      <w:proofErr w:type="spellStart"/>
      <w:r>
        <w:rPr>
          <w:rFonts w:ascii="Tahoma" w:eastAsia="Times New Roman" w:hAnsi="Tahoma" w:cs="Tahoma"/>
          <w:bCs/>
          <w:lang w:eastAsia="cs-CZ"/>
        </w:rPr>
        <w:t>Chovaniokovou</w:t>
      </w:r>
      <w:proofErr w:type="spellEnd"/>
      <w:r>
        <w:rPr>
          <w:rFonts w:ascii="Tahoma" w:eastAsia="Times New Roman" w:hAnsi="Tahoma" w:cs="Tahoma"/>
          <w:bCs/>
          <w:lang w:eastAsia="cs-CZ"/>
        </w:rPr>
        <w:t>,</w:t>
      </w:r>
      <w:r w:rsidR="005232EA">
        <w:rPr>
          <w:rFonts w:ascii="Tahoma" w:eastAsia="Times New Roman" w:hAnsi="Tahoma" w:cs="Tahoma"/>
          <w:bCs/>
          <w:lang w:eastAsia="cs-CZ"/>
        </w:rPr>
        <w:t xml:space="preserve"> MBA,</w:t>
      </w:r>
      <w:r>
        <w:rPr>
          <w:rFonts w:ascii="Tahoma" w:eastAsia="Times New Roman" w:hAnsi="Tahoma" w:cs="Tahoma"/>
          <w:bCs/>
          <w:lang w:eastAsia="cs-CZ"/>
        </w:rPr>
        <w:t xml:space="preserve"> statutární ředitelkou</w:t>
      </w:r>
    </w:p>
    <w:p w:rsidR="005B23AC" w:rsidRDefault="005B23AC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IČ:</w:t>
      </w:r>
      <w:r>
        <w:rPr>
          <w:rFonts w:ascii="Tahoma" w:eastAsia="Times New Roman" w:hAnsi="Tahoma" w:cs="Tahoma"/>
          <w:bCs/>
          <w:lang w:eastAsia="cs-CZ"/>
        </w:rPr>
        <w:tab/>
      </w:r>
      <w:r w:rsidR="005232EA" w:rsidRPr="005232EA">
        <w:rPr>
          <w:rFonts w:ascii="Tahoma" w:eastAsia="Times New Roman" w:hAnsi="Tahoma" w:cs="Tahoma"/>
          <w:bCs/>
          <w:lang w:eastAsia="cs-CZ"/>
        </w:rPr>
        <w:t>47673168</w:t>
      </w:r>
    </w:p>
    <w:p w:rsidR="005B23AC" w:rsidRDefault="005B23AC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DIČ:</w:t>
      </w:r>
      <w:r>
        <w:rPr>
          <w:rFonts w:ascii="Tahoma" w:eastAsia="Times New Roman" w:hAnsi="Tahoma" w:cs="Tahoma"/>
          <w:bCs/>
          <w:lang w:eastAsia="cs-CZ"/>
        </w:rPr>
        <w:tab/>
      </w:r>
      <w:r w:rsidR="005232EA">
        <w:rPr>
          <w:rFonts w:ascii="Tahoma" w:eastAsia="Times New Roman" w:hAnsi="Tahoma" w:cs="Tahoma"/>
          <w:bCs/>
          <w:lang w:eastAsia="cs-CZ"/>
        </w:rPr>
        <w:t>CZ</w:t>
      </w:r>
      <w:r w:rsidR="005232EA" w:rsidRPr="005232EA">
        <w:rPr>
          <w:rFonts w:ascii="Tahoma" w:eastAsia="Times New Roman" w:hAnsi="Tahoma" w:cs="Tahoma"/>
          <w:bCs/>
          <w:lang w:eastAsia="cs-CZ"/>
        </w:rPr>
        <w:t>47673168</w:t>
      </w:r>
    </w:p>
    <w:p w:rsidR="00C77F8B" w:rsidRDefault="005B23AC" w:rsidP="008C5F5C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bankovní spojení:</w:t>
      </w:r>
      <w:r>
        <w:rPr>
          <w:rFonts w:ascii="Tahoma" w:eastAsia="Times New Roman" w:hAnsi="Tahoma" w:cs="Tahoma"/>
          <w:bCs/>
          <w:lang w:eastAsia="cs-CZ"/>
        </w:rPr>
        <w:tab/>
      </w:r>
      <w:r w:rsidR="00C77F8B">
        <w:rPr>
          <w:rFonts w:ascii="Tahoma" w:eastAsia="Times New Roman" w:hAnsi="Tahoma" w:cs="Tahoma"/>
          <w:bCs/>
          <w:lang w:eastAsia="cs-CZ"/>
        </w:rPr>
        <w:t>ČSOB Ostrava</w:t>
      </w:r>
    </w:p>
    <w:p w:rsidR="00C77F8B" w:rsidRDefault="005B23AC" w:rsidP="008C5F5C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</w:pPr>
      <w:r>
        <w:rPr>
          <w:rFonts w:ascii="Tahoma" w:eastAsia="Times New Roman" w:hAnsi="Tahoma" w:cs="Tahoma"/>
          <w:bCs/>
          <w:lang w:eastAsia="cs-CZ"/>
        </w:rPr>
        <w:t>číslo účtu:</w:t>
      </w:r>
      <w:r w:rsidR="008C5F5C">
        <w:rPr>
          <w:rFonts w:ascii="Tahoma" w:eastAsia="Times New Roman" w:hAnsi="Tahoma" w:cs="Tahoma"/>
          <w:bCs/>
          <w:lang w:eastAsia="cs-CZ"/>
        </w:rPr>
        <w:tab/>
      </w:r>
      <w:r w:rsidR="00C77F8B" w:rsidRPr="00E3038B">
        <w:rPr>
          <w:rFonts w:ascii="Tahoma" w:eastAsia="Times New Roman" w:hAnsi="Tahoma" w:cs="Tahoma"/>
          <w:bCs/>
          <w:lang w:eastAsia="cs-CZ"/>
        </w:rPr>
        <w:t>373791183/0300</w:t>
      </w:r>
    </w:p>
    <w:p w:rsidR="005B23AC" w:rsidRDefault="005B23AC" w:rsidP="008C5F5C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Zapsána v obchodním rejstříku vedeném </w:t>
      </w:r>
      <w:r w:rsidR="003307E7">
        <w:rPr>
          <w:rFonts w:ascii="Tahoma" w:eastAsia="Times New Roman" w:hAnsi="Tahoma" w:cs="Tahoma"/>
          <w:bCs/>
          <w:lang w:eastAsia="cs-CZ"/>
        </w:rPr>
        <w:t>Krajským</w:t>
      </w:r>
      <w:r>
        <w:rPr>
          <w:rFonts w:ascii="Tahoma" w:eastAsia="Times New Roman" w:hAnsi="Tahoma" w:cs="Tahoma"/>
          <w:bCs/>
          <w:lang w:eastAsia="cs-CZ"/>
        </w:rPr>
        <w:t xml:space="preserve"> soudem v Ostravě, oddíl</w:t>
      </w:r>
      <w:r w:rsidR="005232EA">
        <w:rPr>
          <w:rFonts w:ascii="Tahoma" w:eastAsia="Times New Roman" w:hAnsi="Tahoma" w:cs="Tahoma"/>
          <w:bCs/>
          <w:lang w:eastAsia="cs-CZ"/>
        </w:rPr>
        <w:t> B</w:t>
      </w:r>
      <w:r>
        <w:rPr>
          <w:rFonts w:ascii="Tahoma" w:eastAsia="Times New Roman" w:hAnsi="Tahoma" w:cs="Tahoma"/>
          <w:bCs/>
          <w:lang w:eastAsia="cs-CZ"/>
        </w:rPr>
        <w:t>, vložka</w:t>
      </w:r>
      <w:r w:rsidR="005232EA">
        <w:rPr>
          <w:rFonts w:ascii="Tahoma" w:eastAsia="Times New Roman" w:hAnsi="Tahoma" w:cs="Tahoma"/>
          <w:bCs/>
          <w:lang w:eastAsia="cs-CZ"/>
        </w:rPr>
        <w:t> 609</w:t>
      </w:r>
    </w:p>
    <w:p w:rsidR="005B23AC" w:rsidRPr="005B23AC" w:rsidRDefault="005232EA" w:rsidP="005232EA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d</w:t>
      </w:r>
      <w:r w:rsidR="005B23AC">
        <w:rPr>
          <w:rFonts w:ascii="Tahoma" w:eastAsia="Times New Roman" w:hAnsi="Tahoma" w:cs="Tahoma"/>
          <w:bCs/>
          <w:lang w:eastAsia="cs-CZ"/>
        </w:rPr>
        <w:t>ále jen „</w:t>
      </w:r>
      <w:r>
        <w:rPr>
          <w:rFonts w:ascii="Tahoma" w:eastAsia="Times New Roman" w:hAnsi="Tahoma" w:cs="Tahoma"/>
          <w:bCs/>
          <w:lang w:eastAsia="cs-CZ"/>
        </w:rPr>
        <w:t>prodávající“</w:t>
      </w:r>
    </w:p>
    <w:p w:rsidR="005B23AC" w:rsidRPr="005B23AC" w:rsidRDefault="005232EA" w:rsidP="005232EA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Moravskoslezský kraj</w:t>
      </w:r>
    </w:p>
    <w:p w:rsidR="005232EA" w:rsidRDefault="005232EA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se sídlem:</w:t>
      </w:r>
      <w:r>
        <w:rPr>
          <w:rFonts w:ascii="Tahoma" w:eastAsia="Times New Roman" w:hAnsi="Tahoma" w:cs="Tahoma"/>
          <w:bCs/>
          <w:lang w:eastAsia="cs-CZ"/>
        </w:rPr>
        <w:tab/>
        <w:t>28. října 117, 702 18 Ostrava</w:t>
      </w:r>
    </w:p>
    <w:p w:rsidR="005232EA" w:rsidRDefault="005232EA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zastoupen:</w:t>
      </w:r>
      <w:r>
        <w:rPr>
          <w:rFonts w:ascii="Tahoma" w:eastAsia="Times New Roman" w:hAnsi="Tahoma" w:cs="Tahoma"/>
          <w:bCs/>
          <w:lang w:eastAsia="cs-CZ"/>
        </w:rPr>
        <w:tab/>
      </w:r>
    </w:p>
    <w:p w:rsidR="005232EA" w:rsidRDefault="005232EA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</w:p>
    <w:p w:rsidR="005232EA" w:rsidRDefault="005232EA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IČ:</w:t>
      </w:r>
      <w:r>
        <w:rPr>
          <w:rFonts w:ascii="Tahoma" w:eastAsia="Times New Roman" w:hAnsi="Tahoma" w:cs="Tahoma"/>
          <w:bCs/>
          <w:lang w:eastAsia="cs-CZ"/>
        </w:rPr>
        <w:tab/>
        <w:t>70890692</w:t>
      </w:r>
    </w:p>
    <w:p w:rsidR="005232EA" w:rsidRDefault="005232EA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DIČ:</w:t>
      </w:r>
      <w:r>
        <w:rPr>
          <w:rFonts w:ascii="Tahoma" w:eastAsia="Times New Roman" w:hAnsi="Tahoma" w:cs="Tahoma"/>
          <w:bCs/>
          <w:lang w:eastAsia="cs-CZ"/>
        </w:rPr>
        <w:tab/>
        <w:t>CZ70890692</w:t>
      </w:r>
    </w:p>
    <w:p w:rsidR="005232EA" w:rsidRPr="00400569" w:rsidRDefault="005232EA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 w:rsidRPr="00400569">
        <w:rPr>
          <w:rFonts w:ascii="Tahoma" w:eastAsia="Times New Roman" w:hAnsi="Tahoma" w:cs="Tahoma"/>
          <w:bCs/>
          <w:lang w:eastAsia="cs-CZ"/>
        </w:rPr>
        <w:t>bankovní spojení:</w:t>
      </w:r>
      <w:r w:rsidRPr="00400569">
        <w:rPr>
          <w:rFonts w:ascii="Tahoma" w:eastAsia="Times New Roman" w:hAnsi="Tahoma" w:cs="Tahoma"/>
          <w:bCs/>
          <w:lang w:eastAsia="cs-CZ"/>
        </w:rPr>
        <w:tab/>
      </w:r>
      <w:r w:rsidR="00400569" w:rsidRPr="00400569">
        <w:rPr>
          <w:rFonts w:ascii="Tahoma" w:eastAsia="Times New Roman" w:hAnsi="Tahoma" w:cs="Tahoma"/>
          <w:bCs/>
          <w:lang w:eastAsia="cs-CZ"/>
        </w:rPr>
        <w:t>Česká spořitelna, a.s.</w:t>
      </w:r>
    </w:p>
    <w:p w:rsidR="005232EA" w:rsidRDefault="005232EA" w:rsidP="005232EA">
      <w:pPr>
        <w:pStyle w:val="Odstavecseseznamem"/>
        <w:tabs>
          <w:tab w:val="left" w:pos="2552"/>
        </w:tabs>
        <w:spacing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 w:rsidRPr="00400569">
        <w:rPr>
          <w:rFonts w:ascii="Tahoma" w:eastAsia="Times New Roman" w:hAnsi="Tahoma" w:cs="Tahoma"/>
          <w:bCs/>
          <w:lang w:eastAsia="cs-CZ"/>
        </w:rPr>
        <w:t>číslo účtu:</w:t>
      </w:r>
      <w:r>
        <w:rPr>
          <w:rFonts w:ascii="Tahoma" w:eastAsia="Times New Roman" w:hAnsi="Tahoma" w:cs="Tahoma"/>
          <w:bCs/>
          <w:lang w:eastAsia="cs-CZ"/>
        </w:rPr>
        <w:tab/>
      </w:r>
      <w:r w:rsidR="00400569" w:rsidRPr="00400569">
        <w:rPr>
          <w:rFonts w:ascii="Tahoma" w:eastAsia="Times New Roman" w:hAnsi="Tahoma" w:cs="Tahoma"/>
          <w:bCs/>
          <w:lang w:eastAsia="cs-CZ"/>
        </w:rPr>
        <w:t>27-1650676349/0800</w:t>
      </w:r>
    </w:p>
    <w:p w:rsidR="003307E7" w:rsidRPr="005B23AC" w:rsidRDefault="003307E7" w:rsidP="003307E7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dále jen „kupující“</w:t>
      </w:r>
    </w:p>
    <w:p w:rsidR="005232EA" w:rsidRPr="005232EA" w:rsidRDefault="005232EA" w:rsidP="00264CD9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5232EA">
        <w:rPr>
          <w:rFonts w:ascii="Tahoma" w:eastAsia="Times New Roman" w:hAnsi="Tahoma" w:cs="Tahoma"/>
          <w:b/>
          <w:bCs/>
          <w:lang w:eastAsia="cs-CZ"/>
        </w:rPr>
        <w:t>II.</w:t>
      </w:r>
      <w:r w:rsidRPr="005232EA">
        <w:rPr>
          <w:rFonts w:ascii="Tahoma" w:eastAsia="Times New Roman" w:hAnsi="Tahoma" w:cs="Tahoma"/>
          <w:b/>
          <w:bCs/>
          <w:lang w:eastAsia="cs-CZ"/>
        </w:rPr>
        <w:br/>
        <w:t>Základní ustanovení</w:t>
      </w:r>
    </w:p>
    <w:p w:rsidR="005B23AC" w:rsidRDefault="005232EA" w:rsidP="003307E7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Tato smlouva je uzavřena </w:t>
      </w:r>
      <w:r w:rsidR="003307E7">
        <w:rPr>
          <w:rFonts w:ascii="Tahoma" w:eastAsia="Times New Roman" w:hAnsi="Tahoma" w:cs="Tahoma"/>
          <w:lang w:eastAsia="cs-CZ"/>
        </w:rPr>
        <w:t>v souladu s ustanoveními § 2079 a násl. a § 1103 zákona č. 89/2012 </w:t>
      </w:r>
      <w:r w:rsidR="005B23AC" w:rsidRPr="005232EA">
        <w:rPr>
          <w:rFonts w:ascii="Tahoma" w:eastAsia="Times New Roman" w:hAnsi="Tahoma" w:cs="Tahoma"/>
          <w:lang w:eastAsia="cs-CZ"/>
        </w:rPr>
        <w:t>Sb., občanský zákoník, v</w:t>
      </w:r>
      <w:r w:rsidR="003307E7">
        <w:rPr>
          <w:rFonts w:ascii="Tahoma" w:eastAsia="Times New Roman" w:hAnsi="Tahoma" w:cs="Tahoma"/>
          <w:lang w:eastAsia="cs-CZ"/>
        </w:rPr>
        <w:t>e</w:t>
      </w:r>
      <w:r w:rsidR="005B23AC" w:rsidRPr="005232EA">
        <w:rPr>
          <w:rFonts w:ascii="Tahoma" w:eastAsia="Times New Roman" w:hAnsi="Tahoma" w:cs="Tahoma"/>
          <w:lang w:eastAsia="cs-CZ"/>
        </w:rPr>
        <w:t xml:space="preserve"> znění </w:t>
      </w:r>
      <w:r w:rsidR="003307E7">
        <w:rPr>
          <w:rFonts w:ascii="Tahoma" w:eastAsia="Times New Roman" w:hAnsi="Tahoma" w:cs="Tahoma"/>
          <w:lang w:eastAsia="cs-CZ"/>
        </w:rPr>
        <w:t>pozdějších předpisů (dále jen „občanský zákoník”).</w:t>
      </w:r>
    </w:p>
    <w:p w:rsidR="005B23AC" w:rsidRDefault="005B23AC" w:rsidP="003307E7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3307E7">
        <w:rPr>
          <w:rFonts w:ascii="Tahoma" w:eastAsia="Times New Roman" w:hAnsi="Tahoma" w:cs="Tahoma"/>
          <w:lang w:eastAsia="cs-CZ"/>
        </w:rPr>
        <w:t xml:space="preserve">Prodávající prohlašuje, že je akcionářem obchodní společnosti </w:t>
      </w:r>
      <w:r w:rsidR="003307E7">
        <w:rPr>
          <w:rFonts w:ascii="Tahoma" w:eastAsia="Times New Roman" w:hAnsi="Tahoma" w:cs="Tahoma"/>
          <w:lang w:eastAsia="cs-CZ"/>
        </w:rPr>
        <w:t>Vědecko</w:t>
      </w:r>
      <w:r w:rsidR="003307E7">
        <w:rPr>
          <w:rFonts w:ascii="Tahoma" w:eastAsia="Times New Roman" w:hAnsi="Tahoma" w:cs="Tahoma"/>
          <w:lang w:eastAsia="cs-CZ"/>
        </w:rPr>
        <w:noBreakHyphen/>
        <w:t>technologický park Ostrava, a.s., IČ: </w:t>
      </w:r>
      <w:r w:rsidR="003307E7" w:rsidRPr="003307E7">
        <w:rPr>
          <w:rFonts w:ascii="Tahoma" w:eastAsia="Times New Roman" w:hAnsi="Tahoma" w:cs="Tahoma"/>
          <w:lang w:eastAsia="cs-CZ"/>
        </w:rPr>
        <w:t>25379631</w:t>
      </w:r>
      <w:r w:rsidR="003307E7">
        <w:rPr>
          <w:rFonts w:ascii="Tahoma" w:eastAsia="Times New Roman" w:hAnsi="Tahoma" w:cs="Tahoma"/>
          <w:lang w:eastAsia="cs-CZ"/>
        </w:rPr>
        <w:t xml:space="preserve">, se sídlem </w:t>
      </w:r>
      <w:r w:rsidR="003307E7" w:rsidRPr="003307E7">
        <w:rPr>
          <w:rFonts w:ascii="Tahoma" w:eastAsia="Times New Roman" w:hAnsi="Tahoma" w:cs="Tahoma"/>
          <w:lang w:eastAsia="cs-CZ"/>
        </w:rPr>
        <w:t xml:space="preserve">Technologická 372/2, </w:t>
      </w:r>
      <w:proofErr w:type="spellStart"/>
      <w:r w:rsidR="003307E7" w:rsidRPr="003307E7">
        <w:rPr>
          <w:rFonts w:ascii="Tahoma" w:eastAsia="Times New Roman" w:hAnsi="Tahoma" w:cs="Tahoma"/>
          <w:lang w:eastAsia="cs-CZ"/>
        </w:rPr>
        <w:t>Pustkovec</w:t>
      </w:r>
      <w:proofErr w:type="spellEnd"/>
      <w:r w:rsidR="003307E7" w:rsidRPr="003307E7">
        <w:rPr>
          <w:rFonts w:ascii="Tahoma" w:eastAsia="Times New Roman" w:hAnsi="Tahoma" w:cs="Tahoma"/>
          <w:lang w:eastAsia="cs-CZ"/>
        </w:rPr>
        <w:t>, 708</w:t>
      </w:r>
      <w:r w:rsidR="003307E7">
        <w:rPr>
          <w:rFonts w:ascii="Tahoma" w:eastAsia="Times New Roman" w:hAnsi="Tahoma" w:cs="Tahoma"/>
          <w:lang w:eastAsia="cs-CZ"/>
        </w:rPr>
        <w:t> </w:t>
      </w:r>
      <w:r w:rsidR="003307E7" w:rsidRPr="003307E7">
        <w:rPr>
          <w:rFonts w:ascii="Tahoma" w:eastAsia="Times New Roman" w:hAnsi="Tahoma" w:cs="Tahoma"/>
          <w:lang w:eastAsia="cs-CZ"/>
        </w:rPr>
        <w:t>00 Ostrava</w:t>
      </w:r>
      <w:r w:rsidR="003307E7">
        <w:rPr>
          <w:rFonts w:ascii="Tahoma" w:eastAsia="Times New Roman" w:hAnsi="Tahoma" w:cs="Tahoma"/>
          <w:lang w:eastAsia="cs-CZ"/>
        </w:rPr>
        <w:t xml:space="preserve">, </w:t>
      </w:r>
      <w:r w:rsidRPr="003307E7">
        <w:rPr>
          <w:rFonts w:ascii="Tahoma" w:eastAsia="Times New Roman" w:hAnsi="Tahoma" w:cs="Tahoma"/>
          <w:lang w:eastAsia="cs-CZ"/>
        </w:rPr>
        <w:t xml:space="preserve">zapsané v obchodním rejstříku </w:t>
      </w:r>
      <w:r w:rsidR="003307E7">
        <w:rPr>
          <w:rFonts w:ascii="Tahoma" w:eastAsia="Times New Roman" w:hAnsi="Tahoma" w:cs="Tahoma"/>
          <w:lang w:eastAsia="cs-CZ"/>
        </w:rPr>
        <w:t>vedeném Krajským soudem v Ostravě</w:t>
      </w:r>
      <w:r w:rsidRPr="003307E7">
        <w:rPr>
          <w:rFonts w:ascii="Tahoma" w:eastAsia="Times New Roman" w:hAnsi="Tahoma" w:cs="Tahoma"/>
          <w:lang w:eastAsia="cs-CZ"/>
        </w:rPr>
        <w:t xml:space="preserve">, oddíl B, vložka </w:t>
      </w:r>
      <w:r w:rsidR="003307E7">
        <w:rPr>
          <w:rFonts w:ascii="Tahoma" w:eastAsia="Times New Roman" w:hAnsi="Tahoma" w:cs="Tahoma"/>
          <w:lang w:eastAsia="cs-CZ"/>
        </w:rPr>
        <w:t>1686 (dále jako „emitent”).</w:t>
      </w:r>
    </w:p>
    <w:p w:rsidR="005B23AC" w:rsidRPr="003307E7" w:rsidRDefault="005B23AC" w:rsidP="003307E7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3307E7">
        <w:rPr>
          <w:rFonts w:ascii="Tahoma" w:eastAsia="Times New Roman" w:hAnsi="Tahoma" w:cs="Tahoma"/>
          <w:lang w:eastAsia="cs-CZ"/>
        </w:rPr>
        <w:t xml:space="preserve">Základní kapitál emitenta činí </w:t>
      </w:r>
      <w:r w:rsidR="003307E7">
        <w:rPr>
          <w:rFonts w:ascii="Tahoma" w:eastAsia="Times New Roman" w:hAnsi="Tahoma" w:cs="Tahoma"/>
          <w:lang w:eastAsia="cs-CZ"/>
        </w:rPr>
        <w:t>4</w:t>
      </w:r>
      <w:r w:rsidRPr="003307E7">
        <w:rPr>
          <w:rFonts w:ascii="Tahoma" w:eastAsia="Times New Roman" w:hAnsi="Tahoma" w:cs="Tahoma"/>
          <w:lang w:eastAsia="cs-CZ"/>
        </w:rPr>
        <w:t>.</w:t>
      </w:r>
      <w:r w:rsidR="003307E7">
        <w:rPr>
          <w:rFonts w:ascii="Tahoma" w:eastAsia="Times New Roman" w:hAnsi="Tahoma" w:cs="Tahoma"/>
          <w:lang w:eastAsia="cs-CZ"/>
        </w:rPr>
        <w:t>4</w:t>
      </w:r>
      <w:r w:rsidRPr="003307E7">
        <w:rPr>
          <w:rFonts w:ascii="Tahoma" w:eastAsia="Times New Roman" w:hAnsi="Tahoma" w:cs="Tahoma"/>
          <w:lang w:eastAsia="cs-CZ"/>
        </w:rPr>
        <w:t>00.000 Kč (slovy</w:t>
      </w:r>
      <w:r w:rsidR="003307E7">
        <w:rPr>
          <w:rFonts w:ascii="Tahoma" w:eastAsia="Times New Roman" w:hAnsi="Tahoma" w:cs="Tahoma"/>
          <w:lang w:eastAsia="cs-CZ"/>
        </w:rPr>
        <w:t>: čtyři miliony čtyři sta tisíc korun českých</w:t>
      </w:r>
      <w:r w:rsidRPr="003307E7">
        <w:rPr>
          <w:rFonts w:ascii="Tahoma" w:eastAsia="Times New Roman" w:hAnsi="Tahoma" w:cs="Tahoma"/>
          <w:lang w:eastAsia="cs-CZ"/>
        </w:rPr>
        <w:t xml:space="preserve">), je zcela splacen a je rozvržen na </w:t>
      </w:r>
      <w:r w:rsidR="002C7C10">
        <w:rPr>
          <w:rFonts w:ascii="Tahoma" w:eastAsia="Times New Roman" w:hAnsi="Tahoma" w:cs="Tahoma"/>
          <w:lang w:eastAsia="cs-CZ"/>
        </w:rPr>
        <w:t>44</w:t>
      </w:r>
      <w:r w:rsidRPr="003307E7">
        <w:rPr>
          <w:rFonts w:ascii="Tahoma" w:eastAsia="Times New Roman" w:hAnsi="Tahoma" w:cs="Tahoma"/>
          <w:lang w:eastAsia="cs-CZ"/>
        </w:rPr>
        <w:t xml:space="preserve"> </w:t>
      </w:r>
      <w:r w:rsidRPr="002C7C10">
        <w:rPr>
          <w:rFonts w:ascii="Tahoma" w:eastAsia="Times New Roman" w:hAnsi="Tahoma" w:cs="Tahoma"/>
          <w:lang w:eastAsia="cs-CZ"/>
        </w:rPr>
        <w:t>kusů kmenových</w:t>
      </w:r>
      <w:r w:rsidRPr="003307E7">
        <w:rPr>
          <w:rFonts w:ascii="Tahoma" w:eastAsia="Times New Roman" w:hAnsi="Tahoma" w:cs="Tahoma"/>
          <w:lang w:eastAsia="cs-CZ"/>
        </w:rPr>
        <w:t xml:space="preserve"> akcií na jméno o jmenovité hodnotě každé akcie </w:t>
      </w:r>
      <w:r w:rsidR="002C7C10">
        <w:rPr>
          <w:rFonts w:ascii="Tahoma" w:eastAsia="Times New Roman" w:hAnsi="Tahoma" w:cs="Tahoma"/>
          <w:lang w:eastAsia="cs-CZ"/>
        </w:rPr>
        <w:t>5</w:t>
      </w:r>
      <w:r w:rsidRPr="003307E7">
        <w:rPr>
          <w:rFonts w:ascii="Tahoma" w:eastAsia="Times New Roman" w:hAnsi="Tahoma" w:cs="Tahoma"/>
          <w:lang w:eastAsia="cs-CZ"/>
        </w:rPr>
        <w:t>0.000 Kč. Akcie jsou vydány jako cenné papíry.</w:t>
      </w:r>
    </w:p>
    <w:p w:rsidR="005B23AC" w:rsidRPr="005B23AC" w:rsidRDefault="005B23AC" w:rsidP="002C7C10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 xml:space="preserve">Prodávající je vlastníkem celkem </w:t>
      </w:r>
      <w:r w:rsidR="002C7C10">
        <w:rPr>
          <w:rFonts w:ascii="Tahoma" w:eastAsia="Times New Roman" w:hAnsi="Tahoma" w:cs="Tahoma"/>
          <w:lang w:eastAsia="cs-CZ"/>
        </w:rPr>
        <w:t>8</w:t>
      </w:r>
      <w:r w:rsidRPr="005B23AC">
        <w:rPr>
          <w:rFonts w:ascii="Tahoma" w:eastAsia="Times New Roman" w:hAnsi="Tahoma" w:cs="Tahoma"/>
          <w:lang w:eastAsia="cs-CZ"/>
        </w:rPr>
        <w:t xml:space="preserve"> kusů akcií o jmenovité hodnotě jedné akcie </w:t>
      </w:r>
      <w:r w:rsidR="002C7C10">
        <w:rPr>
          <w:rFonts w:ascii="Tahoma" w:eastAsia="Times New Roman" w:hAnsi="Tahoma" w:cs="Tahoma"/>
          <w:lang w:eastAsia="cs-CZ"/>
        </w:rPr>
        <w:t>50.000 </w:t>
      </w:r>
      <w:r w:rsidRPr="005B23AC">
        <w:rPr>
          <w:rFonts w:ascii="Tahoma" w:eastAsia="Times New Roman" w:hAnsi="Tahoma" w:cs="Tahoma"/>
          <w:lang w:eastAsia="cs-CZ"/>
        </w:rPr>
        <w:t xml:space="preserve">Kč vydaných emitentem, tj. vlastní podíl na základním kapitálu emitenta celkem </w:t>
      </w:r>
      <w:r w:rsidR="002C7C10">
        <w:rPr>
          <w:rFonts w:ascii="Tahoma" w:eastAsia="Times New Roman" w:hAnsi="Tahoma" w:cs="Tahoma"/>
          <w:lang w:eastAsia="cs-CZ"/>
        </w:rPr>
        <w:t>9,09 </w:t>
      </w:r>
      <w:r w:rsidRPr="005B23AC">
        <w:rPr>
          <w:rFonts w:ascii="Tahoma" w:eastAsia="Times New Roman" w:hAnsi="Tahoma" w:cs="Tahoma"/>
          <w:lang w:eastAsia="cs-CZ"/>
        </w:rPr>
        <w:t>%.</w:t>
      </w:r>
    </w:p>
    <w:p w:rsidR="005B23AC" w:rsidRPr="005B23AC" w:rsidRDefault="005B23AC" w:rsidP="002C7C10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>Kupující má zájem</w:t>
      </w:r>
      <w:r w:rsidR="00264CD9">
        <w:rPr>
          <w:rFonts w:ascii="Tahoma" w:eastAsia="Times New Roman" w:hAnsi="Tahoma" w:cs="Tahoma"/>
          <w:lang w:eastAsia="cs-CZ"/>
        </w:rPr>
        <w:t xml:space="preserve"> nabýt od prodávajícího celkem 8</w:t>
      </w:r>
      <w:r w:rsidRPr="005B23AC">
        <w:rPr>
          <w:rFonts w:ascii="Tahoma" w:eastAsia="Times New Roman" w:hAnsi="Tahoma" w:cs="Tahoma"/>
          <w:lang w:eastAsia="cs-CZ"/>
        </w:rPr>
        <w:t xml:space="preserve"> kusů akcií emitovaných emitentem, které tvoří </w:t>
      </w:r>
      <w:r w:rsidR="00264CD9">
        <w:rPr>
          <w:rFonts w:ascii="Tahoma" w:eastAsia="Times New Roman" w:hAnsi="Tahoma" w:cs="Tahoma"/>
          <w:lang w:eastAsia="cs-CZ"/>
        </w:rPr>
        <w:t>9,09 </w:t>
      </w:r>
      <w:r w:rsidRPr="005B23AC">
        <w:rPr>
          <w:rFonts w:ascii="Tahoma" w:eastAsia="Times New Roman" w:hAnsi="Tahoma" w:cs="Tahoma"/>
          <w:lang w:eastAsia="cs-CZ"/>
        </w:rPr>
        <w:t>% základního kapitálu emitenta, za podmínek sjednaných v této smlouvě a prodávající má zájem tyto akcie za podmínek sjednaných v </w:t>
      </w:r>
      <w:r w:rsidR="00264CD9">
        <w:rPr>
          <w:rFonts w:ascii="Tahoma" w:eastAsia="Times New Roman" w:hAnsi="Tahoma" w:cs="Tahoma"/>
          <w:lang w:eastAsia="cs-CZ"/>
        </w:rPr>
        <w:t>této smlouvě kupujícímu prodat.</w:t>
      </w:r>
    </w:p>
    <w:p w:rsidR="005B23AC" w:rsidRPr="005B23AC" w:rsidRDefault="00264CD9" w:rsidP="00264CD9">
      <w:pPr>
        <w:keepNext/>
        <w:spacing w:before="360" w:after="0" w:line="240" w:lineRule="auto"/>
        <w:jc w:val="center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lastRenderedPageBreak/>
        <w:t>III.</w:t>
      </w:r>
      <w:r>
        <w:rPr>
          <w:rFonts w:ascii="Tahoma" w:eastAsia="Times New Roman" w:hAnsi="Tahoma" w:cs="Tahoma"/>
          <w:b/>
          <w:bCs/>
          <w:lang w:eastAsia="cs-CZ"/>
        </w:rPr>
        <w:br/>
      </w:r>
      <w:r w:rsidR="005B23AC" w:rsidRPr="005B23AC">
        <w:rPr>
          <w:rFonts w:ascii="Tahoma" w:eastAsia="Times New Roman" w:hAnsi="Tahoma" w:cs="Tahoma"/>
          <w:b/>
          <w:bCs/>
          <w:lang w:eastAsia="cs-CZ"/>
        </w:rPr>
        <w:t>Předmět smlouvy</w:t>
      </w:r>
    </w:p>
    <w:p w:rsidR="005B23AC" w:rsidRPr="005B23AC" w:rsidRDefault="005B23AC" w:rsidP="00264CD9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>Předmětem této smlouvy je zejména povinnost prodávajícího převést na kupujícího za</w:t>
      </w:r>
      <w:r w:rsidR="00264CD9">
        <w:rPr>
          <w:rFonts w:ascii="Tahoma" w:eastAsia="Times New Roman" w:hAnsi="Tahoma" w:cs="Tahoma"/>
          <w:lang w:eastAsia="cs-CZ"/>
        </w:rPr>
        <w:t> </w:t>
      </w:r>
      <w:r w:rsidRPr="005B23AC">
        <w:rPr>
          <w:rFonts w:ascii="Tahoma" w:eastAsia="Times New Roman" w:hAnsi="Tahoma" w:cs="Tahoma"/>
          <w:lang w:eastAsia="cs-CZ"/>
        </w:rPr>
        <w:t>podmínek sjednaných v této smlouv</w:t>
      </w:r>
      <w:r w:rsidR="00264CD9">
        <w:rPr>
          <w:rFonts w:ascii="Tahoma" w:eastAsia="Times New Roman" w:hAnsi="Tahoma" w:cs="Tahoma"/>
          <w:lang w:eastAsia="cs-CZ"/>
        </w:rPr>
        <w:t>ě</w:t>
      </w:r>
      <w:r w:rsidRPr="005B23AC">
        <w:rPr>
          <w:rFonts w:ascii="Tahoma" w:eastAsia="Times New Roman" w:hAnsi="Tahoma" w:cs="Tahoma"/>
          <w:lang w:eastAsia="cs-CZ"/>
        </w:rPr>
        <w:t xml:space="preserve"> následující akcie a povinnost kupujícího vlastnické právo k těmto akciím od prodávajícího přijmout a zaplatit za akcie prodávajícímu sjednanou kupní cenu, to vše způsobem, v rozsahu a za podmínek stanovených touto smlouvou:</w:t>
      </w:r>
    </w:p>
    <w:p w:rsidR="005B23AC" w:rsidRPr="00264CD9" w:rsidRDefault="005B23AC" w:rsidP="00264CD9">
      <w:pPr>
        <w:numPr>
          <w:ilvl w:val="0"/>
          <w:numId w:val="1"/>
        </w:numPr>
        <w:tabs>
          <w:tab w:val="clear" w:pos="720"/>
          <w:tab w:val="num" w:pos="924"/>
          <w:tab w:val="left" w:pos="3119"/>
        </w:tabs>
        <w:spacing w:before="120" w:after="0" w:line="240" w:lineRule="auto"/>
        <w:ind w:left="924" w:hanging="357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>emitent:</w:t>
      </w:r>
      <w:r w:rsidR="00264CD9">
        <w:rPr>
          <w:rFonts w:ascii="Tahoma" w:eastAsia="Times New Roman" w:hAnsi="Tahoma" w:cs="Tahoma"/>
          <w:b/>
          <w:bCs/>
          <w:lang w:eastAsia="cs-CZ"/>
        </w:rPr>
        <w:tab/>
        <w:t>Vědecko</w:t>
      </w:r>
      <w:r w:rsidR="00264CD9">
        <w:rPr>
          <w:rFonts w:ascii="Tahoma" w:eastAsia="Times New Roman" w:hAnsi="Tahoma" w:cs="Tahoma"/>
          <w:b/>
          <w:bCs/>
          <w:lang w:eastAsia="cs-CZ"/>
        </w:rPr>
        <w:noBreakHyphen/>
        <w:t>technologický park Ostrava, a.s.</w:t>
      </w:r>
    </w:p>
    <w:p w:rsidR="00264CD9" w:rsidRPr="005B23AC" w:rsidRDefault="00264CD9" w:rsidP="00264CD9">
      <w:pPr>
        <w:spacing w:after="0" w:line="240" w:lineRule="auto"/>
        <w:ind w:left="3119"/>
        <w:rPr>
          <w:rFonts w:ascii="Tahoma" w:eastAsia="Times New Roman" w:hAnsi="Tahoma" w:cs="Tahoma"/>
          <w:lang w:eastAsia="cs-CZ"/>
        </w:rPr>
      </w:pPr>
      <w:r w:rsidRPr="00264CD9">
        <w:rPr>
          <w:rFonts w:ascii="Tahoma" w:eastAsia="Times New Roman" w:hAnsi="Tahoma" w:cs="Tahoma"/>
          <w:bCs/>
          <w:lang w:eastAsia="cs-CZ"/>
        </w:rPr>
        <w:t xml:space="preserve">IČ: </w:t>
      </w:r>
      <w:r w:rsidRPr="00264CD9">
        <w:rPr>
          <w:rFonts w:ascii="Tahoma" w:eastAsia="Times New Roman" w:hAnsi="Tahoma" w:cs="Tahoma"/>
          <w:lang w:eastAsia="cs-CZ"/>
        </w:rPr>
        <w:t>25379631</w:t>
      </w:r>
    </w:p>
    <w:p w:rsidR="005B23AC" w:rsidRPr="005B23AC" w:rsidRDefault="005B23AC" w:rsidP="00264CD9">
      <w:pPr>
        <w:numPr>
          <w:ilvl w:val="0"/>
          <w:numId w:val="1"/>
        </w:numPr>
        <w:tabs>
          <w:tab w:val="clear" w:pos="720"/>
          <w:tab w:val="num" w:pos="924"/>
          <w:tab w:val="left" w:pos="3119"/>
        </w:tabs>
        <w:spacing w:before="60" w:after="0" w:line="240" w:lineRule="auto"/>
        <w:ind w:left="924" w:hanging="357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>druh:</w:t>
      </w:r>
      <w:r w:rsidR="00264CD9">
        <w:rPr>
          <w:rFonts w:ascii="Tahoma" w:eastAsia="Times New Roman" w:hAnsi="Tahoma" w:cs="Tahoma"/>
          <w:lang w:eastAsia="cs-CZ"/>
        </w:rPr>
        <w:tab/>
      </w:r>
      <w:r w:rsidRPr="005B23AC">
        <w:rPr>
          <w:rFonts w:ascii="Tahoma" w:eastAsia="Times New Roman" w:hAnsi="Tahoma" w:cs="Tahoma"/>
          <w:lang w:eastAsia="cs-CZ"/>
        </w:rPr>
        <w:t>kmenové akcie</w:t>
      </w:r>
    </w:p>
    <w:p w:rsidR="005B23AC" w:rsidRPr="005B23AC" w:rsidRDefault="005B23AC" w:rsidP="00264CD9">
      <w:pPr>
        <w:numPr>
          <w:ilvl w:val="0"/>
          <w:numId w:val="1"/>
        </w:numPr>
        <w:tabs>
          <w:tab w:val="clear" w:pos="720"/>
          <w:tab w:val="num" w:pos="924"/>
          <w:tab w:val="left" w:pos="3119"/>
        </w:tabs>
        <w:spacing w:before="60" w:after="0" w:line="240" w:lineRule="auto"/>
        <w:ind w:left="924" w:hanging="357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>forma:</w:t>
      </w:r>
      <w:r w:rsidR="00264CD9">
        <w:rPr>
          <w:rFonts w:ascii="Tahoma" w:eastAsia="Times New Roman" w:hAnsi="Tahoma" w:cs="Tahoma"/>
          <w:lang w:eastAsia="cs-CZ"/>
        </w:rPr>
        <w:tab/>
      </w:r>
      <w:r w:rsidRPr="005B23AC">
        <w:rPr>
          <w:rFonts w:ascii="Tahoma" w:eastAsia="Times New Roman" w:hAnsi="Tahoma" w:cs="Tahoma"/>
          <w:lang w:eastAsia="cs-CZ"/>
        </w:rPr>
        <w:t>na jméno</w:t>
      </w:r>
    </w:p>
    <w:p w:rsidR="005B23AC" w:rsidRPr="005B23AC" w:rsidRDefault="00264CD9" w:rsidP="00264CD9">
      <w:pPr>
        <w:numPr>
          <w:ilvl w:val="0"/>
          <w:numId w:val="1"/>
        </w:numPr>
        <w:tabs>
          <w:tab w:val="clear" w:pos="720"/>
          <w:tab w:val="num" w:pos="924"/>
          <w:tab w:val="left" w:pos="3119"/>
        </w:tabs>
        <w:spacing w:before="60" w:after="0" w:line="240" w:lineRule="auto"/>
        <w:ind w:left="924" w:hanging="357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jmenovitá hodnota:</w:t>
      </w:r>
      <w:r>
        <w:rPr>
          <w:rFonts w:ascii="Tahoma" w:eastAsia="Times New Roman" w:hAnsi="Tahoma" w:cs="Tahoma"/>
          <w:lang w:eastAsia="cs-CZ"/>
        </w:rPr>
        <w:tab/>
        <w:t>5</w:t>
      </w:r>
      <w:r w:rsidR="005B23AC" w:rsidRPr="005B23AC">
        <w:rPr>
          <w:rFonts w:ascii="Tahoma" w:eastAsia="Times New Roman" w:hAnsi="Tahoma" w:cs="Tahoma"/>
          <w:lang w:eastAsia="cs-CZ"/>
        </w:rPr>
        <w:t>0.000</w:t>
      </w:r>
      <w:r>
        <w:rPr>
          <w:rFonts w:ascii="Tahoma" w:eastAsia="Times New Roman" w:hAnsi="Tahoma" w:cs="Tahoma"/>
          <w:lang w:eastAsia="cs-CZ"/>
        </w:rPr>
        <w:t> </w:t>
      </w:r>
      <w:r w:rsidR="005B23AC" w:rsidRPr="005B23AC">
        <w:rPr>
          <w:rFonts w:ascii="Tahoma" w:eastAsia="Times New Roman" w:hAnsi="Tahoma" w:cs="Tahoma"/>
          <w:lang w:eastAsia="cs-CZ"/>
        </w:rPr>
        <w:t>Kč</w:t>
      </w:r>
    </w:p>
    <w:p w:rsidR="005B23AC" w:rsidRPr="005B23AC" w:rsidRDefault="005B23AC" w:rsidP="00264CD9">
      <w:pPr>
        <w:numPr>
          <w:ilvl w:val="0"/>
          <w:numId w:val="1"/>
        </w:numPr>
        <w:tabs>
          <w:tab w:val="clear" w:pos="720"/>
          <w:tab w:val="num" w:pos="924"/>
          <w:tab w:val="left" w:pos="3119"/>
        </w:tabs>
        <w:spacing w:before="60" w:after="0" w:line="240" w:lineRule="auto"/>
        <w:ind w:left="924" w:hanging="357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>počet:</w:t>
      </w:r>
      <w:r w:rsidR="00264CD9">
        <w:rPr>
          <w:rFonts w:ascii="Tahoma" w:eastAsia="Times New Roman" w:hAnsi="Tahoma" w:cs="Tahoma"/>
          <w:lang w:eastAsia="cs-CZ"/>
        </w:rPr>
        <w:tab/>
        <w:t>8 kusů</w:t>
      </w:r>
    </w:p>
    <w:p w:rsidR="005B23AC" w:rsidRPr="005B23AC" w:rsidRDefault="005B23AC" w:rsidP="00264CD9">
      <w:pPr>
        <w:spacing w:before="60" w:after="0" w:line="240" w:lineRule="auto"/>
        <w:ind w:left="357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 xml:space="preserve">Všechny uvedené akcie tvoří </w:t>
      </w:r>
      <w:r w:rsidR="00264CD9">
        <w:rPr>
          <w:rFonts w:ascii="Tahoma" w:eastAsia="Times New Roman" w:hAnsi="Tahoma" w:cs="Tahoma"/>
          <w:lang w:eastAsia="cs-CZ"/>
        </w:rPr>
        <w:t>9,09 </w:t>
      </w:r>
      <w:r w:rsidRPr="005B23AC">
        <w:rPr>
          <w:rFonts w:ascii="Tahoma" w:eastAsia="Times New Roman" w:hAnsi="Tahoma" w:cs="Tahoma"/>
          <w:lang w:eastAsia="cs-CZ"/>
        </w:rPr>
        <w:t>% základního kapitálu emitenta a budou dále označeny jako „akcie”.</w:t>
      </w:r>
    </w:p>
    <w:p w:rsidR="005B23AC" w:rsidRPr="005B23AC" w:rsidRDefault="00264CD9" w:rsidP="00264CD9">
      <w:pPr>
        <w:keepNext/>
        <w:spacing w:before="360" w:after="0" w:line="240" w:lineRule="auto"/>
        <w:jc w:val="center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IV.</w:t>
      </w:r>
      <w:r>
        <w:rPr>
          <w:rFonts w:ascii="Tahoma" w:eastAsia="Times New Roman" w:hAnsi="Tahoma" w:cs="Tahoma"/>
          <w:b/>
          <w:bCs/>
          <w:lang w:eastAsia="cs-CZ"/>
        </w:rPr>
        <w:br/>
      </w:r>
      <w:r w:rsidR="005B23AC" w:rsidRPr="005B23AC">
        <w:rPr>
          <w:rFonts w:ascii="Tahoma" w:eastAsia="Times New Roman" w:hAnsi="Tahoma" w:cs="Tahoma"/>
          <w:b/>
          <w:bCs/>
          <w:lang w:eastAsia="cs-CZ"/>
        </w:rPr>
        <w:t>Kupní cena</w:t>
      </w:r>
    </w:p>
    <w:p w:rsidR="005B23AC" w:rsidRPr="00264CD9" w:rsidRDefault="00264CD9" w:rsidP="00264CD9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Kupní cena akcií byla stanovena na základě znaleckého posudku č. 01022017 ze dne 10. 2. 2017 zpracovaného Dr. Ing. Jiřím </w:t>
      </w:r>
      <w:proofErr w:type="spellStart"/>
      <w:r>
        <w:rPr>
          <w:rFonts w:ascii="Tahoma" w:eastAsia="Times New Roman" w:hAnsi="Tahoma" w:cs="Tahoma"/>
          <w:lang w:eastAsia="cs-CZ"/>
        </w:rPr>
        <w:t>Chuchrem</w:t>
      </w:r>
      <w:proofErr w:type="spellEnd"/>
      <w:r>
        <w:rPr>
          <w:rFonts w:ascii="Tahoma" w:eastAsia="Times New Roman" w:hAnsi="Tahoma" w:cs="Tahoma"/>
          <w:lang w:eastAsia="cs-CZ"/>
        </w:rPr>
        <w:t>, MBA, soudním znalcem pro obor ekonomika, odvětví ceny a odhady podniků</w:t>
      </w:r>
      <w:r w:rsidR="00580666">
        <w:rPr>
          <w:rFonts w:ascii="Tahoma" w:eastAsia="Times New Roman" w:hAnsi="Tahoma" w:cs="Tahoma"/>
          <w:lang w:eastAsia="cs-CZ"/>
        </w:rPr>
        <w:t>, a činí 407.596 Kč (slovy: čtyři sta sedm tisíc pět set devadesát šest korun českých).</w:t>
      </w:r>
    </w:p>
    <w:p w:rsidR="005B23AC" w:rsidRPr="005B23AC" w:rsidRDefault="005B23AC" w:rsidP="00580666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 xml:space="preserve">Kupující se zavazuje zaplatit prodávajícímu kupní cenu za akcie bezhotovostním převodem na účet prodávajícího uvedený v jeho označení v úvodu této smlouvy, </w:t>
      </w:r>
      <w:r w:rsidRPr="005321EE">
        <w:rPr>
          <w:rFonts w:ascii="Tahoma" w:eastAsia="Times New Roman" w:hAnsi="Tahoma" w:cs="Tahoma"/>
          <w:lang w:eastAsia="cs-CZ"/>
        </w:rPr>
        <w:t>a to do</w:t>
      </w:r>
      <w:r w:rsidR="00400569" w:rsidRPr="005321EE">
        <w:rPr>
          <w:rFonts w:ascii="Tahoma" w:eastAsia="Times New Roman" w:hAnsi="Tahoma" w:cs="Tahoma"/>
          <w:lang w:eastAsia="cs-CZ"/>
        </w:rPr>
        <w:t> 30 dnů od nabytí účinnosti této smlouvy</w:t>
      </w:r>
      <w:bookmarkStart w:id="0" w:name="_GoBack"/>
      <w:bookmarkEnd w:id="0"/>
      <w:r w:rsidR="00400569">
        <w:rPr>
          <w:rFonts w:ascii="Tahoma" w:eastAsia="Times New Roman" w:hAnsi="Tahoma" w:cs="Tahoma"/>
          <w:lang w:eastAsia="cs-CZ"/>
        </w:rPr>
        <w:t>.</w:t>
      </w:r>
    </w:p>
    <w:p w:rsidR="005B23AC" w:rsidRPr="005B23AC" w:rsidRDefault="005B23AC" w:rsidP="00580666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5B23AC">
        <w:rPr>
          <w:rFonts w:ascii="Tahoma" w:eastAsia="Times New Roman" w:hAnsi="Tahoma" w:cs="Tahoma"/>
          <w:b/>
          <w:bCs/>
          <w:lang w:eastAsia="cs-CZ"/>
        </w:rPr>
        <w:t>V</w:t>
      </w:r>
      <w:r w:rsidR="00580666">
        <w:rPr>
          <w:rFonts w:ascii="Tahoma" w:eastAsia="Times New Roman" w:hAnsi="Tahoma" w:cs="Tahoma"/>
          <w:b/>
          <w:bCs/>
          <w:lang w:eastAsia="cs-CZ"/>
        </w:rPr>
        <w:t>.</w:t>
      </w:r>
      <w:r w:rsidR="00580666">
        <w:rPr>
          <w:rFonts w:ascii="Tahoma" w:eastAsia="Times New Roman" w:hAnsi="Tahoma" w:cs="Tahoma"/>
          <w:b/>
          <w:bCs/>
          <w:lang w:eastAsia="cs-CZ"/>
        </w:rPr>
        <w:br/>
      </w:r>
      <w:r w:rsidRPr="005B23AC">
        <w:rPr>
          <w:rFonts w:ascii="Tahoma" w:eastAsia="Times New Roman" w:hAnsi="Tahoma" w:cs="Tahoma"/>
          <w:b/>
          <w:bCs/>
          <w:lang w:eastAsia="cs-CZ"/>
        </w:rPr>
        <w:t>Převod akcií</w:t>
      </w:r>
    </w:p>
    <w:p w:rsidR="005B23AC" w:rsidRPr="007365BF" w:rsidRDefault="005B23AC" w:rsidP="00580666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7365BF">
        <w:rPr>
          <w:rFonts w:ascii="Tahoma" w:eastAsia="Times New Roman" w:hAnsi="Tahoma" w:cs="Tahoma"/>
          <w:lang w:eastAsia="cs-CZ"/>
        </w:rPr>
        <w:t xml:space="preserve">Prodávající převedl akcie na kupujícího jejich předáním kupujícímu při podpisu této smlouvy a k témuž dni na akciích vyznačil rubopis na řad kupujícího. Kupující potvrzuje svým podpisem na této smlouvě, že řádně </w:t>
      </w:r>
      <w:proofErr w:type="spellStart"/>
      <w:r w:rsidRPr="007365BF">
        <w:rPr>
          <w:rFonts w:ascii="Tahoma" w:eastAsia="Times New Roman" w:hAnsi="Tahoma" w:cs="Tahoma"/>
          <w:lang w:eastAsia="cs-CZ"/>
        </w:rPr>
        <w:t>rubopisované</w:t>
      </w:r>
      <w:proofErr w:type="spellEnd"/>
      <w:r w:rsidRPr="007365BF">
        <w:rPr>
          <w:rFonts w:ascii="Tahoma" w:eastAsia="Times New Roman" w:hAnsi="Tahoma" w:cs="Tahoma"/>
          <w:lang w:eastAsia="cs-CZ"/>
        </w:rPr>
        <w:t xml:space="preserve"> akcie převzal od prodávajícího při</w:t>
      </w:r>
      <w:r w:rsidR="00580666" w:rsidRPr="007365BF">
        <w:rPr>
          <w:rFonts w:ascii="Tahoma" w:eastAsia="Times New Roman" w:hAnsi="Tahoma" w:cs="Tahoma"/>
          <w:lang w:eastAsia="cs-CZ"/>
        </w:rPr>
        <w:t> </w:t>
      </w:r>
      <w:r w:rsidRPr="007365BF">
        <w:rPr>
          <w:rFonts w:ascii="Tahoma" w:eastAsia="Times New Roman" w:hAnsi="Tahoma" w:cs="Tahoma"/>
          <w:lang w:eastAsia="cs-CZ"/>
        </w:rPr>
        <w:t>podpisu této smlouvy.</w:t>
      </w:r>
    </w:p>
    <w:p w:rsidR="005B23AC" w:rsidRPr="005B23AC" w:rsidRDefault="005B23AC" w:rsidP="00580666">
      <w:pPr>
        <w:keepNext/>
        <w:spacing w:before="360" w:after="0" w:line="240" w:lineRule="auto"/>
        <w:jc w:val="center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b/>
          <w:bCs/>
          <w:lang w:eastAsia="cs-CZ"/>
        </w:rPr>
        <w:t>V</w:t>
      </w:r>
      <w:r w:rsidR="00580666">
        <w:rPr>
          <w:rFonts w:ascii="Tahoma" w:eastAsia="Times New Roman" w:hAnsi="Tahoma" w:cs="Tahoma"/>
          <w:b/>
          <w:bCs/>
          <w:lang w:eastAsia="cs-CZ"/>
        </w:rPr>
        <w:t>I.</w:t>
      </w:r>
      <w:r w:rsidR="00580666">
        <w:rPr>
          <w:rFonts w:ascii="Tahoma" w:eastAsia="Times New Roman" w:hAnsi="Tahoma" w:cs="Tahoma"/>
          <w:b/>
          <w:bCs/>
          <w:lang w:eastAsia="cs-CZ"/>
        </w:rPr>
        <w:br/>
      </w:r>
      <w:r w:rsidRPr="005B23AC">
        <w:rPr>
          <w:rFonts w:ascii="Tahoma" w:eastAsia="Times New Roman" w:hAnsi="Tahoma" w:cs="Tahoma"/>
          <w:b/>
          <w:bCs/>
          <w:lang w:eastAsia="cs-CZ"/>
        </w:rPr>
        <w:t xml:space="preserve">Prohlášení </w:t>
      </w:r>
      <w:r w:rsidR="00564E18">
        <w:rPr>
          <w:rFonts w:ascii="Tahoma" w:eastAsia="Times New Roman" w:hAnsi="Tahoma" w:cs="Tahoma"/>
          <w:b/>
          <w:bCs/>
          <w:lang w:eastAsia="cs-CZ"/>
        </w:rPr>
        <w:t>prodávajícího</w:t>
      </w:r>
    </w:p>
    <w:p w:rsidR="005B23AC" w:rsidRPr="005B23AC" w:rsidRDefault="005B23AC" w:rsidP="00860100">
      <w:pPr>
        <w:pStyle w:val="Odstavecseseznamem"/>
        <w:numPr>
          <w:ilvl w:val="1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80666">
        <w:rPr>
          <w:rFonts w:ascii="Tahoma" w:eastAsia="Times New Roman" w:hAnsi="Tahoma" w:cs="Tahoma"/>
          <w:u w:val="single"/>
          <w:lang w:eastAsia="cs-CZ"/>
        </w:rPr>
        <w:t>Prodávající prohlašuje</w:t>
      </w:r>
      <w:r w:rsidRPr="00580666">
        <w:rPr>
          <w:rFonts w:ascii="Tahoma" w:eastAsia="Times New Roman" w:hAnsi="Tahoma" w:cs="Tahoma"/>
          <w:lang w:eastAsia="cs-CZ"/>
        </w:rPr>
        <w:t xml:space="preserve">, </w:t>
      </w:r>
      <w:r w:rsidR="00580666" w:rsidRPr="00580666">
        <w:rPr>
          <w:rFonts w:ascii="Tahoma" w:eastAsia="Times New Roman" w:hAnsi="Tahoma" w:cs="Tahoma"/>
          <w:lang w:eastAsia="cs-CZ"/>
        </w:rPr>
        <w:t xml:space="preserve">že </w:t>
      </w:r>
      <w:r w:rsidRPr="00580666">
        <w:rPr>
          <w:rFonts w:ascii="Tahoma" w:eastAsia="Times New Roman" w:hAnsi="Tahoma" w:cs="Tahoma"/>
          <w:lang w:eastAsia="cs-CZ"/>
        </w:rPr>
        <w:t xml:space="preserve">je výlučným vlastníkem </w:t>
      </w:r>
      <w:r w:rsidR="00580666" w:rsidRPr="00580666">
        <w:rPr>
          <w:rFonts w:ascii="Tahoma" w:eastAsia="Times New Roman" w:hAnsi="Tahoma" w:cs="Tahoma"/>
          <w:lang w:eastAsia="cs-CZ"/>
        </w:rPr>
        <w:t xml:space="preserve">8 ks </w:t>
      </w:r>
      <w:r w:rsidRPr="00580666">
        <w:rPr>
          <w:rFonts w:ascii="Tahoma" w:eastAsia="Times New Roman" w:hAnsi="Tahoma" w:cs="Tahoma"/>
          <w:lang w:eastAsia="cs-CZ"/>
        </w:rPr>
        <w:t>akcií</w:t>
      </w:r>
      <w:r w:rsidR="00580666" w:rsidRPr="00580666">
        <w:rPr>
          <w:rFonts w:ascii="Tahoma" w:eastAsia="Times New Roman" w:hAnsi="Tahoma" w:cs="Tahoma"/>
          <w:lang w:eastAsia="cs-CZ"/>
        </w:rPr>
        <w:t xml:space="preserve"> převáděných na základě této smlouvy, že převáděné akcie</w:t>
      </w:r>
      <w:r w:rsidRPr="005B23AC">
        <w:rPr>
          <w:rFonts w:ascii="Tahoma" w:eastAsia="Times New Roman" w:hAnsi="Tahoma" w:cs="Tahoma"/>
          <w:lang w:eastAsia="cs-CZ"/>
        </w:rPr>
        <w:t xml:space="preserve"> nejsou zatíženy žádným právem třetích osob (zejména zástavní, opční, přednostní, předkupní práva apod.)</w:t>
      </w:r>
      <w:r w:rsidR="00580666">
        <w:rPr>
          <w:rFonts w:ascii="Tahoma" w:eastAsia="Times New Roman" w:hAnsi="Tahoma" w:cs="Tahoma"/>
          <w:lang w:eastAsia="cs-CZ"/>
        </w:rPr>
        <w:t xml:space="preserve"> a </w:t>
      </w:r>
      <w:r w:rsidRPr="005B23AC">
        <w:rPr>
          <w:rFonts w:ascii="Tahoma" w:eastAsia="Times New Roman" w:hAnsi="Tahoma" w:cs="Tahoma"/>
          <w:lang w:eastAsia="cs-CZ"/>
        </w:rPr>
        <w:t>není u nich pozastaven výkon práva majitele s nimi nakládat ani není jakýmkoli jiným způsobem omezen výkon akcionářských práv či možnost s akciemi nakládat.</w:t>
      </w:r>
    </w:p>
    <w:p w:rsidR="005B23AC" w:rsidRDefault="00580666" w:rsidP="00580666">
      <w:pPr>
        <w:pStyle w:val="Odstavecseseznamem"/>
        <w:numPr>
          <w:ilvl w:val="1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80666">
        <w:rPr>
          <w:rFonts w:ascii="Tahoma" w:eastAsia="Times New Roman" w:hAnsi="Tahoma" w:cs="Tahoma"/>
          <w:lang w:eastAsia="cs-CZ"/>
        </w:rPr>
        <w:t>Prodávající dále prohlašuje, že</w:t>
      </w:r>
      <w:r>
        <w:rPr>
          <w:rFonts w:ascii="Tahoma" w:eastAsia="Times New Roman" w:hAnsi="Tahoma" w:cs="Tahoma"/>
          <w:lang w:eastAsia="cs-CZ"/>
        </w:rPr>
        <w:t xml:space="preserve"> s</w:t>
      </w:r>
      <w:r w:rsidR="005B23AC" w:rsidRPr="005B23AC">
        <w:rPr>
          <w:rFonts w:ascii="Tahoma" w:eastAsia="Times New Roman" w:hAnsi="Tahoma" w:cs="Tahoma"/>
          <w:lang w:eastAsia="cs-CZ"/>
        </w:rPr>
        <w:t> akciemi jsou ke dni uzavření této smlouvy spojena všechna práva, která k nim podle právních předpisů a stanov emitenta náležejí (zejména jsou s nimi spojena všechna oddělitelná a samostatně převoditelná práva).</w:t>
      </w:r>
    </w:p>
    <w:p w:rsidR="00580666" w:rsidRPr="005B23AC" w:rsidRDefault="00580666" w:rsidP="00580666">
      <w:pPr>
        <w:pStyle w:val="Odstavecseseznamem"/>
        <w:numPr>
          <w:ilvl w:val="1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Prodávající potvrzuje, že k převodu akcií má souhlas všech členů představenstva emitenta. Dále prodávající potvrzuje, že ostatní stávající akcionáři se vzdali předkupního práva na odkup akcií</w:t>
      </w:r>
      <w:r w:rsidR="00564E18">
        <w:rPr>
          <w:rFonts w:ascii="Tahoma" w:eastAsia="Times New Roman" w:hAnsi="Tahoma" w:cs="Tahoma"/>
          <w:lang w:eastAsia="cs-CZ"/>
        </w:rPr>
        <w:t xml:space="preserve">, a jsou tedy splněny všechny podmínky uvedené ve stanovách emitenta </w:t>
      </w:r>
      <w:r w:rsidR="00564E18">
        <w:rPr>
          <w:rFonts w:ascii="Tahoma" w:eastAsia="Times New Roman" w:hAnsi="Tahoma" w:cs="Tahoma"/>
          <w:lang w:eastAsia="cs-CZ"/>
        </w:rPr>
        <w:lastRenderedPageBreak/>
        <w:t>pro převod akcií. Prodávající je tak</w:t>
      </w:r>
      <w:r w:rsidR="00564E18" w:rsidRPr="00564E18">
        <w:rPr>
          <w:rFonts w:ascii="Tahoma" w:eastAsia="Times New Roman" w:hAnsi="Tahoma" w:cs="Tahoma"/>
          <w:lang w:eastAsia="cs-CZ"/>
        </w:rPr>
        <w:t xml:space="preserve"> </w:t>
      </w:r>
      <w:r w:rsidR="00564E18" w:rsidRPr="005B23AC">
        <w:rPr>
          <w:rFonts w:ascii="Tahoma" w:eastAsia="Times New Roman" w:hAnsi="Tahoma" w:cs="Tahoma"/>
          <w:lang w:eastAsia="cs-CZ"/>
        </w:rPr>
        <w:t>plně oprávněn uzavřít tuto smlouvu, plnit své povinnosti vyplývající z této smlouvy a uskutečnit transakci zamýšlenou touto smlouvou.</w:t>
      </w:r>
    </w:p>
    <w:p w:rsidR="005B23AC" w:rsidRPr="00564E18" w:rsidRDefault="005B23AC" w:rsidP="00564E18">
      <w:pPr>
        <w:pStyle w:val="Odstavecseseznamem"/>
        <w:numPr>
          <w:ilvl w:val="1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B23AC">
        <w:rPr>
          <w:rFonts w:ascii="Tahoma" w:eastAsia="Times New Roman" w:hAnsi="Tahoma" w:cs="Tahoma"/>
          <w:lang w:eastAsia="cs-CZ"/>
        </w:rPr>
        <w:t xml:space="preserve">Prodávající </w:t>
      </w:r>
      <w:r w:rsidR="00564E18">
        <w:rPr>
          <w:rFonts w:ascii="Tahoma" w:eastAsia="Times New Roman" w:hAnsi="Tahoma" w:cs="Tahoma"/>
          <w:lang w:eastAsia="cs-CZ"/>
        </w:rPr>
        <w:t xml:space="preserve">dále prohlašuje, že </w:t>
      </w:r>
      <w:r w:rsidR="00C77F8B">
        <w:rPr>
          <w:rFonts w:ascii="Tahoma" w:eastAsia="Times New Roman" w:hAnsi="Tahoma" w:cs="Tahoma"/>
          <w:lang w:eastAsia="cs-CZ"/>
        </w:rPr>
        <w:t>není</w:t>
      </w:r>
      <w:r w:rsidRPr="005B23AC">
        <w:rPr>
          <w:rFonts w:ascii="Tahoma" w:eastAsia="Times New Roman" w:hAnsi="Tahoma" w:cs="Tahoma"/>
          <w:lang w:eastAsia="cs-CZ"/>
        </w:rPr>
        <w:t xml:space="preserve"> v úpadku, platební neschopnosti nebo předlužení, nezastavil platby a </w:t>
      </w:r>
      <w:r w:rsidR="00C77F8B">
        <w:rPr>
          <w:rFonts w:ascii="Tahoma" w:eastAsia="Times New Roman" w:hAnsi="Tahoma" w:cs="Tahoma"/>
          <w:lang w:eastAsia="cs-CZ"/>
        </w:rPr>
        <w:t>je</w:t>
      </w:r>
      <w:r w:rsidR="00C77F8B" w:rsidRPr="005B23AC">
        <w:rPr>
          <w:rFonts w:ascii="Tahoma" w:eastAsia="Times New Roman" w:hAnsi="Tahoma" w:cs="Tahoma"/>
          <w:lang w:eastAsia="cs-CZ"/>
        </w:rPr>
        <w:t xml:space="preserve"> </w:t>
      </w:r>
      <w:r w:rsidRPr="005B23AC">
        <w:rPr>
          <w:rFonts w:ascii="Tahoma" w:eastAsia="Times New Roman" w:hAnsi="Tahoma" w:cs="Tahoma"/>
          <w:lang w:eastAsia="cs-CZ"/>
        </w:rPr>
        <w:t>schop</w:t>
      </w:r>
      <w:r w:rsidR="00C77F8B">
        <w:rPr>
          <w:rFonts w:ascii="Tahoma" w:eastAsia="Times New Roman" w:hAnsi="Tahoma" w:cs="Tahoma"/>
          <w:lang w:eastAsia="cs-CZ"/>
        </w:rPr>
        <w:t>e</w:t>
      </w:r>
      <w:r w:rsidRPr="005B23AC">
        <w:rPr>
          <w:rFonts w:ascii="Tahoma" w:eastAsia="Times New Roman" w:hAnsi="Tahoma" w:cs="Tahoma"/>
          <w:lang w:eastAsia="cs-CZ"/>
        </w:rPr>
        <w:t>n platit své dluhy ve lhůtách splatnosti</w:t>
      </w:r>
      <w:r w:rsidR="00C77F8B">
        <w:rPr>
          <w:rFonts w:ascii="Tahoma" w:eastAsia="Times New Roman" w:hAnsi="Tahoma" w:cs="Tahoma"/>
          <w:lang w:eastAsia="cs-CZ"/>
        </w:rPr>
        <w:t xml:space="preserve"> a není mu známo, že by některá z těchto skutečností nastala u emitenta, či že by emitent nebyl schopen platit své dluhy ve lhůtách splatnosti</w:t>
      </w:r>
      <w:r w:rsidRPr="005B23AC">
        <w:rPr>
          <w:rFonts w:ascii="Tahoma" w:eastAsia="Times New Roman" w:hAnsi="Tahoma" w:cs="Tahoma"/>
          <w:lang w:eastAsia="cs-CZ"/>
        </w:rPr>
        <w:t>.</w:t>
      </w:r>
      <w:r w:rsidR="00564E18">
        <w:rPr>
          <w:rFonts w:ascii="Tahoma" w:eastAsia="Times New Roman" w:hAnsi="Tahoma" w:cs="Tahoma"/>
          <w:lang w:eastAsia="cs-CZ"/>
        </w:rPr>
        <w:t xml:space="preserve"> Na </w:t>
      </w:r>
      <w:r w:rsidRPr="00564E18">
        <w:rPr>
          <w:rFonts w:ascii="Tahoma" w:eastAsia="Times New Roman" w:hAnsi="Tahoma" w:cs="Tahoma"/>
          <w:lang w:eastAsia="cs-CZ"/>
        </w:rPr>
        <w:t>majetek prodávajícího ani emitenta nebyl prohlášen konkurz, povolena reorganizace či oddlužení ani podle nejlepšího vědomí prodávajícího nebylo žádné jiné podobné řízení zahájeno.</w:t>
      </w:r>
      <w:r w:rsidR="00564E18">
        <w:rPr>
          <w:rFonts w:ascii="Tahoma" w:eastAsia="Times New Roman" w:hAnsi="Tahoma" w:cs="Tahoma"/>
          <w:lang w:eastAsia="cs-CZ"/>
        </w:rPr>
        <w:t xml:space="preserve"> Prodávajícímu není známo, </w:t>
      </w:r>
      <w:r w:rsidR="00564E18" w:rsidRPr="005B23AC">
        <w:rPr>
          <w:rFonts w:ascii="Tahoma" w:eastAsia="Times New Roman" w:hAnsi="Tahoma" w:cs="Tahoma"/>
          <w:lang w:eastAsia="cs-CZ"/>
        </w:rPr>
        <w:t>že by emitent měl jakékoli závazky, které vedly nebo by mohly vést k nařízení exekuce či výkonu</w:t>
      </w:r>
      <w:r w:rsidR="00564E18">
        <w:rPr>
          <w:rFonts w:ascii="Tahoma" w:eastAsia="Times New Roman" w:hAnsi="Tahoma" w:cs="Tahoma"/>
          <w:lang w:eastAsia="cs-CZ"/>
        </w:rPr>
        <w:t xml:space="preserve"> rozhodnutí na majetek emitenta.</w:t>
      </w:r>
    </w:p>
    <w:p w:rsidR="005B23AC" w:rsidRDefault="00564E18" w:rsidP="00564E18">
      <w:pPr>
        <w:pStyle w:val="Odstavecseseznamem"/>
        <w:numPr>
          <w:ilvl w:val="1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Prodávajícímu není známo, že by emitent k</w:t>
      </w:r>
      <w:r w:rsidR="005B23AC" w:rsidRPr="005B23AC">
        <w:rPr>
          <w:rFonts w:ascii="Tahoma" w:eastAsia="Times New Roman" w:hAnsi="Tahoma" w:cs="Tahoma"/>
          <w:lang w:eastAsia="cs-CZ"/>
        </w:rPr>
        <w:t xml:space="preserve">e dni podpisu této smlouvy učinil </w:t>
      </w:r>
      <w:r>
        <w:rPr>
          <w:rFonts w:ascii="Tahoma" w:eastAsia="Times New Roman" w:hAnsi="Tahoma" w:cs="Tahoma"/>
          <w:lang w:eastAsia="cs-CZ"/>
        </w:rPr>
        <w:t>nějaká</w:t>
      </w:r>
      <w:r w:rsidR="005B23AC" w:rsidRPr="005B23AC">
        <w:rPr>
          <w:rFonts w:ascii="Tahoma" w:eastAsia="Times New Roman" w:hAnsi="Tahoma" w:cs="Tahoma"/>
          <w:lang w:eastAsia="cs-CZ"/>
        </w:rPr>
        <w:t xml:space="preserve"> rozhodnutí </w:t>
      </w:r>
      <w:r>
        <w:rPr>
          <w:rFonts w:ascii="Tahoma" w:eastAsia="Times New Roman" w:hAnsi="Tahoma" w:cs="Tahoma"/>
          <w:lang w:eastAsia="cs-CZ"/>
        </w:rPr>
        <w:t>či</w:t>
      </w:r>
      <w:r w:rsidR="005B23AC" w:rsidRPr="005B23AC">
        <w:rPr>
          <w:rFonts w:ascii="Tahoma" w:eastAsia="Times New Roman" w:hAnsi="Tahoma" w:cs="Tahoma"/>
          <w:lang w:eastAsia="cs-CZ"/>
        </w:rPr>
        <w:t xml:space="preserve"> jiné </w:t>
      </w:r>
      <w:r>
        <w:rPr>
          <w:rFonts w:ascii="Tahoma" w:eastAsia="Times New Roman" w:hAnsi="Tahoma" w:cs="Tahoma"/>
          <w:lang w:eastAsia="cs-CZ"/>
        </w:rPr>
        <w:t>úkony</w:t>
      </w:r>
      <w:r w:rsidR="005B23AC" w:rsidRPr="005B23AC">
        <w:rPr>
          <w:rFonts w:ascii="Tahoma" w:eastAsia="Times New Roman" w:hAnsi="Tahoma" w:cs="Tahoma"/>
          <w:lang w:eastAsia="cs-CZ"/>
        </w:rPr>
        <w:t xml:space="preserve">, jejichž důsledkem by byla </w:t>
      </w:r>
      <w:r>
        <w:rPr>
          <w:rFonts w:ascii="Tahoma" w:eastAsia="Times New Roman" w:hAnsi="Tahoma" w:cs="Tahoma"/>
          <w:lang w:eastAsia="cs-CZ"/>
        </w:rPr>
        <w:t>změna skutečnosti zapisované do </w:t>
      </w:r>
      <w:r w:rsidR="005B23AC" w:rsidRPr="005B23AC">
        <w:rPr>
          <w:rFonts w:ascii="Tahoma" w:eastAsia="Times New Roman" w:hAnsi="Tahoma" w:cs="Tahoma"/>
          <w:lang w:eastAsia="cs-CZ"/>
        </w:rPr>
        <w:t xml:space="preserve">obchodního rejstříku a taková skutečnost by nebyla </w:t>
      </w:r>
      <w:r>
        <w:rPr>
          <w:rFonts w:ascii="Tahoma" w:eastAsia="Times New Roman" w:hAnsi="Tahoma" w:cs="Tahoma"/>
          <w:lang w:eastAsia="cs-CZ"/>
        </w:rPr>
        <w:t>do obchodního rejstříku zapsána.</w:t>
      </w:r>
    </w:p>
    <w:p w:rsidR="00564E18" w:rsidRDefault="00564E18" w:rsidP="00564E18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564E18">
        <w:rPr>
          <w:rFonts w:ascii="Tahoma" w:eastAsia="Times New Roman" w:hAnsi="Tahoma" w:cs="Tahoma"/>
          <w:b/>
          <w:bCs/>
          <w:lang w:eastAsia="cs-CZ"/>
        </w:rPr>
        <w:t>VII.</w:t>
      </w:r>
      <w:r w:rsidRPr="00564E18">
        <w:rPr>
          <w:rFonts w:ascii="Tahoma" w:eastAsia="Times New Roman" w:hAnsi="Tahoma" w:cs="Tahoma"/>
          <w:b/>
          <w:bCs/>
          <w:lang w:eastAsia="cs-CZ"/>
        </w:rPr>
        <w:br/>
      </w:r>
      <w:r>
        <w:rPr>
          <w:rFonts w:ascii="Tahoma" w:eastAsia="Times New Roman" w:hAnsi="Tahoma" w:cs="Tahoma"/>
          <w:b/>
          <w:bCs/>
          <w:lang w:eastAsia="cs-CZ"/>
        </w:rPr>
        <w:t>Z</w:t>
      </w:r>
      <w:r w:rsidRPr="00564E18">
        <w:rPr>
          <w:rFonts w:ascii="Tahoma" w:eastAsia="Times New Roman" w:hAnsi="Tahoma" w:cs="Tahoma"/>
          <w:b/>
          <w:bCs/>
          <w:lang w:eastAsia="cs-CZ"/>
        </w:rPr>
        <w:t>ávěrečná ustanovení</w:t>
      </w:r>
    </w:p>
    <w:p w:rsidR="00564E18" w:rsidRDefault="00564E18" w:rsidP="00564E18">
      <w:pPr>
        <w:pStyle w:val="Odstavecseseznamem"/>
        <w:numPr>
          <w:ilvl w:val="1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Tato smlouva nabývá platnosti a účinnosti dnem jejího podpisu oběma smluvními stranami.</w:t>
      </w:r>
    </w:p>
    <w:p w:rsidR="00564E18" w:rsidRDefault="005B5BC2" w:rsidP="00564E18">
      <w:pPr>
        <w:pStyle w:val="Odstavecseseznamem"/>
        <w:numPr>
          <w:ilvl w:val="1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Tato smlouva je vyhotovena ve třech stejnopisech s platností originálu, z nichž jeden obdrží prodávající a dva kupující.</w:t>
      </w:r>
    </w:p>
    <w:p w:rsidR="005B5BC2" w:rsidRDefault="005B5BC2" w:rsidP="00564E18">
      <w:pPr>
        <w:pStyle w:val="Odstavecseseznamem"/>
        <w:numPr>
          <w:ilvl w:val="1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Práva a povinnosti touto smlouvou výslovně neupravená se řídí příslušnými ustanoveními občanského zákoníku.</w:t>
      </w:r>
    </w:p>
    <w:p w:rsidR="005B5BC2" w:rsidRDefault="005B5BC2" w:rsidP="00564E18">
      <w:pPr>
        <w:pStyle w:val="Odstavecseseznamem"/>
        <w:numPr>
          <w:ilvl w:val="1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Doložka platnosti právního jednání dle § 23 zákona č. 129/2000 Sb., o krajích (krajské zřízení), ve znění pozdějších předpisů:</w:t>
      </w:r>
    </w:p>
    <w:p w:rsidR="005B5BC2" w:rsidRDefault="005B5BC2" w:rsidP="005B5BC2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O nabytí akcií a uzavření této smlouvy rozhodlo zastupitelstvo kraje usnesením č. ………… ze dne 16. 3. 2017.</w:t>
      </w:r>
    </w:p>
    <w:p w:rsidR="005B5BC2" w:rsidRDefault="005B5BC2" w:rsidP="005B5BC2">
      <w:pPr>
        <w:pStyle w:val="Odstavecseseznamem"/>
        <w:tabs>
          <w:tab w:val="left" w:pos="6096"/>
        </w:tabs>
        <w:spacing w:before="720" w:after="0" w:line="240" w:lineRule="auto"/>
        <w:ind w:left="0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V Ostravě dne ……………………</w:t>
      </w:r>
      <w:r>
        <w:rPr>
          <w:rFonts w:ascii="Tahoma" w:eastAsia="Times New Roman" w:hAnsi="Tahoma" w:cs="Tahoma"/>
          <w:bCs/>
          <w:lang w:eastAsia="cs-CZ"/>
        </w:rPr>
        <w:tab/>
        <w:t>V Ostravě dne ……………………</w:t>
      </w:r>
    </w:p>
    <w:p w:rsidR="005B5BC2" w:rsidRDefault="005B5BC2" w:rsidP="005B5BC2">
      <w:pPr>
        <w:pStyle w:val="Odstavecseseznamem"/>
        <w:tabs>
          <w:tab w:val="left" w:pos="6096"/>
        </w:tabs>
        <w:spacing w:before="1080" w:after="0" w:line="240" w:lineRule="auto"/>
        <w:ind w:left="0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________________________</w:t>
      </w:r>
      <w:r>
        <w:rPr>
          <w:rFonts w:ascii="Tahoma" w:eastAsia="Times New Roman" w:hAnsi="Tahoma" w:cs="Tahoma"/>
          <w:bCs/>
          <w:lang w:eastAsia="cs-CZ"/>
        </w:rPr>
        <w:tab/>
        <w:t>________________________</w:t>
      </w:r>
    </w:p>
    <w:p w:rsidR="005B5BC2" w:rsidRDefault="005B5BC2" w:rsidP="008C5F5C">
      <w:pPr>
        <w:pStyle w:val="Odstavecseseznamem"/>
        <w:tabs>
          <w:tab w:val="left" w:pos="6946"/>
        </w:tabs>
        <w:spacing w:after="0" w:line="240" w:lineRule="auto"/>
        <w:ind w:left="567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za prodávajícího</w:t>
      </w:r>
      <w:r>
        <w:rPr>
          <w:rFonts w:ascii="Tahoma" w:eastAsia="Times New Roman" w:hAnsi="Tahoma" w:cs="Tahoma"/>
          <w:bCs/>
          <w:lang w:eastAsia="cs-CZ"/>
        </w:rPr>
        <w:tab/>
        <w:t>za kupujícího</w:t>
      </w:r>
    </w:p>
    <w:p w:rsidR="005B5BC2" w:rsidRDefault="005B5BC2" w:rsidP="005B5BC2">
      <w:pPr>
        <w:pStyle w:val="Odstavecseseznamem"/>
        <w:tabs>
          <w:tab w:val="left" w:pos="7230"/>
        </w:tabs>
        <w:spacing w:after="0" w:line="240" w:lineRule="auto"/>
        <w:ind w:left="0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Ing. Petra Chovanioková, MBA</w:t>
      </w:r>
      <w:r>
        <w:rPr>
          <w:rFonts w:ascii="Tahoma" w:eastAsia="Times New Roman" w:hAnsi="Tahoma" w:cs="Tahoma"/>
          <w:bCs/>
          <w:lang w:eastAsia="cs-CZ"/>
        </w:rPr>
        <w:tab/>
      </w:r>
    </w:p>
    <w:p w:rsidR="005B5BC2" w:rsidRPr="005B23AC" w:rsidRDefault="005B5BC2" w:rsidP="005B5BC2">
      <w:pPr>
        <w:pStyle w:val="Odstavecseseznamem"/>
        <w:tabs>
          <w:tab w:val="left" w:pos="7230"/>
        </w:tabs>
        <w:spacing w:after="0" w:line="240" w:lineRule="auto"/>
        <w:ind w:left="425"/>
        <w:contextualSpacing w:val="0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statutární ředitelka</w:t>
      </w:r>
    </w:p>
    <w:sectPr w:rsidR="005B5BC2" w:rsidRPr="005B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D4275"/>
    <w:multiLevelType w:val="hybridMultilevel"/>
    <w:tmpl w:val="CE3A2E4C"/>
    <w:lvl w:ilvl="0" w:tplc="4418C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410B7"/>
    <w:multiLevelType w:val="multilevel"/>
    <w:tmpl w:val="A9BC38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D156E80"/>
    <w:multiLevelType w:val="multilevel"/>
    <w:tmpl w:val="D84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D340DE"/>
    <w:multiLevelType w:val="multilevel"/>
    <w:tmpl w:val="E662F0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A52F68"/>
    <w:multiLevelType w:val="hybridMultilevel"/>
    <w:tmpl w:val="CE3A2E4C"/>
    <w:lvl w:ilvl="0" w:tplc="4418C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879D8"/>
    <w:multiLevelType w:val="hybridMultilevel"/>
    <w:tmpl w:val="F378087C"/>
    <w:lvl w:ilvl="0" w:tplc="0F1CE9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C594A"/>
    <w:multiLevelType w:val="hybridMultilevel"/>
    <w:tmpl w:val="17849DBC"/>
    <w:lvl w:ilvl="0" w:tplc="4418C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37B"/>
    <w:multiLevelType w:val="multilevel"/>
    <w:tmpl w:val="A9BC38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AC"/>
    <w:rsid w:val="00227C5A"/>
    <w:rsid w:val="00264CD9"/>
    <w:rsid w:val="002C7C10"/>
    <w:rsid w:val="003307E7"/>
    <w:rsid w:val="00400569"/>
    <w:rsid w:val="005232EA"/>
    <w:rsid w:val="005321EE"/>
    <w:rsid w:val="00564E18"/>
    <w:rsid w:val="00580666"/>
    <w:rsid w:val="005B23AC"/>
    <w:rsid w:val="005B5BC2"/>
    <w:rsid w:val="0069203F"/>
    <w:rsid w:val="007365BF"/>
    <w:rsid w:val="008C5F5C"/>
    <w:rsid w:val="00A27AC1"/>
    <w:rsid w:val="00C77F8B"/>
    <w:rsid w:val="00E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85237-AA19-4BD3-9A18-1C05C57F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2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3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B23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5B23AC"/>
  </w:style>
  <w:style w:type="paragraph" w:customStyle="1" w:styleId="onsrtflink">
    <w:name w:val="ons_rtf_link"/>
    <w:basedOn w:val="Normln"/>
    <w:rsid w:val="005B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pterauthor">
    <w:name w:val="chapter_author"/>
    <w:basedOn w:val="Normln"/>
    <w:rsid w:val="005B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5B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rtened-text-ellipsis">
    <w:name w:val="shortened-text-ellipsis"/>
    <w:basedOn w:val="Standardnpsmoodstavce"/>
    <w:rsid w:val="005B23AC"/>
  </w:style>
  <w:style w:type="paragraph" w:styleId="Odstavecseseznamem">
    <w:name w:val="List Paragraph"/>
    <w:basedOn w:val="Normln"/>
    <w:uiPriority w:val="34"/>
    <w:qFormat/>
    <w:rsid w:val="005B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7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3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8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5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0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49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7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44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Orszulíková Jana</dc:creator>
  <cp:lastModifiedBy>Orszulíková Jana</cp:lastModifiedBy>
  <cp:revision>5</cp:revision>
  <dcterms:created xsi:type="dcterms:W3CDTF">2017-02-20T10:15:00Z</dcterms:created>
  <dcterms:modified xsi:type="dcterms:W3CDTF">2017-02-20T12:36:00Z</dcterms:modified>
</cp:coreProperties>
</file>