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499E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6E341992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5FC5FACF" w14:textId="77777777" w:rsidR="00FA4EE2" w:rsidRPr="00E87E7A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4933D24E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FA4EE2" w:rsidRPr="00E87E7A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E87E7A">
        <w:rPr>
          <w:rFonts w:ascii="Tahoma" w:hAnsi="Tahoma" w:cs="Tahoma"/>
          <w:sz w:val="20"/>
          <w:szCs w:val="20"/>
        </w:rPr>
        <w:t>7, 702 18 Ostrava</w:t>
      </w:r>
    </w:p>
    <w:p w14:paraId="6417E4E2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 w:rsidR="00362EE6" w:rsidRPr="00C31DAC">
        <w:rPr>
          <w:rFonts w:ascii="Tahoma" w:hAnsi="Tahoma" w:cs="Tahoma"/>
          <w:sz w:val="20"/>
          <w:szCs w:val="20"/>
        </w:rPr>
        <w:t>Bc. Jiřím Navrátilem, MBA, náměstkem hejtmana kraje</w:t>
      </w:r>
    </w:p>
    <w:p w14:paraId="03B4972F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</w:t>
      </w:r>
      <w:r w:rsidR="004820E5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42189AD3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</w:r>
      <w:r w:rsidR="00C92159" w:rsidRPr="00E87E7A">
        <w:rPr>
          <w:rFonts w:ascii="Tahoma" w:hAnsi="Tahoma" w:cs="Tahoma"/>
          <w:sz w:val="20"/>
          <w:szCs w:val="20"/>
        </w:rPr>
        <w:t>CZ70890692</w:t>
      </w:r>
    </w:p>
    <w:p w14:paraId="44F865B2" w14:textId="77777777" w:rsidR="004820E5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proofErr w:type="spellStart"/>
      <w:r w:rsidR="00362EE6">
        <w:rPr>
          <w:rFonts w:ascii="Tahoma" w:hAnsi="Tahoma" w:cs="Tahoma"/>
          <w:sz w:val="20"/>
        </w:rPr>
        <w:t>UniCredit</w:t>
      </w:r>
      <w:proofErr w:type="spellEnd"/>
      <w:r w:rsidR="00362EE6">
        <w:rPr>
          <w:rFonts w:ascii="Tahoma" w:hAnsi="Tahoma" w:cs="Tahoma"/>
          <w:sz w:val="20"/>
        </w:rPr>
        <w:t xml:space="preserve"> Bank Czech Republic and </w:t>
      </w:r>
      <w:r w:rsidR="00362EE6" w:rsidRPr="00085FDA">
        <w:rPr>
          <w:rFonts w:ascii="Tahoma" w:hAnsi="Tahoma" w:cs="Tahoma"/>
          <w:sz w:val="20"/>
        </w:rPr>
        <w:t>Slovakia</w:t>
      </w:r>
      <w:r w:rsidR="00362EE6">
        <w:rPr>
          <w:rFonts w:ascii="Tahoma" w:hAnsi="Tahoma" w:cs="Tahoma"/>
          <w:sz w:val="20"/>
        </w:rPr>
        <w:t>, a. s.</w:t>
      </w:r>
    </w:p>
    <w:p w14:paraId="08623DBA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</w:t>
      </w:r>
      <w:r w:rsidR="004820E5" w:rsidRPr="00E87E7A">
        <w:rPr>
          <w:rFonts w:ascii="Tahoma" w:hAnsi="Tahoma" w:cs="Tahoma"/>
          <w:sz w:val="20"/>
          <w:szCs w:val="20"/>
        </w:rPr>
        <w:t>íslo</w:t>
      </w:r>
      <w:r w:rsidRPr="00E87E7A">
        <w:rPr>
          <w:rFonts w:ascii="Tahoma" w:hAnsi="Tahoma" w:cs="Tahoma"/>
          <w:sz w:val="20"/>
          <w:szCs w:val="20"/>
        </w:rPr>
        <w:t xml:space="preserve"> ú</w:t>
      </w:r>
      <w:r w:rsidR="004820E5" w:rsidRPr="00E87E7A">
        <w:rPr>
          <w:rFonts w:ascii="Tahoma" w:hAnsi="Tahoma" w:cs="Tahoma"/>
          <w:sz w:val="20"/>
          <w:szCs w:val="20"/>
        </w:rPr>
        <w:t>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362EE6">
        <w:rPr>
          <w:rFonts w:ascii="Tahoma" w:hAnsi="Tahoma" w:cs="Tahoma"/>
          <w:sz w:val="20"/>
        </w:rPr>
        <w:t>2106597481/2700</w:t>
      </w:r>
    </w:p>
    <w:p w14:paraId="3BE6B6CD" w14:textId="77777777" w:rsidR="00FA4EE2" w:rsidRPr="00E87E7A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1CFFB316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188619F4" w14:textId="77777777" w:rsidR="00FA4EE2" w:rsidRPr="00E87E7A" w:rsidRDefault="007262BD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Krizové centrum Ostrava,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6B9E59A3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="007262BD" w:rsidRPr="007262BD">
        <w:rPr>
          <w:rFonts w:ascii="Tahoma" w:hAnsi="Tahoma" w:cs="Tahoma"/>
          <w:sz w:val="20"/>
          <w:szCs w:val="20"/>
        </w:rPr>
        <w:t>Ruská 94/29, Vítkovice, 703 00 Ostrava</w:t>
      </w:r>
    </w:p>
    <w:p w14:paraId="34E1C4AA" w14:textId="77777777" w:rsidR="00D539BF" w:rsidRPr="00D539BF" w:rsidRDefault="00D539BF" w:rsidP="00CC25A3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zastoupen:</w:t>
      </w:r>
      <w:r w:rsidRPr="00150616">
        <w:rPr>
          <w:rFonts w:ascii="Tahoma" w:hAnsi="Tahoma" w:cs="Tahoma"/>
          <w:sz w:val="20"/>
          <w:szCs w:val="20"/>
        </w:rPr>
        <w:tab/>
      </w:r>
      <w:r w:rsidR="007262BD" w:rsidRPr="007262BD">
        <w:rPr>
          <w:rFonts w:ascii="Tahoma" w:hAnsi="Tahoma" w:cs="Tahoma"/>
          <w:sz w:val="20"/>
          <w:szCs w:val="20"/>
        </w:rPr>
        <w:t>Bc. Davidem Tichým, DiS, předsedou</w:t>
      </w:r>
    </w:p>
    <w:p w14:paraId="544290BD" w14:textId="77777777" w:rsidR="00D539BF" w:rsidRPr="00D539B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 w:rsidRPr="00150616">
        <w:rPr>
          <w:rFonts w:ascii="Tahoma" w:hAnsi="Tahoma" w:cs="Tahoma"/>
          <w:sz w:val="20"/>
          <w:szCs w:val="20"/>
        </w:rPr>
        <w:tab/>
      </w:r>
      <w:r w:rsidR="007262BD" w:rsidRPr="007262BD">
        <w:rPr>
          <w:rFonts w:ascii="Tahoma" w:hAnsi="Tahoma" w:cs="Tahoma"/>
          <w:sz w:val="20"/>
          <w:szCs w:val="20"/>
        </w:rPr>
        <w:t>22735283</w:t>
      </w:r>
    </w:p>
    <w:p w14:paraId="18B77A7B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r w:rsidR="007262BD">
        <w:rPr>
          <w:rFonts w:ascii="Tahoma" w:hAnsi="Tahoma" w:cs="Tahoma"/>
          <w:sz w:val="20"/>
          <w:szCs w:val="20"/>
        </w:rPr>
        <w:t>Česká spořitelna a.s.</w:t>
      </w:r>
    </w:p>
    <w:p w14:paraId="51E26FAA" w14:textId="77777777" w:rsidR="004820E5" w:rsidRPr="00E87E7A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7262BD">
        <w:rPr>
          <w:rFonts w:ascii="Tahoma" w:hAnsi="Tahoma" w:cs="Tahoma"/>
          <w:sz w:val="20"/>
          <w:szCs w:val="20"/>
        </w:rPr>
        <w:t>1666135379/0800</w:t>
      </w:r>
    </w:p>
    <w:p w14:paraId="76E2A253" w14:textId="77777777" w:rsidR="00FA4EE2" w:rsidRPr="00E87E7A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6F7A349F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3E41BC4F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7AE208F9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4C7F3656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47546113" w14:textId="77777777" w:rsidR="00B7718B" w:rsidRPr="001A3EDF" w:rsidRDefault="00B7718B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</w:t>
      </w:r>
      <w:r w:rsidR="0080709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dubna 2022 (publikováno v Úředním věstníku Evropské unie dne 8. 4. 2022 pod č. L 111), tj. není právnickou osobou, subjektem nebo orgánem usazeným v Rusku, který je z více než 50</w:t>
      </w:r>
      <w:r w:rsidR="00890EC7" w:rsidRPr="00A50EB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% ve veřejném vlastnictví či pod veřejnou kontrolou.</w:t>
      </w:r>
      <w:r w:rsidR="00B54FDC" w:rsidRPr="00A50EB5">
        <w:rPr>
          <w:rFonts w:ascii="Tahoma" w:hAnsi="Tahoma" w:cs="Tahoma"/>
          <w:b w:val="0"/>
          <w:bCs w:val="0"/>
          <w:sz w:val="20"/>
          <w:szCs w:val="20"/>
        </w:rPr>
        <w:t xml:space="preserve">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0B1CFBF5" w14:textId="214A66F2" w:rsidR="00A24C67" w:rsidRDefault="00A24C67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24C67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nemá závazky po lhůtě splatnosti vůči finančnímu úřadu ani okresní správě sociálního zabezpečení, popř. že ohledně takovýchto závazků bylo vydáno rozhodnutí o povolení </w:t>
      </w:r>
      <w:r w:rsidRPr="00A24C67">
        <w:rPr>
          <w:rFonts w:ascii="Tahoma" w:hAnsi="Tahoma" w:cs="Tahoma"/>
          <w:b w:val="0"/>
          <w:bCs w:val="0"/>
          <w:sz w:val="20"/>
          <w:szCs w:val="20"/>
        </w:rPr>
        <w:t>posečkání s úhradou nedoplatků nebo rozhodnutí o povolení splátkování. Příjemce bere na vědomí, že pokud je uvedené prohlášení nepravdivé, bude to považováno za porušení této smlouvy a</w:t>
      </w:r>
      <w:r w:rsidR="00250A70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24C67">
        <w:rPr>
          <w:rFonts w:ascii="Tahoma" w:hAnsi="Tahoma" w:cs="Tahoma"/>
          <w:b w:val="0"/>
          <w:bCs w:val="0"/>
          <w:sz w:val="20"/>
          <w:szCs w:val="20"/>
        </w:rPr>
        <w:t>neoprávněné použití dotace.</w:t>
      </w:r>
    </w:p>
    <w:p w14:paraId="71FAA89D" w14:textId="77777777" w:rsidR="0080709E" w:rsidRDefault="0080709E" w:rsidP="0080709E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38237B3B" w14:textId="77777777" w:rsidR="0080709E" w:rsidRPr="00B7718B" w:rsidRDefault="0080709E" w:rsidP="0080709E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443B6B5D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36929BF6" w14:textId="77777777" w:rsidR="00FA4EE2" w:rsidRPr="00E87E7A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317609A7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185D2AFB" w14:textId="77777777" w:rsidR="0080709E" w:rsidRPr="00E87E7A" w:rsidRDefault="00FA4EE2" w:rsidP="0080709E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="0080709E" w:rsidRPr="00E87E7A">
        <w:rPr>
          <w:rFonts w:ascii="Tahoma" w:hAnsi="Tahoma" w:cs="Tahoma"/>
          <w:b w:val="0"/>
          <w:bCs w:val="0"/>
          <w:sz w:val="20"/>
          <w:szCs w:val="20"/>
        </w:rPr>
        <w:t xml:space="preserve">podle této smlouvy poskytne příjemci </w:t>
      </w:r>
      <w:r w:rsidR="0080709E" w:rsidRPr="00C205EE">
        <w:rPr>
          <w:rFonts w:ascii="Tahoma" w:hAnsi="Tahoma" w:cs="Tahoma"/>
          <w:b w:val="0"/>
          <w:bCs w:val="0"/>
          <w:sz w:val="20"/>
          <w:szCs w:val="20"/>
        </w:rPr>
        <w:t xml:space="preserve">investiční </w:t>
      </w:r>
      <w:r w:rsidR="0080709E" w:rsidRPr="00E87E7A">
        <w:rPr>
          <w:rFonts w:ascii="Tahoma" w:hAnsi="Tahoma" w:cs="Tahoma"/>
          <w:b w:val="0"/>
          <w:bCs w:val="0"/>
          <w:sz w:val="20"/>
          <w:szCs w:val="20"/>
        </w:rPr>
        <w:t xml:space="preserve">dotaci ve výši </w:t>
      </w:r>
      <w:r w:rsidR="0080709E">
        <w:rPr>
          <w:rFonts w:ascii="Tahoma" w:hAnsi="Tahoma" w:cs="Tahoma"/>
          <w:bCs w:val="0"/>
          <w:sz w:val="20"/>
          <w:szCs w:val="20"/>
        </w:rPr>
        <w:t xml:space="preserve">400.000 </w:t>
      </w:r>
      <w:r w:rsidR="0080709E" w:rsidRPr="00A61C26">
        <w:rPr>
          <w:rFonts w:ascii="Tahoma" w:hAnsi="Tahoma" w:cs="Tahoma"/>
          <w:bCs w:val="0"/>
          <w:sz w:val="20"/>
          <w:szCs w:val="20"/>
        </w:rPr>
        <w:t>Kč</w:t>
      </w:r>
      <w:r w:rsidR="0080709E" w:rsidRPr="00E87E7A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proofErr w:type="spellStart"/>
      <w:r w:rsidR="0080709E">
        <w:rPr>
          <w:rFonts w:ascii="Tahoma" w:hAnsi="Tahoma" w:cs="Tahoma"/>
          <w:b w:val="0"/>
          <w:bCs w:val="0"/>
          <w:sz w:val="20"/>
          <w:szCs w:val="20"/>
        </w:rPr>
        <w:t>čtyřistatisíc</w:t>
      </w:r>
      <w:proofErr w:type="spellEnd"/>
      <w:r w:rsidR="0080709E" w:rsidRPr="00E87E7A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uznatelných nákladů projektu </w:t>
      </w:r>
      <w:r w:rsidR="0080709E">
        <w:rPr>
          <w:rFonts w:ascii="Tahoma" w:hAnsi="Tahoma" w:cs="Tahoma"/>
          <w:bCs w:val="0"/>
          <w:sz w:val="20"/>
          <w:szCs w:val="20"/>
        </w:rPr>
        <w:t>„Pořízení automobilu pro terénní formu služby krizová pomoc“</w:t>
      </w:r>
      <w:r w:rsidR="0080709E" w:rsidRPr="00E87E7A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</w:t>
      </w:r>
      <w:r w:rsidR="00F8636F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="00F8636F" w:rsidRPr="00F8636F">
        <w:rPr>
          <w:rFonts w:ascii="Tahoma" w:hAnsi="Tahoma" w:cs="Tahoma"/>
          <w:sz w:val="20"/>
        </w:rPr>
        <w:t>na</w:t>
      </w:r>
      <w:r w:rsidR="00F8636F" w:rsidRPr="005C45E3">
        <w:rPr>
          <w:rFonts w:ascii="Tahoma" w:hAnsi="Tahoma" w:cs="Tahoma"/>
          <w:b w:val="0"/>
          <w:bCs w:val="0"/>
          <w:sz w:val="20"/>
        </w:rPr>
        <w:t xml:space="preserve"> </w:t>
      </w:r>
      <w:r w:rsidR="00F8636F" w:rsidRPr="00F8636F">
        <w:rPr>
          <w:rFonts w:ascii="Tahoma" w:hAnsi="Tahoma" w:cs="Tahoma"/>
          <w:sz w:val="20"/>
        </w:rPr>
        <w:t>sociální službu 9861220</w:t>
      </w:r>
      <w:r w:rsidR="00F8636F">
        <w:rPr>
          <w:rFonts w:ascii="Tahoma" w:hAnsi="Tahoma" w:cs="Tahoma"/>
          <w:b w:val="0"/>
          <w:bCs w:val="0"/>
          <w:sz w:val="20"/>
        </w:rPr>
        <w:t>,</w:t>
      </w:r>
      <w:r w:rsidR="0080709E" w:rsidRPr="00E87E7A">
        <w:rPr>
          <w:rFonts w:ascii="Tahoma" w:hAnsi="Tahoma" w:cs="Tahoma"/>
          <w:b w:val="0"/>
          <w:bCs w:val="0"/>
          <w:sz w:val="20"/>
          <w:szCs w:val="20"/>
        </w:rPr>
        <w:t xml:space="preserve"> vymezených v čl. VI této smlouvy.</w:t>
      </w:r>
    </w:p>
    <w:p w14:paraId="49469475" w14:textId="77777777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33BA2BF7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083565F2" w14:textId="77777777" w:rsidR="0080709E" w:rsidRPr="0080709E" w:rsidRDefault="00FA4EE2" w:rsidP="0080709E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="0080709E" w:rsidRPr="00507A2C">
        <w:rPr>
          <w:rFonts w:ascii="Tahoma" w:hAnsi="Tahoma" w:cs="Tahoma"/>
          <w:b w:val="0"/>
          <w:bCs w:val="0"/>
          <w:sz w:val="20"/>
        </w:rPr>
        <w:t>se zavazuje poskytnout příjemci dotaci na projekt převodem na účet</w:t>
      </w:r>
      <w:r w:rsidR="0080709E">
        <w:rPr>
          <w:rFonts w:ascii="Tahoma" w:hAnsi="Tahoma" w:cs="Tahoma"/>
          <w:b w:val="0"/>
          <w:bCs w:val="0"/>
          <w:sz w:val="20"/>
        </w:rPr>
        <w:t xml:space="preserve"> </w:t>
      </w:r>
      <w:r w:rsidR="0080709E" w:rsidRPr="00AB6209">
        <w:rPr>
          <w:rFonts w:ascii="Tahoma" w:hAnsi="Tahoma" w:cs="Tahoma"/>
          <w:b w:val="0"/>
          <w:bCs w:val="0"/>
          <w:iCs/>
          <w:sz w:val="20"/>
        </w:rPr>
        <w:t>příjemce uvedený v čl. I této smlouvy jedn</w:t>
      </w:r>
      <w:r w:rsidR="0080709E">
        <w:rPr>
          <w:rFonts w:ascii="Tahoma" w:hAnsi="Tahoma" w:cs="Tahoma"/>
          <w:b w:val="0"/>
          <w:bCs w:val="0"/>
          <w:iCs/>
          <w:sz w:val="20"/>
        </w:rPr>
        <w:t xml:space="preserve">orázovou úhradou ve výši </w:t>
      </w:r>
      <w:r w:rsidR="0080709E">
        <w:rPr>
          <w:rFonts w:ascii="Tahoma" w:hAnsi="Tahoma" w:cs="Tahoma"/>
          <w:iCs/>
          <w:sz w:val="20"/>
        </w:rPr>
        <w:t>40</w:t>
      </w:r>
      <w:r w:rsidR="0080709E" w:rsidRPr="00184AF2">
        <w:rPr>
          <w:rFonts w:ascii="Tahoma" w:hAnsi="Tahoma" w:cs="Tahoma"/>
          <w:iCs/>
          <w:sz w:val="20"/>
        </w:rPr>
        <w:t>0.000</w:t>
      </w:r>
      <w:r w:rsidR="0080709E" w:rsidRPr="00393023">
        <w:rPr>
          <w:rFonts w:ascii="Tahoma" w:hAnsi="Tahoma" w:cs="Tahoma"/>
          <w:iCs/>
          <w:sz w:val="20"/>
        </w:rPr>
        <w:t xml:space="preserve"> Kč</w:t>
      </w:r>
      <w:r w:rsidR="0080709E">
        <w:rPr>
          <w:rFonts w:ascii="Tahoma" w:hAnsi="Tahoma" w:cs="Tahoma"/>
          <w:b w:val="0"/>
          <w:bCs w:val="0"/>
          <w:iCs/>
          <w:sz w:val="20"/>
        </w:rPr>
        <w:t xml:space="preserve"> (slovy </w:t>
      </w:r>
      <w:proofErr w:type="spellStart"/>
      <w:r w:rsidR="0080709E">
        <w:rPr>
          <w:rFonts w:ascii="Tahoma" w:hAnsi="Tahoma" w:cs="Tahoma"/>
          <w:b w:val="0"/>
          <w:bCs w:val="0"/>
          <w:iCs/>
          <w:sz w:val="20"/>
        </w:rPr>
        <w:t>čtyřistatisíc</w:t>
      </w:r>
      <w:proofErr w:type="spellEnd"/>
      <w:r w:rsidR="0080709E" w:rsidRPr="00AB6209">
        <w:rPr>
          <w:rFonts w:ascii="Tahoma" w:hAnsi="Tahoma" w:cs="Tahoma"/>
          <w:b w:val="0"/>
          <w:bCs w:val="0"/>
          <w:iCs/>
          <w:sz w:val="20"/>
        </w:rPr>
        <w:t xml:space="preserve"> korun českých) ve lhůtě do</w:t>
      </w:r>
      <w:r w:rsidR="0080709E">
        <w:rPr>
          <w:rFonts w:ascii="Tahoma" w:hAnsi="Tahoma" w:cs="Tahoma"/>
          <w:b w:val="0"/>
          <w:bCs w:val="0"/>
          <w:iCs/>
          <w:sz w:val="20"/>
        </w:rPr>
        <w:t xml:space="preserve"> 30</w:t>
      </w:r>
      <w:r w:rsidR="0080709E" w:rsidRPr="00AB6209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smlouvy.</w:t>
      </w:r>
    </w:p>
    <w:p w14:paraId="0394A5C5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78A83A86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68DA1D37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129FAE9C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AB1941">
        <w:rPr>
          <w:rFonts w:ascii="Tahoma" w:hAnsi="Tahoma" w:cs="Tahoma"/>
          <w:sz w:val="20"/>
          <w:szCs w:val="20"/>
        </w:rPr>
        <w:t xml:space="preserve"> 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E87E7A">
        <w:rPr>
          <w:rFonts w:ascii="Tahoma" w:hAnsi="Tahoma" w:cs="Tahoma"/>
          <w:sz w:val="20"/>
          <w:szCs w:val="20"/>
        </w:rPr>
        <w:t xml:space="preserve"> </w:t>
      </w:r>
    </w:p>
    <w:p w14:paraId="12FA522B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 případě, že realizaci projektu nezahájí nebo ji </w:t>
      </w:r>
      <w:proofErr w:type="gramStart"/>
      <w:r w:rsidRPr="00E87E7A">
        <w:rPr>
          <w:rFonts w:ascii="Tahoma" w:hAnsi="Tahoma" w:cs="Tahoma"/>
          <w:sz w:val="20"/>
          <w:szCs w:val="20"/>
        </w:rPr>
        <w:t>přeruší</w:t>
      </w:r>
      <w:proofErr w:type="gramEnd"/>
      <w:r w:rsidRPr="00E87E7A">
        <w:rPr>
          <w:rFonts w:ascii="Tahoma" w:hAnsi="Tahoma" w:cs="Tahoma"/>
          <w:sz w:val="20"/>
          <w:szCs w:val="20"/>
        </w:rPr>
        <w:t xml:space="preserve"> z důvod</w:t>
      </w:r>
      <w:r w:rsidR="002B51F7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E87E7A">
        <w:rPr>
          <w:rFonts w:ascii="Tahoma" w:hAnsi="Tahoma" w:cs="Tahoma"/>
          <w:sz w:val="20"/>
          <w:szCs w:val="20"/>
        </w:rPr>
        <w:t>tuto skutečnost poskytovateli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E87E7A">
        <w:rPr>
          <w:rFonts w:ascii="Tahoma" w:hAnsi="Tahoma" w:cs="Tahoma"/>
          <w:sz w:val="20"/>
          <w:szCs w:val="20"/>
        </w:rPr>
        <w:t xml:space="preserve"> </w:t>
      </w:r>
    </w:p>
    <w:p w14:paraId="282EF7A4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E87E7A">
        <w:rPr>
          <w:rFonts w:ascii="Tahoma" w:hAnsi="Tahoma" w:cs="Tahoma"/>
          <w:sz w:val="20"/>
          <w:szCs w:val="20"/>
        </w:rPr>
        <w:t xml:space="preserve"> </w:t>
      </w:r>
    </w:p>
    <w:p w14:paraId="2CDF1503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0535E40B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7F7A2633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0C18792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E87E7A">
        <w:rPr>
          <w:rFonts w:ascii="Tahoma" w:hAnsi="Tahoma" w:cs="Tahoma"/>
          <w:sz w:val="20"/>
          <w:szCs w:val="20"/>
        </w:rPr>
        <w:t xml:space="preserve">alizovat projekt, nejpozději </w:t>
      </w:r>
      <w:r w:rsidR="00FF15AA" w:rsidRPr="0080709E">
        <w:rPr>
          <w:rFonts w:ascii="Tahoma" w:hAnsi="Tahoma" w:cs="Tahoma"/>
          <w:b/>
          <w:bCs/>
          <w:sz w:val="20"/>
          <w:szCs w:val="20"/>
        </w:rPr>
        <w:t>do </w:t>
      </w:r>
      <w:r w:rsidR="0080709E" w:rsidRPr="0080709E">
        <w:rPr>
          <w:rFonts w:ascii="Tahoma" w:hAnsi="Tahoma" w:cs="Tahoma"/>
          <w:b/>
          <w:bCs/>
          <w:sz w:val="20"/>
          <w:szCs w:val="20"/>
        </w:rPr>
        <w:t>30. 6. 2024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21ED768F" w14:textId="77777777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2DEA232B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 xml:space="preserve">označit originály všech účetních dokladů vztahujících se k projektu názvem projektu, nebo jiným označením, které projekt jasně identifikuje, u dokladů, k jejichž úhradě </w:t>
      </w:r>
      <w:r w:rsidRPr="0080709E">
        <w:rPr>
          <w:rFonts w:ascii="Tahoma" w:hAnsi="Tahoma" w:cs="Tahoma"/>
          <w:bCs/>
          <w:sz w:val="20"/>
          <w:szCs w:val="20"/>
        </w:rPr>
        <w:t>byla použita dotace</w:t>
      </w:r>
      <w:r w:rsidRPr="0080709E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pak navíc uvést formulaci „Financováno z rozpočtu MSK“, číslo smlouvy a výši použité dotace v Kč,</w:t>
      </w:r>
      <w:r w:rsidR="001C4F18" w:rsidRPr="00E87E7A">
        <w:rPr>
          <w:rFonts w:ascii="Tahoma" w:hAnsi="Tahoma" w:cs="Tahoma"/>
          <w:sz w:val="20"/>
          <w:szCs w:val="20"/>
        </w:rPr>
        <w:t xml:space="preserve"> </w:t>
      </w:r>
    </w:p>
    <w:p w14:paraId="0A53EC96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50A7E04D" w14:textId="77777777" w:rsidR="00E57A10" w:rsidRPr="00E87E7A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průběžné vyúčtování </w:t>
      </w:r>
      <w:r w:rsidR="00C92159" w:rsidRPr="00E87E7A">
        <w:rPr>
          <w:rFonts w:ascii="Tahoma" w:hAnsi="Tahoma" w:cs="Tahoma"/>
          <w:sz w:val="20"/>
          <w:szCs w:val="20"/>
        </w:rPr>
        <w:t>realizace projektu zpracované k</w:t>
      </w:r>
      <w:r w:rsidR="004365EA">
        <w:rPr>
          <w:rFonts w:ascii="Tahoma" w:hAnsi="Tahoma" w:cs="Tahoma"/>
          <w:sz w:val="20"/>
          <w:szCs w:val="20"/>
        </w:rPr>
        <w:t> </w:t>
      </w:r>
      <w:r w:rsidR="004365EA" w:rsidRPr="004365EA">
        <w:rPr>
          <w:rFonts w:ascii="Tahoma" w:hAnsi="Tahoma" w:cs="Tahoma"/>
          <w:b/>
          <w:bCs/>
          <w:sz w:val="20"/>
          <w:szCs w:val="20"/>
        </w:rPr>
        <w:t>31. 12. 2023</w:t>
      </w:r>
      <w:r w:rsidR="006546FE" w:rsidRPr="00E87E7A">
        <w:rPr>
          <w:rFonts w:ascii="Tahoma" w:hAnsi="Tahoma" w:cs="Tahoma"/>
          <w:sz w:val="20"/>
          <w:szCs w:val="20"/>
        </w:rPr>
        <w:t xml:space="preserve"> nejpozději do </w:t>
      </w:r>
      <w:r w:rsidR="006546FE" w:rsidRPr="004365EA">
        <w:rPr>
          <w:rFonts w:ascii="Tahoma" w:hAnsi="Tahoma" w:cs="Tahoma"/>
          <w:b/>
          <w:bCs/>
          <w:sz w:val="20"/>
          <w:szCs w:val="20"/>
        </w:rPr>
        <w:t>15. 1. následujícího kalendářního roku</w:t>
      </w:r>
      <w:r w:rsidR="006546FE" w:rsidRPr="00E87E7A">
        <w:rPr>
          <w:rFonts w:ascii="Tahoma" w:hAnsi="Tahoma" w:cs="Tahoma"/>
          <w:sz w:val="20"/>
          <w:szCs w:val="20"/>
        </w:rPr>
        <w:t>.</w:t>
      </w:r>
      <w:r w:rsidRPr="00E87E7A">
        <w:rPr>
          <w:rFonts w:ascii="Tahoma" w:hAnsi="Tahoma" w:cs="Tahoma"/>
          <w:sz w:val="20"/>
          <w:szCs w:val="20"/>
        </w:rPr>
        <w:t xml:space="preserve"> Průběžné vyúčtování se považuje za předložené poskytovateli dnem jeho předání k přepravě provozovateli poštovních služeb</w:t>
      </w:r>
      <w:r w:rsidR="00786889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786889">
        <w:rPr>
          <w:rFonts w:ascii="Tahoma" w:hAnsi="Tahoma" w:cs="Tahoma"/>
          <w:sz w:val="20"/>
          <w:szCs w:val="20"/>
        </w:rPr>
        <w:t xml:space="preserve"> </w:t>
      </w:r>
      <w:bookmarkStart w:id="0" w:name="_Hlk126225850"/>
      <w:r w:rsidR="00786889" w:rsidRPr="00786889">
        <w:rPr>
          <w:rFonts w:ascii="Tahoma" w:hAnsi="Tahoma" w:cs="Tahoma"/>
          <w:sz w:val="20"/>
          <w:szCs w:val="20"/>
        </w:rPr>
        <w:t xml:space="preserve">dodáním </w:t>
      </w:r>
      <w:r w:rsidR="00786889" w:rsidRPr="00786889">
        <w:rPr>
          <w:rFonts w:ascii="Tahoma" w:hAnsi="Tahoma" w:cs="Tahoma"/>
          <w:sz w:val="20"/>
          <w:szCs w:val="20"/>
          <w:u w:val="single"/>
        </w:rPr>
        <w:t>do datové schránky poskytovatele</w:t>
      </w:r>
      <w:r w:rsidR="00786889">
        <w:rPr>
          <w:rFonts w:ascii="Tahoma" w:hAnsi="Tahoma" w:cs="Tahoma"/>
          <w:sz w:val="20"/>
          <w:szCs w:val="20"/>
          <w:u w:val="single"/>
        </w:rPr>
        <w:t xml:space="preserve"> nebo odesláním v sy</w:t>
      </w:r>
      <w:r w:rsidR="00A728EC">
        <w:rPr>
          <w:rFonts w:ascii="Tahoma" w:hAnsi="Tahoma" w:cs="Tahoma"/>
          <w:sz w:val="20"/>
          <w:szCs w:val="20"/>
          <w:u w:val="single"/>
        </w:rPr>
        <w:t>s</w:t>
      </w:r>
      <w:r w:rsidR="00786889">
        <w:rPr>
          <w:rFonts w:ascii="Tahoma" w:hAnsi="Tahoma" w:cs="Tahoma"/>
          <w:sz w:val="20"/>
          <w:szCs w:val="20"/>
          <w:u w:val="single"/>
        </w:rPr>
        <w:t xml:space="preserve">tému </w:t>
      </w:r>
      <w:proofErr w:type="spellStart"/>
      <w:r w:rsidR="00786889">
        <w:rPr>
          <w:rFonts w:ascii="Tahoma" w:hAnsi="Tahoma" w:cs="Tahoma"/>
          <w:sz w:val="20"/>
          <w:szCs w:val="20"/>
          <w:u w:val="single"/>
        </w:rPr>
        <w:t>ePodatelna</w:t>
      </w:r>
      <w:proofErr w:type="spellEnd"/>
      <w:r w:rsidR="00786889">
        <w:rPr>
          <w:rFonts w:ascii="Tahoma" w:hAnsi="Tahoma" w:cs="Tahoma"/>
          <w:sz w:val="20"/>
          <w:szCs w:val="20"/>
          <w:u w:val="single"/>
        </w:rPr>
        <w:t xml:space="preserve"> Moravskoslezského kraje,</w:t>
      </w:r>
      <w:bookmarkEnd w:id="0"/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5354D173" w14:textId="77777777" w:rsidR="00FA4EE2" w:rsidRPr="00E87E7A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průběžné vyúčtování dle písm. g) tohoto odstavce smlouvy, které obsahuje </w:t>
      </w:r>
      <w:r w:rsidR="0086498F" w:rsidRPr="00E87E7A">
        <w:rPr>
          <w:rFonts w:ascii="Tahoma" w:hAnsi="Tahoma" w:cs="Tahoma"/>
          <w:sz w:val="20"/>
          <w:szCs w:val="20"/>
        </w:rPr>
        <w:t>popis postupu prací na projektu a</w:t>
      </w:r>
      <w:r w:rsidRPr="00E87E7A">
        <w:rPr>
          <w:rFonts w:ascii="Tahoma" w:hAnsi="Tahoma" w:cs="Tahoma"/>
          <w:sz w:val="20"/>
          <w:szCs w:val="20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  <w:r w:rsidR="00FA4EE2" w:rsidRPr="00E87E7A">
        <w:rPr>
          <w:rFonts w:ascii="Tahoma" w:hAnsi="Tahoma" w:cs="Tahoma"/>
          <w:sz w:val="20"/>
          <w:szCs w:val="20"/>
        </w:rPr>
        <w:t xml:space="preserve"> </w:t>
      </w:r>
    </w:p>
    <w:p w14:paraId="77F3FCB2" w14:textId="77777777" w:rsidR="0086498F" w:rsidRPr="00E87E7A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</w:t>
      </w:r>
      <w:r w:rsidRPr="004365EA">
        <w:rPr>
          <w:rFonts w:ascii="Tahoma" w:hAnsi="Tahoma" w:cs="Tahoma"/>
          <w:b/>
          <w:bCs/>
          <w:sz w:val="20"/>
          <w:szCs w:val="20"/>
        </w:rPr>
        <w:t>závěrečné vyúčtování</w:t>
      </w:r>
      <w:r w:rsidRPr="00E87E7A">
        <w:rPr>
          <w:rFonts w:ascii="Tahoma" w:hAnsi="Tahoma" w:cs="Tahoma"/>
          <w:sz w:val="20"/>
          <w:szCs w:val="20"/>
        </w:rPr>
        <w:t xml:space="preserve"> celého realizovaného projektu, jež je finančním vypořádáním ve smyslu §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10a odst.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písm.</w:t>
      </w:r>
      <w:r w:rsidR="00FF15AA" w:rsidRPr="00E87E7A">
        <w:rPr>
          <w:rFonts w:ascii="Tahoma" w:hAnsi="Tahoma" w:cs="Tahoma"/>
          <w:sz w:val="20"/>
          <w:szCs w:val="20"/>
        </w:rPr>
        <w:t> d) zákona č. 250/2000 </w:t>
      </w:r>
      <w:r w:rsidRPr="00E87E7A">
        <w:rPr>
          <w:rFonts w:ascii="Tahoma" w:hAnsi="Tahoma" w:cs="Tahoma"/>
          <w:sz w:val="20"/>
          <w:szCs w:val="20"/>
        </w:rPr>
        <w:t xml:space="preserve">Sb., </w:t>
      </w:r>
      <w:r w:rsidR="00FF15AA" w:rsidRPr="00E87E7A">
        <w:rPr>
          <w:rFonts w:ascii="Tahoma" w:hAnsi="Tahoma" w:cs="Tahoma"/>
          <w:b/>
          <w:sz w:val="20"/>
          <w:szCs w:val="20"/>
        </w:rPr>
        <w:t>nejpozději do </w:t>
      </w:r>
      <w:r w:rsidR="004365EA">
        <w:rPr>
          <w:rFonts w:ascii="Tahoma" w:hAnsi="Tahoma" w:cs="Tahoma"/>
          <w:b/>
          <w:sz w:val="20"/>
          <w:szCs w:val="20"/>
        </w:rPr>
        <w:t>31. 7. 2024.</w:t>
      </w:r>
      <w:r w:rsidRPr="00E87E7A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</w:t>
      </w:r>
      <w:r w:rsidR="00652437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652437">
        <w:rPr>
          <w:rFonts w:ascii="Tahoma" w:hAnsi="Tahoma" w:cs="Tahoma"/>
          <w:sz w:val="20"/>
          <w:szCs w:val="20"/>
        </w:rPr>
        <w:t xml:space="preserve"> </w:t>
      </w:r>
      <w:r w:rsidR="00652437" w:rsidRPr="00652437">
        <w:rPr>
          <w:rFonts w:ascii="Tahoma" w:hAnsi="Tahoma" w:cs="Tahoma"/>
          <w:sz w:val="20"/>
          <w:szCs w:val="20"/>
        </w:rPr>
        <w:t xml:space="preserve">dodáním </w:t>
      </w:r>
      <w:r w:rsidR="00652437" w:rsidRPr="00652437">
        <w:rPr>
          <w:rFonts w:ascii="Tahoma" w:hAnsi="Tahoma" w:cs="Tahoma"/>
          <w:sz w:val="20"/>
          <w:szCs w:val="20"/>
          <w:u w:val="single"/>
        </w:rPr>
        <w:t>do datové schránky poskytovatele nebo odesláním v systému ePodatelna Moravskoslezského kraje,</w:t>
      </w:r>
      <w:r w:rsidR="00FF15AA" w:rsidRPr="00E87E7A">
        <w:rPr>
          <w:rFonts w:ascii="Tahoma" w:hAnsi="Tahoma" w:cs="Tahoma"/>
          <w:sz w:val="20"/>
          <w:szCs w:val="20"/>
        </w:rPr>
        <w:t xml:space="preserve"> </w:t>
      </w:r>
    </w:p>
    <w:p w14:paraId="66322349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E87E7A">
        <w:rPr>
          <w:rFonts w:ascii="Tahoma" w:hAnsi="Tahoma" w:cs="Tahoma"/>
          <w:sz w:val="20"/>
          <w:szCs w:val="20"/>
        </w:rPr>
        <w:t xml:space="preserve"> dle písm.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6546FE" w:rsidRPr="004365EA">
        <w:rPr>
          <w:rFonts w:ascii="Tahoma" w:hAnsi="Tahoma" w:cs="Tahoma"/>
          <w:sz w:val="20"/>
          <w:szCs w:val="20"/>
        </w:rPr>
        <w:t>i)</w:t>
      </w:r>
      <w:r w:rsidR="004365EA">
        <w:rPr>
          <w:rFonts w:ascii="Tahoma" w:hAnsi="Tahoma" w:cs="Tahoma"/>
          <w:sz w:val="20"/>
          <w:szCs w:val="20"/>
        </w:rPr>
        <w:t xml:space="preserve"> </w:t>
      </w:r>
      <w:r w:rsidR="0086498F" w:rsidRPr="00E87E7A">
        <w:rPr>
          <w:rFonts w:ascii="Tahoma" w:hAnsi="Tahoma" w:cs="Tahoma"/>
          <w:sz w:val="20"/>
          <w:szCs w:val="20"/>
        </w:rPr>
        <w:t>tohoto odstavce smlouvy na předepsaných formulářích,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2C8093A4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E87E7A">
        <w:rPr>
          <w:rFonts w:ascii="Tahoma" w:hAnsi="Tahoma" w:cs="Tahoma"/>
          <w:sz w:val="20"/>
          <w:szCs w:val="20"/>
        </w:rPr>
        <w:t>ní,</w:t>
      </w:r>
    </w:p>
    <w:p w14:paraId="5BACD889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10FBF76F" w14:textId="77777777" w:rsidR="00897C18" w:rsidRPr="00E87E7A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2D5013E0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741734D7" w14:textId="77777777" w:rsidR="00142EAF" w:rsidRPr="00E87E7A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39530C59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420D9011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1D5CBEEF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0A1599B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4365EA" w:rsidRPr="004365EA">
        <w:rPr>
          <w:rFonts w:ascii="Tahoma" w:hAnsi="Tahoma" w:cs="Tahoma"/>
          <w:b/>
          <w:bCs/>
          <w:sz w:val="20"/>
          <w:szCs w:val="20"/>
        </w:rPr>
        <w:t>23202</w:t>
      </w:r>
      <w:r w:rsidR="00DC468D" w:rsidRPr="00516D4E">
        <w:rPr>
          <w:rFonts w:ascii="Tahoma" w:hAnsi="Tahoma" w:cs="Tahoma"/>
          <w:b/>
          <w:bCs/>
          <w:sz w:val="20"/>
        </w:rPr>
        <w:t>09780</w:t>
      </w:r>
      <w:r w:rsidR="00DC468D">
        <w:rPr>
          <w:rFonts w:ascii="Tahoma" w:hAnsi="Tahoma" w:cs="Tahoma"/>
          <w:b/>
          <w:bCs/>
          <w:sz w:val="20"/>
        </w:rPr>
        <w:t>,</w:t>
      </w:r>
    </w:p>
    <w:p w14:paraId="79B7A300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14F531CF" w14:textId="77777777" w:rsidR="00FA4EE2" w:rsidRPr="004365EA" w:rsidRDefault="00FA4EE2" w:rsidP="004365E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4365EA">
        <w:rPr>
          <w:rFonts w:ascii="Tahoma" w:hAnsi="Tahoma" w:cs="Tahoma"/>
          <w:sz w:val="20"/>
          <w:szCs w:val="20"/>
        </w:rPr>
        <w:t xml:space="preserve">po dobu </w:t>
      </w:r>
      <w:r w:rsidR="004365EA">
        <w:rPr>
          <w:rFonts w:ascii="Tahoma" w:hAnsi="Tahoma" w:cs="Tahoma"/>
          <w:sz w:val="20"/>
          <w:szCs w:val="20"/>
        </w:rPr>
        <w:t>5 let</w:t>
      </w:r>
      <w:r w:rsidR="001824DC" w:rsidRPr="004365EA">
        <w:rPr>
          <w:rFonts w:ascii="Tahoma" w:hAnsi="Tahoma" w:cs="Tahoma"/>
          <w:sz w:val="20"/>
          <w:szCs w:val="20"/>
        </w:rPr>
        <w:t xml:space="preserve"> </w:t>
      </w:r>
      <w:r w:rsidRPr="004365EA">
        <w:rPr>
          <w:rFonts w:ascii="Tahoma" w:hAnsi="Tahoma" w:cs="Tahoma"/>
          <w:sz w:val="20"/>
          <w:szCs w:val="20"/>
        </w:rPr>
        <w:t>od ukončení realizace projektu nezcizit majetek pořízený nebo technicky zhodnocený z prostředků získaných z dotace poskytnuté na základě této smlouvy,</w:t>
      </w:r>
    </w:p>
    <w:p w14:paraId="1D84A0F4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041F6073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neprodleně, nejpozději však do 7 kalendářních dnů, informovat poskytovatele o vlastní přeměně nebo zrušení s likvidací, v případě přeměny i o tom, na který subjekt 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42C3CAE8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6C4C09C9" w14:textId="77777777" w:rsidR="004365EA" w:rsidRPr="00E87E7A" w:rsidRDefault="00FA4EE2" w:rsidP="004365EA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Porušení </w:t>
      </w:r>
      <w:r w:rsidR="004365EA" w:rsidRPr="00E87E7A">
        <w:rPr>
          <w:rFonts w:ascii="Tahoma" w:hAnsi="Tahoma" w:cs="Tahoma"/>
          <w:b w:val="0"/>
          <w:bCs w:val="0"/>
          <w:sz w:val="20"/>
          <w:szCs w:val="20"/>
        </w:rPr>
        <w:t xml:space="preserve">podmínek uvedených v odst. 3 písm. </w:t>
      </w:r>
      <w:r w:rsidR="004365EA" w:rsidRPr="00227786">
        <w:rPr>
          <w:rFonts w:ascii="Tahoma" w:hAnsi="Tahoma" w:cs="Tahoma"/>
          <w:b w:val="0"/>
          <w:bCs w:val="0"/>
          <w:sz w:val="20"/>
          <w:szCs w:val="20"/>
        </w:rPr>
        <w:t xml:space="preserve">g), h), i), j), m), </w:t>
      </w:r>
      <w:r w:rsidR="004365EA">
        <w:rPr>
          <w:rFonts w:ascii="Tahoma" w:hAnsi="Tahoma" w:cs="Tahoma"/>
          <w:b w:val="0"/>
          <w:bCs w:val="0"/>
          <w:sz w:val="20"/>
          <w:szCs w:val="20"/>
        </w:rPr>
        <w:t>p), q</w:t>
      </w:r>
      <w:r w:rsidR="004365EA" w:rsidRPr="00227786">
        <w:rPr>
          <w:rFonts w:ascii="Tahoma" w:hAnsi="Tahoma" w:cs="Tahoma"/>
          <w:b w:val="0"/>
          <w:bCs w:val="0"/>
          <w:sz w:val="20"/>
          <w:szCs w:val="20"/>
        </w:rPr>
        <w:t xml:space="preserve">) a </w:t>
      </w:r>
      <w:r w:rsidR="004365EA">
        <w:rPr>
          <w:rFonts w:ascii="Tahoma" w:hAnsi="Tahoma" w:cs="Tahoma"/>
          <w:b w:val="0"/>
          <w:bCs w:val="0"/>
          <w:sz w:val="20"/>
          <w:szCs w:val="20"/>
        </w:rPr>
        <w:t>r</w:t>
      </w:r>
      <w:r w:rsidR="004365EA" w:rsidRPr="00227786">
        <w:rPr>
          <w:rFonts w:ascii="Tahoma" w:hAnsi="Tahoma" w:cs="Tahoma"/>
          <w:b w:val="0"/>
          <w:bCs w:val="0"/>
          <w:sz w:val="20"/>
          <w:szCs w:val="20"/>
        </w:rPr>
        <w:t xml:space="preserve">) </w:t>
      </w:r>
      <w:r w:rsidR="004365EA" w:rsidRPr="00E87E7A">
        <w:rPr>
          <w:rFonts w:ascii="Tahoma" w:hAnsi="Tahoma" w:cs="Tahoma"/>
          <w:b w:val="0"/>
          <w:bCs w:val="0"/>
          <w:sz w:val="20"/>
          <w:szCs w:val="20"/>
        </w:rPr>
        <w:t xml:space="preserve">je považováno za porušení méně závažné ve smyslu </w:t>
      </w:r>
      <w:proofErr w:type="spellStart"/>
      <w:r w:rsidR="004365EA" w:rsidRPr="00E87E7A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4365EA" w:rsidRPr="00E87E7A">
        <w:rPr>
          <w:rFonts w:ascii="Tahoma" w:hAnsi="Tahoma" w:cs="Tahoma"/>
          <w:b w:val="0"/>
          <w:bCs w:val="0"/>
          <w:sz w:val="20"/>
          <w:szCs w:val="20"/>
        </w:rPr>
        <w:t xml:space="preserve">. § 10a odst. 6 zákona č. 250/2000 Sb. Odvod za tato porušení rozpočtové kázně se stanoví následujícím </w:t>
      </w:r>
      <w:r w:rsidR="004365EA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4365EA" w:rsidRPr="00E87E7A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3C204640" w14:textId="77777777" w:rsidR="004365EA" w:rsidRPr="00E87E7A" w:rsidRDefault="004365EA" w:rsidP="004365EA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Předložení vyúčtování podle odst. 3 písm</w:t>
      </w:r>
      <w:r w:rsidRPr="00227786">
        <w:rPr>
          <w:rFonts w:ascii="Tahoma" w:hAnsi="Tahoma" w:cs="Tahoma"/>
          <w:bCs/>
          <w:sz w:val="20"/>
          <w:szCs w:val="20"/>
        </w:rPr>
        <w:t xml:space="preserve">. </w:t>
      </w:r>
      <w:r w:rsidRPr="00227786">
        <w:rPr>
          <w:rFonts w:ascii="Tahoma" w:hAnsi="Tahoma" w:cs="Tahoma"/>
          <w:sz w:val="20"/>
          <w:szCs w:val="20"/>
        </w:rPr>
        <w:t>g)</w:t>
      </w:r>
      <w:r w:rsidRPr="00227786">
        <w:rPr>
          <w:rFonts w:ascii="Tahoma" w:hAnsi="Tahoma" w:cs="Tahoma"/>
          <w:bCs/>
          <w:sz w:val="20"/>
          <w:szCs w:val="20"/>
        </w:rPr>
        <w:t xml:space="preserve"> a </w:t>
      </w:r>
      <w:r w:rsidRPr="00227786">
        <w:rPr>
          <w:rFonts w:ascii="Tahoma" w:hAnsi="Tahoma" w:cs="Tahoma"/>
          <w:sz w:val="20"/>
          <w:szCs w:val="20"/>
        </w:rPr>
        <w:t>i)</w:t>
      </w:r>
      <w:r w:rsidRPr="00227786">
        <w:rPr>
          <w:rFonts w:ascii="Tahoma" w:hAnsi="Tahoma" w:cs="Tahoma"/>
          <w:bCs/>
          <w:sz w:val="20"/>
          <w:szCs w:val="20"/>
        </w:rPr>
        <w:t xml:space="preserve"> po</w:t>
      </w:r>
      <w:r w:rsidRPr="00E87E7A">
        <w:rPr>
          <w:rFonts w:ascii="Tahoma" w:hAnsi="Tahoma" w:cs="Tahoma"/>
          <w:bCs/>
          <w:sz w:val="20"/>
          <w:szCs w:val="20"/>
        </w:rPr>
        <w:t xml:space="preserve"> stanovené lhůtě:</w:t>
      </w:r>
    </w:p>
    <w:p w14:paraId="3D33E42F" w14:textId="77777777" w:rsidR="004365EA" w:rsidRPr="00150616" w:rsidRDefault="004365EA" w:rsidP="004365EA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  <w:t xml:space="preserve">           </w:t>
      </w:r>
      <w:r w:rsidRPr="00150616">
        <w:rPr>
          <w:rFonts w:ascii="Tahoma" w:hAnsi="Tahoma" w:cs="Tahoma"/>
          <w:bCs/>
          <w:sz w:val="20"/>
        </w:rPr>
        <w:t>do 7 kalendářních dnů</w:t>
      </w:r>
      <w:r w:rsidRPr="00150616">
        <w:rPr>
          <w:rFonts w:ascii="Tahoma" w:hAnsi="Tahoma" w:cs="Tahoma"/>
          <w:bCs/>
          <w:sz w:val="20"/>
        </w:rPr>
        <w:tab/>
        <w:t xml:space="preserve"> 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1.500 Kč,</w:t>
      </w:r>
    </w:p>
    <w:p w14:paraId="0AC5BE3D" w14:textId="77777777" w:rsidR="004365EA" w:rsidRPr="00150616" w:rsidRDefault="004365EA" w:rsidP="004365EA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  <w:t xml:space="preserve">           </w:t>
      </w:r>
      <w:r w:rsidRPr="00150616">
        <w:rPr>
          <w:rFonts w:ascii="Tahoma" w:hAnsi="Tahoma" w:cs="Tahoma"/>
          <w:bCs/>
          <w:sz w:val="20"/>
        </w:rPr>
        <w:t>od 8 do 15 kalendářních dnů</w:t>
      </w:r>
      <w:r w:rsidRPr="00150616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3.000 Kč,</w:t>
      </w:r>
    </w:p>
    <w:p w14:paraId="5F1FD17F" w14:textId="77777777" w:rsidR="004365EA" w:rsidRPr="00B83597" w:rsidRDefault="004365EA" w:rsidP="004365EA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  <w:t xml:space="preserve">           </w:t>
      </w:r>
      <w:r w:rsidRPr="00150616">
        <w:rPr>
          <w:rFonts w:ascii="Tahoma" w:hAnsi="Tahoma" w:cs="Tahoma"/>
          <w:bCs/>
          <w:sz w:val="20"/>
        </w:rPr>
        <w:t>od 16 do 30 kalendářních dnů</w:t>
      </w:r>
      <w:r w:rsidRPr="00150616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5.000 Kč,</w:t>
      </w:r>
    </w:p>
    <w:p w14:paraId="62B4DCD6" w14:textId="77777777" w:rsidR="004365EA" w:rsidRPr="00B83597" w:rsidRDefault="004365EA" w:rsidP="004365E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Porušení podmínky stanovené v odst. 3 </w:t>
      </w:r>
      <w:r w:rsidRPr="00B83597">
        <w:rPr>
          <w:rFonts w:ascii="Tahoma" w:hAnsi="Tahoma" w:cs="Tahoma"/>
          <w:bCs/>
          <w:sz w:val="20"/>
          <w:szCs w:val="20"/>
        </w:rPr>
        <w:t>písm. </w:t>
      </w:r>
      <w:r w:rsidRPr="00B83597">
        <w:rPr>
          <w:rFonts w:ascii="Tahoma" w:hAnsi="Tahoma" w:cs="Tahoma"/>
          <w:sz w:val="20"/>
          <w:szCs w:val="20"/>
        </w:rPr>
        <w:t>h)</w:t>
      </w:r>
      <w:r w:rsidRPr="00B83597">
        <w:rPr>
          <w:rFonts w:ascii="Tahoma" w:hAnsi="Tahoma" w:cs="Tahoma"/>
          <w:bCs/>
          <w:sz w:val="20"/>
          <w:szCs w:val="20"/>
        </w:rPr>
        <w:t xml:space="preserve"> spočívající ve formálních nedostatcích průběžného vyúčtování</w:t>
      </w:r>
      <w:r w:rsidRPr="00B83597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4F88E691" w14:textId="77777777" w:rsidR="004365EA" w:rsidRPr="00E87E7A" w:rsidRDefault="004365EA" w:rsidP="004365E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83597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 w:rsidRPr="00B83597">
        <w:rPr>
          <w:rFonts w:ascii="Tahoma" w:hAnsi="Tahoma" w:cs="Tahoma"/>
          <w:sz w:val="20"/>
          <w:szCs w:val="20"/>
        </w:rPr>
        <w:t>j)</w:t>
      </w:r>
      <w:r w:rsidRPr="00B83597">
        <w:rPr>
          <w:rFonts w:ascii="Tahoma" w:hAnsi="Tahoma" w:cs="Tahoma"/>
          <w:bCs/>
          <w:sz w:val="20"/>
          <w:szCs w:val="20"/>
        </w:rPr>
        <w:t xml:space="preserve"> spočívající </w:t>
      </w:r>
      <w:r w:rsidRPr="00E87E7A">
        <w:rPr>
          <w:rFonts w:ascii="Tahoma" w:hAnsi="Tahoma" w:cs="Tahoma"/>
          <w:bCs/>
          <w:sz w:val="20"/>
          <w:szCs w:val="20"/>
        </w:rPr>
        <w:t>ve formálních nedostatcích závěrečného vyúčtování</w:t>
      </w:r>
      <w:r w:rsidRPr="00E87E7A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520226EF" w14:textId="77777777" w:rsidR="004365EA" w:rsidRPr="00B83597" w:rsidRDefault="004365EA" w:rsidP="004365EA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Porušení podmínky stanovené v odst. 3 </w:t>
      </w:r>
      <w:r w:rsidRPr="00B83597">
        <w:rPr>
          <w:rFonts w:ascii="Tahoma" w:hAnsi="Tahoma" w:cs="Tahoma"/>
          <w:bCs/>
          <w:sz w:val="20"/>
          <w:szCs w:val="20"/>
        </w:rPr>
        <w:t>písm. </w:t>
      </w:r>
      <w:r w:rsidRPr="00B83597">
        <w:rPr>
          <w:rFonts w:ascii="Tahoma" w:hAnsi="Tahoma" w:cs="Tahoma"/>
          <w:sz w:val="20"/>
          <w:szCs w:val="20"/>
        </w:rPr>
        <w:t>m)</w:t>
      </w:r>
      <w:r w:rsidRPr="00B83597">
        <w:rPr>
          <w:rFonts w:ascii="Tahoma" w:hAnsi="Tahoma" w:cs="Tahoma"/>
          <w:bCs/>
          <w:sz w:val="20"/>
          <w:szCs w:val="20"/>
        </w:rPr>
        <w:tab/>
        <w:t>5 % poskytnuté dotace,</w:t>
      </w:r>
    </w:p>
    <w:p w14:paraId="379C8BFF" w14:textId="77777777" w:rsidR="004365EA" w:rsidRPr="00B83597" w:rsidRDefault="004365EA" w:rsidP="004365EA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83597">
        <w:rPr>
          <w:rFonts w:ascii="Tahoma" w:hAnsi="Tahoma" w:cs="Tahoma"/>
          <w:bCs/>
          <w:sz w:val="20"/>
          <w:szCs w:val="20"/>
        </w:rPr>
        <w:t>Porušení podmínky stanovené v odst. 3 písm. </w:t>
      </w:r>
      <w:r>
        <w:rPr>
          <w:rFonts w:ascii="Tahoma" w:hAnsi="Tahoma" w:cs="Tahoma"/>
          <w:sz w:val="20"/>
          <w:szCs w:val="20"/>
        </w:rPr>
        <w:t>p</w:t>
      </w:r>
      <w:r w:rsidRPr="00B83597">
        <w:rPr>
          <w:rFonts w:ascii="Tahoma" w:hAnsi="Tahoma" w:cs="Tahoma"/>
          <w:sz w:val="20"/>
          <w:szCs w:val="20"/>
        </w:rPr>
        <w:t>)</w:t>
      </w:r>
      <w:r w:rsidRPr="00B83597">
        <w:rPr>
          <w:rFonts w:ascii="Tahoma" w:hAnsi="Tahoma" w:cs="Tahoma"/>
          <w:bCs/>
          <w:sz w:val="20"/>
          <w:szCs w:val="20"/>
        </w:rPr>
        <w:tab/>
        <w:t>2 % poskytnuté dotace,</w:t>
      </w:r>
    </w:p>
    <w:p w14:paraId="0BB38211" w14:textId="77777777" w:rsidR="004365EA" w:rsidRPr="00E87E7A" w:rsidRDefault="004365EA" w:rsidP="004365E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83597">
        <w:rPr>
          <w:rFonts w:ascii="Tahoma" w:hAnsi="Tahoma" w:cs="Tahoma"/>
          <w:bCs/>
          <w:sz w:val="20"/>
          <w:szCs w:val="20"/>
        </w:rPr>
        <w:t>Porušení podmínky stanovené v odst. 3 písm. </w:t>
      </w:r>
      <w:r>
        <w:rPr>
          <w:rFonts w:ascii="Tahoma" w:hAnsi="Tahoma" w:cs="Tahoma"/>
          <w:sz w:val="20"/>
          <w:szCs w:val="20"/>
        </w:rPr>
        <w:t>q</w:t>
      </w:r>
      <w:r w:rsidRPr="00B83597">
        <w:rPr>
          <w:rFonts w:ascii="Tahoma" w:hAnsi="Tahoma" w:cs="Tahoma"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00918425" w14:textId="77777777" w:rsidR="00430783" w:rsidRDefault="004365EA" w:rsidP="004365E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každé podmínky, na niž se odkazuje v odst. 3 písm</w:t>
      </w:r>
      <w:r w:rsidRPr="00B83597">
        <w:rPr>
          <w:rFonts w:ascii="Tahoma" w:hAnsi="Tahoma" w:cs="Tahoma"/>
          <w:bCs/>
          <w:sz w:val="20"/>
          <w:szCs w:val="20"/>
        </w:rPr>
        <w:t>. </w:t>
      </w:r>
      <w:r>
        <w:rPr>
          <w:rFonts w:ascii="Tahoma" w:hAnsi="Tahoma" w:cs="Tahoma"/>
          <w:sz w:val="20"/>
          <w:szCs w:val="20"/>
        </w:rPr>
        <w:t>r</w:t>
      </w:r>
      <w:r w:rsidRPr="00B83597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bCs/>
          <w:sz w:val="20"/>
          <w:szCs w:val="20"/>
        </w:rPr>
        <w:tab/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5 % poskytnuté dotace.</w:t>
      </w:r>
    </w:p>
    <w:p w14:paraId="69873B3B" w14:textId="77777777" w:rsidR="00F8636F" w:rsidRPr="003B7607" w:rsidRDefault="00F8636F" w:rsidP="00F8636F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205114">
        <w:rPr>
          <w:rFonts w:ascii="Tahoma" w:hAnsi="Tahoma" w:cs="Tahoma"/>
          <w:b w:val="0"/>
          <w:bCs w:val="0"/>
          <w:iCs/>
          <w:sz w:val="20"/>
          <w:szCs w:val="20"/>
        </w:rPr>
        <w:t xml:space="preserve">Příjemce prohlašuje, že je k výkonu sociální služby </w:t>
      </w:r>
      <w:r>
        <w:rPr>
          <w:rFonts w:ascii="Tahoma" w:hAnsi="Tahoma" w:cs="Tahoma"/>
          <w:b w:val="0"/>
          <w:bCs w:val="0"/>
          <w:iCs/>
          <w:sz w:val="20"/>
          <w:szCs w:val="20"/>
        </w:rPr>
        <w:t xml:space="preserve">(identifikátor služby </w:t>
      </w:r>
      <w:r w:rsidRPr="00745726">
        <w:rPr>
          <w:rFonts w:ascii="Tahoma" w:hAnsi="Tahoma" w:cs="Tahoma"/>
          <w:b w:val="0"/>
          <w:bCs w:val="0"/>
          <w:iCs/>
          <w:sz w:val="20"/>
          <w:szCs w:val="20"/>
        </w:rPr>
        <w:t>9861220</w:t>
      </w:r>
      <w:r>
        <w:rPr>
          <w:rFonts w:ascii="Tahoma" w:hAnsi="Tahoma" w:cs="Tahoma"/>
          <w:b w:val="0"/>
          <w:bCs w:val="0"/>
          <w:iCs/>
          <w:sz w:val="20"/>
          <w:szCs w:val="20"/>
        </w:rPr>
        <w:t xml:space="preserve">) </w:t>
      </w:r>
      <w:r w:rsidRPr="00205114">
        <w:rPr>
          <w:rFonts w:ascii="Tahoma" w:hAnsi="Tahoma" w:cs="Tahoma"/>
          <w:b w:val="0"/>
          <w:bCs w:val="0"/>
          <w:iCs/>
          <w:sz w:val="20"/>
          <w:szCs w:val="20"/>
        </w:rPr>
        <w:t>podpořené v rámci projektu pověřen na </w:t>
      </w:r>
      <w:r w:rsidRPr="00745726">
        <w:rPr>
          <w:rFonts w:ascii="Tahoma" w:hAnsi="Tahoma" w:cs="Tahoma"/>
          <w:b w:val="0"/>
          <w:bCs w:val="0"/>
          <w:iCs/>
          <w:sz w:val="20"/>
          <w:szCs w:val="20"/>
        </w:rPr>
        <w:t>základě Smlouvy o závazku veřejné služby a vyrovnávací platbě za jeho výkon, ev. č. 06891/2020/SOC uzavřené s Moravskoslezským krajem dne 22.</w:t>
      </w:r>
      <w:r>
        <w:rPr>
          <w:rFonts w:ascii="Tahoma" w:hAnsi="Tahoma" w:cs="Tahoma"/>
          <w:b w:val="0"/>
          <w:bCs w:val="0"/>
          <w:iCs/>
          <w:sz w:val="20"/>
          <w:szCs w:val="20"/>
        </w:rPr>
        <w:t xml:space="preserve"> </w:t>
      </w:r>
      <w:r w:rsidRPr="00745726">
        <w:rPr>
          <w:rFonts w:ascii="Tahoma" w:hAnsi="Tahoma" w:cs="Tahoma"/>
          <w:b w:val="0"/>
          <w:bCs w:val="0"/>
          <w:iCs/>
          <w:sz w:val="20"/>
          <w:szCs w:val="20"/>
        </w:rPr>
        <w:t>10.</w:t>
      </w:r>
      <w:r>
        <w:rPr>
          <w:rFonts w:ascii="Tahoma" w:hAnsi="Tahoma" w:cs="Tahoma"/>
          <w:b w:val="0"/>
          <w:bCs w:val="0"/>
          <w:iCs/>
          <w:sz w:val="20"/>
          <w:szCs w:val="20"/>
        </w:rPr>
        <w:t xml:space="preserve"> </w:t>
      </w:r>
      <w:r w:rsidRPr="00745726">
        <w:rPr>
          <w:rFonts w:ascii="Tahoma" w:hAnsi="Tahoma" w:cs="Tahoma"/>
          <w:b w:val="0"/>
          <w:bCs w:val="0"/>
          <w:iCs/>
          <w:sz w:val="20"/>
          <w:szCs w:val="20"/>
        </w:rPr>
        <w:t>2020, dle Rozhodnutí Komise č. 2012/21/EU ze dne 20. prosince 2011 o použití čl. 106 odst. 2 Smlouvy o fungování Evropské unie na státní podporu</w:t>
      </w:r>
      <w:r w:rsidRPr="00205114">
        <w:rPr>
          <w:rFonts w:ascii="Tahoma" w:hAnsi="Tahoma" w:cs="Tahoma"/>
          <w:b w:val="0"/>
          <w:bCs w:val="0"/>
          <w:iCs/>
          <w:sz w:val="20"/>
          <w:szCs w:val="20"/>
        </w:rPr>
        <w:t xml:space="preserve"> ve formě vyrovnávací platby za závazek veřejné služby udělené určitým podnikům pověřeným poskytováním služeb obecného hospodářského zájmu. Finanční prostředky na sociální službu budou poskytnuty v souladu s pověřením dle uvedeného rozhodnutí Komise. </w:t>
      </w:r>
    </w:p>
    <w:p w14:paraId="03F844B1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66FFBB6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711864E8" w14:textId="6B925BA3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vznikl a byl příjemcem uhrazen v období realizace projektu, tj. v období </w:t>
      </w:r>
      <w:r w:rsidRPr="005C7751">
        <w:rPr>
          <w:rFonts w:ascii="Tahoma" w:hAnsi="Tahoma" w:cs="Tahoma"/>
          <w:b/>
          <w:bCs/>
          <w:sz w:val="20"/>
          <w:szCs w:val="20"/>
        </w:rPr>
        <w:t>od</w:t>
      </w:r>
      <w:r w:rsidR="00430783" w:rsidRPr="005C7751">
        <w:rPr>
          <w:rFonts w:ascii="Tahoma" w:hAnsi="Tahoma" w:cs="Tahoma"/>
          <w:b/>
          <w:bCs/>
          <w:sz w:val="20"/>
          <w:szCs w:val="20"/>
        </w:rPr>
        <w:t> </w:t>
      </w:r>
      <w:r w:rsidR="005C7751" w:rsidRPr="005C7751">
        <w:rPr>
          <w:rFonts w:ascii="Tahoma" w:hAnsi="Tahoma" w:cs="Tahoma"/>
          <w:b/>
          <w:bCs/>
          <w:sz w:val="20"/>
          <w:szCs w:val="20"/>
        </w:rPr>
        <w:t>1. 8. 2023</w:t>
      </w:r>
      <w:r w:rsidRPr="005C7751">
        <w:rPr>
          <w:rFonts w:ascii="Tahoma" w:hAnsi="Tahoma" w:cs="Tahoma"/>
          <w:b/>
          <w:bCs/>
          <w:sz w:val="20"/>
          <w:szCs w:val="20"/>
        </w:rPr>
        <w:t xml:space="preserve"> do</w:t>
      </w:r>
      <w:r w:rsidR="00430783" w:rsidRPr="005C7751">
        <w:rPr>
          <w:rFonts w:ascii="Tahoma" w:hAnsi="Tahoma" w:cs="Tahoma"/>
          <w:b/>
          <w:bCs/>
          <w:sz w:val="20"/>
          <w:szCs w:val="20"/>
        </w:rPr>
        <w:t> </w:t>
      </w:r>
      <w:r w:rsidR="005C7751" w:rsidRPr="005C7751">
        <w:rPr>
          <w:rFonts w:ascii="Tahoma" w:hAnsi="Tahoma" w:cs="Tahoma"/>
          <w:b/>
          <w:bCs/>
          <w:sz w:val="20"/>
          <w:szCs w:val="20"/>
        </w:rPr>
        <w:t>30.</w:t>
      </w:r>
      <w:r w:rsidR="00250A70">
        <w:rPr>
          <w:rFonts w:ascii="Tahoma" w:hAnsi="Tahoma" w:cs="Tahoma"/>
          <w:b/>
          <w:bCs/>
          <w:sz w:val="20"/>
          <w:szCs w:val="20"/>
        </w:rPr>
        <w:t> </w:t>
      </w:r>
      <w:r w:rsidR="005C7751" w:rsidRPr="005C7751">
        <w:rPr>
          <w:rFonts w:ascii="Tahoma" w:hAnsi="Tahoma" w:cs="Tahoma"/>
          <w:b/>
          <w:bCs/>
          <w:sz w:val="20"/>
          <w:szCs w:val="20"/>
        </w:rPr>
        <w:t>6. 2024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4FE418C8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7C979E46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</w:t>
      </w:r>
      <w:r w:rsidR="005C7751">
        <w:rPr>
          <w:rFonts w:ascii="Tahoma" w:hAnsi="Tahoma" w:cs="Tahoma"/>
          <w:sz w:val="20"/>
          <w:szCs w:val="20"/>
        </w:rPr>
        <w:t>.</w:t>
      </w:r>
    </w:p>
    <w:p w14:paraId="5F9FD9AA" w14:textId="77777777" w:rsidR="00FA03E9" w:rsidRPr="00E87E7A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tohoto článku smlouvy jsou uznat</w:t>
      </w:r>
      <w:r w:rsidR="00430783" w:rsidRPr="00E87E7A">
        <w:rPr>
          <w:rFonts w:ascii="Tahoma" w:hAnsi="Tahoma" w:cs="Tahoma"/>
          <w:sz w:val="20"/>
          <w:szCs w:val="20"/>
        </w:rPr>
        <w:t>elnými náklady pouze náklady na </w:t>
      </w:r>
      <w:r w:rsidR="00AF3B4B">
        <w:rPr>
          <w:rFonts w:ascii="Tahoma" w:hAnsi="Tahoma" w:cs="Tahoma"/>
          <w:sz w:val="20"/>
          <w:szCs w:val="20"/>
        </w:rPr>
        <w:t>pořízení automobilu.</w:t>
      </w:r>
    </w:p>
    <w:p w14:paraId="126E40E0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ABB9D5B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7A906693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10BC104A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r w:rsidR="00AF3B4B" w:rsidRPr="004E4DAB">
        <w:rPr>
          <w:rFonts w:ascii="Tahoma" w:hAnsi="Tahoma" w:cs="Tahoma"/>
          <w:sz w:val="20"/>
          <w:szCs w:val="20"/>
        </w:rPr>
        <w:t>název, IČO, sídlo</w:t>
      </w:r>
      <w:r w:rsidR="00AF3B4B" w:rsidRPr="00150616">
        <w:rPr>
          <w:rFonts w:ascii="Tahoma" w:hAnsi="Tahoma" w:cs="Tahoma"/>
          <w:sz w:val="20"/>
          <w:szCs w:val="20"/>
        </w:rPr>
        <w:t>, účel poskytnuté dotace</w:t>
      </w:r>
      <w:r w:rsidRPr="00150616">
        <w:rPr>
          <w:rFonts w:ascii="Tahoma" w:hAnsi="Tahoma" w:cs="Tahoma"/>
          <w:sz w:val="20"/>
          <w:szCs w:val="20"/>
        </w:rPr>
        <w:t xml:space="preserve">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19C9962A" w14:textId="77777777" w:rsidR="002663A5" w:rsidRPr="00150616" w:rsidRDefault="001D44E7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150616">
        <w:rPr>
          <w:rFonts w:ascii="Tahoma" w:hAnsi="Tahoma" w:cs="Tahoma"/>
          <w:sz w:val="20"/>
          <w:szCs w:val="20"/>
        </w:rPr>
        <w:t>.</w:t>
      </w:r>
    </w:p>
    <w:p w14:paraId="65929456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lastRenderedPageBreak/>
        <w:t>Příjemce se zavazuje k tomu, že v průběhu realizace projektu bude prokazatelným a vhodným způsobem prezentovat Moravskoslezský kraj, a to v tomto rozsahu:</w:t>
      </w:r>
    </w:p>
    <w:p w14:paraId="4351813B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28D7940B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71573B24" w14:textId="77777777" w:rsidR="002663A5" w:rsidRPr="00150616" w:rsidRDefault="002663A5" w:rsidP="002663A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3A84C96B" w14:textId="77777777" w:rsidR="002101E9" w:rsidRPr="004C5D3B" w:rsidRDefault="002101E9" w:rsidP="002101E9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color w:val="000000"/>
          <w:sz w:val="20"/>
          <w:szCs w:val="20"/>
          <w:lang w:eastAsia="en-US"/>
        </w:rPr>
      </w:pPr>
      <w:r w:rsidRPr="004C5D3B">
        <w:rPr>
          <w:rFonts w:ascii="Tahoma" w:hAnsi="Tahoma" w:cs="Tahoma"/>
          <w:iCs/>
          <w:color w:val="000000"/>
          <w:sz w:val="20"/>
          <w:szCs w:val="20"/>
          <w:lang w:eastAsia="en-US"/>
        </w:rPr>
        <w:t xml:space="preserve">umístit </w:t>
      </w:r>
      <w:r>
        <w:rPr>
          <w:rFonts w:ascii="Tahoma" w:hAnsi="Tahoma" w:cs="Tahoma"/>
          <w:iCs/>
          <w:color w:val="000000"/>
          <w:sz w:val="20"/>
          <w:szCs w:val="20"/>
          <w:lang w:eastAsia="en-US"/>
        </w:rPr>
        <w:t xml:space="preserve">po dobu 5 let od ukončení realizace projektu </w:t>
      </w:r>
      <w:r w:rsidRPr="004C5D3B">
        <w:rPr>
          <w:rFonts w:ascii="Tahoma" w:hAnsi="Tahoma" w:cs="Tahoma"/>
          <w:iCs/>
          <w:color w:val="000000"/>
          <w:sz w:val="20"/>
          <w:szCs w:val="20"/>
          <w:lang w:eastAsia="en-US"/>
        </w:rPr>
        <w:t xml:space="preserve">logo Moravskoslezského kraje </w:t>
      </w:r>
      <w:r>
        <w:rPr>
          <w:rFonts w:ascii="Tahoma" w:hAnsi="Tahoma" w:cs="Tahoma"/>
          <w:iCs/>
          <w:color w:val="000000"/>
          <w:sz w:val="20"/>
          <w:szCs w:val="20"/>
          <w:lang w:eastAsia="en-US"/>
        </w:rPr>
        <w:t>na</w:t>
      </w:r>
      <w:r w:rsidRPr="00506242">
        <w:rPr>
          <w:rFonts w:ascii="Tahoma" w:hAnsi="Tahoma" w:cs="Tahoma"/>
          <w:iCs/>
          <w:color w:val="000000"/>
          <w:sz w:val="20"/>
          <w:szCs w:val="20"/>
          <w:lang w:eastAsia="en-US"/>
        </w:rPr>
        <w:t> ob</w:t>
      </w:r>
      <w:r>
        <w:rPr>
          <w:rFonts w:ascii="Tahoma" w:hAnsi="Tahoma" w:cs="Tahoma"/>
          <w:iCs/>
          <w:color w:val="000000"/>
          <w:sz w:val="20"/>
          <w:szCs w:val="20"/>
          <w:lang w:eastAsia="en-US"/>
        </w:rPr>
        <w:t>ě boční</w:t>
      </w:r>
      <w:r w:rsidRPr="00506242">
        <w:rPr>
          <w:rFonts w:ascii="Tahoma" w:hAnsi="Tahoma" w:cs="Tahoma"/>
          <w:iCs/>
          <w:color w:val="000000"/>
          <w:sz w:val="20"/>
          <w:szCs w:val="20"/>
          <w:lang w:eastAsia="en-US"/>
        </w:rPr>
        <w:t xml:space="preserve"> stran</w:t>
      </w:r>
      <w:r>
        <w:rPr>
          <w:rFonts w:ascii="Tahoma" w:hAnsi="Tahoma" w:cs="Tahoma"/>
          <w:iCs/>
          <w:color w:val="000000"/>
          <w:sz w:val="20"/>
          <w:szCs w:val="20"/>
          <w:lang w:eastAsia="en-US"/>
        </w:rPr>
        <w:t>y</w:t>
      </w:r>
      <w:r w:rsidRPr="00506242">
        <w:rPr>
          <w:rFonts w:ascii="Tahoma" w:hAnsi="Tahoma" w:cs="Tahoma"/>
          <w:iCs/>
          <w:color w:val="000000"/>
          <w:sz w:val="20"/>
          <w:szCs w:val="20"/>
          <w:lang w:eastAsia="en-US"/>
        </w:rPr>
        <w:t xml:space="preserve"> poř</w:t>
      </w:r>
      <w:r>
        <w:rPr>
          <w:rFonts w:ascii="Tahoma" w:hAnsi="Tahoma" w:cs="Tahoma"/>
          <w:iCs/>
          <w:color w:val="000000"/>
          <w:sz w:val="20"/>
          <w:szCs w:val="20"/>
          <w:lang w:eastAsia="en-US"/>
        </w:rPr>
        <w:t>í</w:t>
      </w:r>
      <w:r w:rsidRPr="00506242">
        <w:rPr>
          <w:rFonts w:ascii="Tahoma" w:hAnsi="Tahoma" w:cs="Tahoma"/>
          <w:iCs/>
          <w:color w:val="000000"/>
          <w:sz w:val="20"/>
          <w:szCs w:val="20"/>
          <w:lang w:eastAsia="en-US"/>
        </w:rPr>
        <w:t>z</w:t>
      </w:r>
      <w:r>
        <w:rPr>
          <w:rFonts w:ascii="Tahoma" w:hAnsi="Tahoma" w:cs="Tahoma"/>
          <w:iCs/>
          <w:color w:val="000000"/>
          <w:sz w:val="20"/>
          <w:szCs w:val="20"/>
          <w:lang w:eastAsia="en-US"/>
        </w:rPr>
        <w:t>e</w:t>
      </w:r>
      <w:r w:rsidRPr="00506242">
        <w:rPr>
          <w:rFonts w:ascii="Tahoma" w:hAnsi="Tahoma" w:cs="Tahoma"/>
          <w:iCs/>
          <w:color w:val="000000"/>
          <w:sz w:val="20"/>
          <w:szCs w:val="20"/>
          <w:lang w:eastAsia="en-US"/>
        </w:rPr>
        <w:t>né</w:t>
      </w:r>
      <w:r>
        <w:rPr>
          <w:rFonts w:ascii="Tahoma" w:hAnsi="Tahoma" w:cs="Tahoma"/>
          <w:iCs/>
          <w:color w:val="000000"/>
          <w:sz w:val="20"/>
          <w:szCs w:val="20"/>
          <w:lang w:eastAsia="en-US"/>
        </w:rPr>
        <w:t>ho</w:t>
      </w:r>
      <w:r w:rsidRPr="00506242">
        <w:rPr>
          <w:rFonts w:ascii="Tahoma" w:hAnsi="Tahoma" w:cs="Tahoma"/>
          <w:iCs/>
          <w:color w:val="000000"/>
          <w:sz w:val="20"/>
          <w:szCs w:val="20"/>
          <w:lang w:eastAsia="en-US"/>
        </w:rPr>
        <w:t xml:space="preserve"> automobilu</w:t>
      </w:r>
      <w:r w:rsidRPr="004C5D3B">
        <w:rPr>
          <w:rFonts w:ascii="Tahoma" w:hAnsi="Tahoma" w:cs="Tahoma"/>
          <w:iCs/>
          <w:color w:val="000000"/>
          <w:sz w:val="20"/>
          <w:szCs w:val="20"/>
          <w:lang w:eastAsia="en-US"/>
        </w:rPr>
        <w:t>,</w:t>
      </w:r>
    </w:p>
    <w:p w14:paraId="132FD2BC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2CB42700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16490764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0AAD3962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327F24F7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52B9F2B1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Veškeré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náklady, které příjemce </w:t>
      </w:r>
      <w:proofErr w:type="gramStart"/>
      <w:r w:rsidRPr="00150616">
        <w:rPr>
          <w:rFonts w:ascii="Tahoma" w:hAnsi="Tahoma" w:cs="Tahoma"/>
          <w:sz w:val="20"/>
          <w:szCs w:val="20"/>
          <w:lang w:eastAsia="en-US"/>
        </w:rPr>
        <w:t>vynaloží</w:t>
      </w:r>
      <w:proofErr w:type="gramEnd"/>
      <w:r w:rsidRPr="00150616">
        <w:rPr>
          <w:rFonts w:ascii="Tahoma" w:hAnsi="Tahoma" w:cs="Tahoma"/>
          <w:sz w:val="20"/>
          <w:szCs w:val="20"/>
          <w:lang w:eastAsia="en-US"/>
        </w:rPr>
        <w:t xml:space="preserve"> na splnění povinností stanovených v tomto článku smlouvy, jsou neuznatelnými náklady. </w:t>
      </w:r>
    </w:p>
    <w:p w14:paraId="42A05DC5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1D3A36DE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 xml:space="preserve">emce </w:t>
      </w:r>
      <w:proofErr w:type="gramStart"/>
      <w:r w:rsidR="00432A2C"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="00432A2C" w:rsidRPr="00E87E7A">
        <w:rPr>
          <w:rFonts w:ascii="Tahoma" w:hAnsi="Tahoma" w:cs="Tahoma"/>
          <w:sz w:val="20"/>
          <w:szCs w:val="20"/>
        </w:rPr>
        <w:t xml:space="preserve">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5D57B67E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0900E36F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proofErr w:type="gramEnd"/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0221BCC5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635381D2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5A82E3C" w14:textId="77777777" w:rsidR="00FA4EE2" w:rsidRPr="00E87E7A" w:rsidRDefault="00BA3C0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poskytovatel a jeden příjemce. Je-li tato smlouva uzavírána elektronicky,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70026F36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28716C65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2258293F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lastRenderedPageBreak/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 xml:space="preserve">Nařízení Komise (EU) č. 1407/2013, provede poskytovatel její uveřejnění v registru smluv. V takovém případě nabývá smlouva účinnosti dnem jejího uveřejnění v registru smluv. </w:t>
      </w:r>
    </w:p>
    <w:p w14:paraId="2B332576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6430F5F5" w14:textId="77777777" w:rsidR="00D72475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8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4558ACE4" w14:textId="77777777" w:rsidR="00DD175D" w:rsidRDefault="00DD175D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Tuto smlouvu je na základě pověření uděleného se souhlasem rady kraje oprávněn podepsat náměstek hejtmana kraje. V případě nepřítomnosti náměstka podepisuje smlouvu hejtman, případně jeho zástupce v pořadí určeném usnesením zastupitelstva</w:t>
      </w:r>
      <w:r w:rsidR="009901B5">
        <w:rPr>
          <w:rFonts w:ascii="Tahoma" w:hAnsi="Tahoma" w:cs="Tahoma"/>
          <w:sz w:val="20"/>
          <w:szCs w:val="20"/>
        </w:rPr>
        <w:t xml:space="preserve"> kraje</w:t>
      </w:r>
      <w:r>
        <w:rPr>
          <w:rFonts w:ascii="Tahoma" w:hAnsi="Tahoma" w:cs="Tahoma"/>
          <w:sz w:val="20"/>
          <w:szCs w:val="20"/>
        </w:rPr>
        <w:t xml:space="preserve"> č. 1/10 ze dne 5.</w:t>
      </w:r>
      <w:r w:rsidR="009901B5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11.</w:t>
      </w:r>
      <w:r w:rsidR="009901B5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2020, ve znění usnesení zastupitelstva kraje č. 12/1193 ze dne 8. 6. 2023.</w:t>
      </w:r>
    </w:p>
    <w:p w14:paraId="75ED8E73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357ED9FF" w14:textId="77777777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2101E9">
        <w:rPr>
          <w:rFonts w:ascii="Tahoma" w:hAnsi="Tahoma" w:cs="Tahoma"/>
          <w:sz w:val="20"/>
          <w:szCs w:val="20"/>
        </w:rPr>
        <w:t>rozhodlo</w:t>
      </w:r>
      <w:r w:rsidRPr="002101E9">
        <w:rPr>
          <w:rFonts w:ascii="Tahoma" w:hAnsi="Tahoma" w:cs="Tahoma"/>
          <w:sz w:val="20"/>
          <w:szCs w:val="20"/>
        </w:rPr>
        <w:t xml:space="preserve"> zastupitelstvo</w:t>
      </w:r>
      <w:r w:rsidRPr="00E87E7A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="00BA3C02">
        <w:rPr>
          <w:rFonts w:ascii="Tahoma" w:hAnsi="Tahoma" w:cs="Tahoma"/>
          <w:sz w:val="20"/>
          <w:szCs w:val="20"/>
        </w:rPr>
        <w:t>...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dne</w:t>
      </w:r>
      <w:r w:rsidR="00BA3C02">
        <w:rPr>
          <w:rFonts w:ascii="Tahoma" w:hAnsi="Tahoma" w:cs="Tahoma"/>
          <w:sz w:val="20"/>
          <w:szCs w:val="20"/>
        </w:rPr>
        <w:t xml:space="preserve"> </w:t>
      </w:r>
      <w:r w:rsidR="002101E9">
        <w:rPr>
          <w:rFonts w:ascii="Tahoma" w:hAnsi="Tahoma" w:cs="Tahoma"/>
          <w:sz w:val="20"/>
          <w:szCs w:val="20"/>
        </w:rPr>
        <w:t>7. 9. 2023.</w:t>
      </w:r>
    </w:p>
    <w:p w14:paraId="5E7DEE2A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2026BBFE" w14:textId="77777777" w:rsidR="00FA4EE2" w:rsidRPr="00E87E7A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……</w:t>
      </w:r>
    </w:p>
    <w:p w14:paraId="0906C6FC" w14:textId="77777777" w:rsidR="00356DE1" w:rsidRPr="00E87E7A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poskytovatele</w:t>
      </w:r>
      <w:r w:rsidR="00356DE1" w:rsidRPr="00E87E7A">
        <w:rPr>
          <w:rFonts w:ascii="Tahoma" w:hAnsi="Tahoma" w:cs="Tahoma"/>
          <w:sz w:val="20"/>
          <w:szCs w:val="20"/>
        </w:rPr>
        <w:tab/>
      </w:r>
      <w:r w:rsidRPr="00426A49">
        <w:rPr>
          <w:rFonts w:ascii="Tahoma" w:hAnsi="Tahoma" w:cs="Tahoma"/>
          <w:color w:val="000000"/>
          <w:sz w:val="20"/>
          <w:szCs w:val="20"/>
        </w:rPr>
        <w:t>za příjemce</w:t>
      </w:r>
    </w:p>
    <w:p w14:paraId="640C5E81" w14:textId="7656A2D9" w:rsidR="002116D6" w:rsidRDefault="00362EE6" w:rsidP="00362EE6">
      <w:pPr>
        <w:tabs>
          <w:tab w:val="left" w:pos="6946"/>
        </w:tabs>
        <w:ind w:left="426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C31DAC">
        <w:rPr>
          <w:rFonts w:ascii="Tahoma" w:hAnsi="Tahoma" w:cs="Tahoma"/>
          <w:iCs/>
          <w:sz w:val="20"/>
          <w:szCs w:val="20"/>
        </w:rPr>
        <w:t>Bc. Jiří Navrátil, MBA</w:t>
      </w:r>
      <w:r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</w:t>
      </w:r>
      <w:r w:rsidR="00250A70">
        <w:rPr>
          <w:rFonts w:ascii="Tahoma" w:hAnsi="Tahoma" w:cs="Tahoma"/>
          <w:sz w:val="20"/>
          <w:szCs w:val="20"/>
        </w:rPr>
        <w:t xml:space="preserve">      </w:t>
      </w:r>
      <w:r w:rsidR="002101E9" w:rsidRPr="002101E9">
        <w:rPr>
          <w:rFonts w:ascii="Tahoma" w:hAnsi="Tahoma" w:cs="Tahoma"/>
          <w:sz w:val="20"/>
          <w:szCs w:val="20"/>
        </w:rPr>
        <w:t>Bc. David Tichý, DiS.</w:t>
      </w:r>
    </w:p>
    <w:p w14:paraId="4992541A" w14:textId="3BFE8CEA" w:rsidR="00362EE6" w:rsidRPr="00362EE6" w:rsidRDefault="00362EE6" w:rsidP="00362EE6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  <w:r w:rsidRPr="00437B4E">
        <w:rPr>
          <w:rFonts w:ascii="Tahoma" w:hAnsi="Tahoma" w:cs="Tahoma"/>
          <w:iCs/>
          <w:sz w:val="20"/>
          <w:szCs w:val="20"/>
        </w:rPr>
        <w:t>na základě</w:t>
      </w:r>
      <w:r w:rsidRPr="00437B4E">
        <w:rPr>
          <w:rFonts w:ascii="Tahoma" w:hAnsi="Tahoma" w:cs="Tahoma"/>
          <w:sz w:val="20"/>
          <w:szCs w:val="20"/>
        </w:rPr>
        <w:t xml:space="preserve"> pověření hejtmana kraje</w:t>
      </w:r>
      <w:r w:rsidR="00250A70"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 w:rsidR="002101E9">
        <w:rPr>
          <w:rFonts w:ascii="Tahoma" w:hAnsi="Tahoma" w:cs="Tahoma"/>
          <w:sz w:val="20"/>
          <w:szCs w:val="20"/>
        </w:rPr>
        <w:t>předseda spolku</w:t>
      </w:r>
    </w:p>
    <w:sectPr w:rsidR="00362EE6" w:rsidRPr="00362EE6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8C96" w14:textId="77777777" w:rsidR="000134CB" w:rsidRDefault="000134CB">
      <w:r>
        <w:separator/>
      </w:r>
    </w:p>
  </w:endnote>
  <w:endnote w:type="continuationSeparator" w:id="0">
    <w:p w14:paraId="26399B1E" w14:textId="77777777" w:rsidR="000134CB" w:rsidRDefault="0001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6CD2" w14:textId="3E1AC479" w:rsidR="00C16519" w:rsidRPr="0096476D" w:rsidRDefault="00031953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E2D67C" wp14:editId="11DF49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59fe41dbb79fb0de9f44e223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41061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2D67C" id="_x0000_t202" coordsize="21600,21600" o:spt="202" path="m,l,21600r21600,l21600,xe">
              <v:stroke joinstyle="miter"/>
              <v:path gradientshapeok="t" o:connecttype="rect"/>
            </v:shapetype>
            <v:shape id="MSIPCM59fe41dbb79fb0de9f44e22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67F41061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7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BC10" w14:textId="029CA387" w:rsidR="00C16519" w:rsidRPr="00334FD9" w:rsidRDefault="00031953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4B4071" wp14:editId="054D540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6a9b4a14969af40b4d68b8d0" descr="{&quot;HashCode&quot;:-106917850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D38F5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B4071" id="_x0000_t202" coordsize="21600,21600" o:spt="202" path="m,l,21600r21600,l21600,xe">
              <v:stroke joinstyle="miter"/>
              <v:path gradientshapeok="t" o:connecttype="rect"/>
            </v:shapetype>
            <v:shape id="MSIPCM6a9b4a14969af40b4d68b8d0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89D38F5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A313" w14:textId="77777777" w:rsidR="000134CB" w:rsidRDefault="000134CB">
      <w:r>
        <w:separator/>
      </w:r>
    </w:p>
  </w:footnote>
  <w:footnote w:type="continuationSeparator" w:id="0">
    <w:p w14:paraId="2C5926B3" w14:textId="77777777" w:rsidR="000134CB" w:rsidRDefault="0001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18449">
    <w:abstractNumId w:val="5"/>
  </w:num>
  <w:num w:numId="2" w16cid:durableId="1351641052">
    <w:abstractNumId w:val="3"/>
  </w:num>
  <w:num w:numId="3" w16cid:durableId="965502049">
    <w:abstractNumId w:val="2"/>
  </w:num>
  <w:num w:numId="4" w16cid:durableId="876048123">
    <w:abstractNumId w:val="8"/>
  </w:num>
  <w:num w:numId="5" w16cid:durableId="1336422914">
    <w:abstractNumId w:val="11"/>
  </w:num>
  <w:num w:numId="6" w16cid:durableId="1119379240">
    <w:abstractNumId w:val="10"/>
  </w:num>
  <w:num w:numId="7" w16cid:durableId="1127046968">
    <w:abstractNumId w:val="0"/>
  </w:num>
  <w:num w:numId="8" w16cid:durableId="875199961">
    <w:abstractNumId w:val="4"/>
  </w:num>
  <w:num w:numId="9" w16cid:durableId="1283344962">
    <w:abstractNumId w:val="1"/>
  </w:num>
  <w:num w:numId="10" w16cid:durableId="115832773">
    <w:abstractNumId w:val="12"/>
  </w:num>
  <w:num w:numId="11" w16cid:durableId="182017525">
    <w:abstractNumId w:val="9"/>
  </w:num>
  <w:num w:numId="12" w16cid:durableId="1557742212">
    <w:abstractNumId w:val="6"/>
  </w:num>
  <w:num w:numId="13" w16cid:durableId="275645665">
    <w:abstractNumId w:val="7"/>
  </w:num>
  <w:num w:numId="14" w16cid:durableId="1455171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620E"/>
    <w:rsid w:val="000134CB"/>
    <w:rsid w:val="00014690"/>
    <w:rsid w:val="00015160"/>
    <w:rsid w:val="0001601E"/>
    <w:rsid w:val="000161BE"/>
    <w:rsid w:val="00016F3E"/>
    <w:rsid w:val="00022124"/>
    <w:rsid w:val="000255CE"/>
    <w:rsid w:val="00031953"/>
    <w:rsid w:val="000329F7"/>
    <w:rsid w:val="0003446C"/>
    <w:rsid w:val="0003748C"/>
    <w:rsid w:val="0005406E"/>
    <w:rsid w:val="000671C6"/>
    <w:rsid w:val="0007082E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E398C"/>
    <w:rsid w:val="000E53B1"/>
    <w:rsid w:val="000E5EEA"/>
    <w:rsid w:val="0012006E"/>
    <w:rsid w:val="001235D8"/>
    <w:rsid w:val="00127FBB"/>
    <w:rsid w:val="00135024"/>
    <w:rsid w:val="00140075"/>
    <w:rsid w:val="00142EAF"/>
    <w:rsid w:val="00163EE1"/>
    <w:rsid w:val="00174F82"/>
    <w:rsid w:val="001824DC"/>
    <w:rsid w:val="001A248A"/>
    <w:rsid w:val="001A3EDF"/>
    <w:rsid w:val="001A60B1"/>
    <w:rsid w:val="001C4F18"/>
    <w:rsid w:val="001D44E7"/>
    <w:rsid w:val="001D49CE"/>
    <w:rsid w:val="001E2203"/>
    <w:rsid w:val="001E6D51"/>
    <w:rsid w:val="001F4882"/>
    <w:rsid w:val="001F4F31"/>
    <w:rsid w:val="001F577D"/>
    <w:rsid w:val="0020415C"/>
    <w:rsid w:val="00206F2E"/>
    <w:rsid w:val="002101E9"/>
    <w:rsid w:val="002116D6"/>
    <w:rsid w:val="00216F5B"/>
    <w:rsid w:val="00220A83"/>
    <w:rsid w:val="00230217"/>
    <w:rsid w:val="00232522"/>
    <w:rsid w:val="00232C30"/>
    <w:rsid w:val="002331B7"/>
    <w:rsid w:val="0023692B"/>
    <w:rsid w:val="00245B17"/>
    <w:rsid w:val="00250A70"/>
    <w:rsid w:val="002631EB"/>
    <w:rsid w:val="002663A5"/>
    <w:rsid w:val="00273F97"/>
    <w:rsid w:val="00281830"/>
    <w:rsid w:val="00284C39"/>
    <w:rsid w:val="00290118"/>
    <w:rsid w:val="002B51F7"/>
    <w:rsid w:val="002C0579"/>
    <w:rsid w:val="002D217A"/>
    <w:rsid w:val="002D4DFE"/>
    <w:rsid w:val="002D6C29"/>
    <w:rsid w:val="002E6B98"/>
    <w:rsid w:val="002F3F49"/>
    <w:rsid w:val="003013F6"/>
    <w:rsid w:val="0030642D"/>
    <w:rsid w:val="003132D6"/>
    <w:rsid w:val="00334FD9"/>
    <w:rsid w:val="00356973"/>
    <w:rsid w:val="00356DE1"/>
    <w:rsid w:val="00357E78"/>
    <w:rsid w:val="00362311"/>
    <w:rsid w:val="00362EE6"/>
    <w:rsid w:val="00364075"/>
    <w:rsid w:val="00366B9E"/>
    <w:rsid w:val="00366E5E"/>
    <w:rsid w:val="00373CE5"/>
    <w:rsid w:val="0038578C"/>
    <w:rsid w:val="0039202C"/>
    <w:rsid w:val="003952C1"/>
    <w:rsid w:val="00397C25"/>
    <w:rsid w:val="003A0484"/>
    <w:rsid w:val="003A136D"/>
    <w:rsid w:val="003A5843"/>
    <w:rsid w:val="003B2A79"/>
    <w:rsid w:val="003B47CF"/>
    <w:rsid w:val="00405619"/>
    <w:rsid w:val="00407F31"/>
    <w:rsid w:val="00412EC4"/>
    <w:rsid w:val="00415837"/>
    <w:rsid w:val="00426A49"/>
    <w:rsid w:val="00430783"/>
    <w:rsid w:val="00432A2C"/>
    <w:rsid w:val="004365EA"/>
    <w:rsid w:val="0044399B"/>
    <w:rsid w:val="00444FAB"/>
    <w:rsid w:val="00453931"/>
    <w:rsid w:val="00461992"/>
    <w:rsid w:val="004626FF"/>
    <w:rsid w:val="004654D1"/>
    <w:rsid w:val="0047552B"/>
    <w:rsid w:val="004820E5"/>
    <w:rsid w:val="00486391"/>
    <w:rsid w:val="00494AFC"/>
    <w:rsid w:val="004A0895"/>
    <w:rsid w:val="004A1492"/>
    <w:rsid w:val="004A36A7"/>
    <w:rsid w:val="004C689F"/>
    <w:rsid w:val="004E425F"/>
    <w:rsid w:val="004F2A95"/>
    <w:rsid w:val="00501FE6"/>
    <w:rsid w:val="00507A2C"/>
    <w:rsid w:val="005109EE"/>
    <w:rsid w:val="00510A11"/>
    <w:rsid w:val="00513700"/>
    <w:rsid w:val="005215EF"/>
    <w:rsid w:val="005229FC"/>
    <w:rsid w:val="005324A9"/>
    <w:rsid w:val="0054388F"/>
    <w:rsid w:val="005503B2"/>
    <w:rsid w:val="00576211"/>
    <w:rsid w:val="00594441"/>
    <w:rsid w:val="005A1A0E"/>
    <w:rsid w:val="005A7B9E"/>
    <w:rsid w:val="005B333A"/>
    <w:rsid w:val="005C0383"/>
    <w:rsid w:val="005C7751"/>
    <w:rsid w:val="005D2CA3"/>
    <w:rsid w:val="005D6DF8"/>
    <w:rsid w:val="005D703F"/>
    <w:rsid w:val="005F1DE0"/>
    <w:rsid w:val="00603CC9"/>
    <w:rsid w:val="0060489E"/>
    <w:rsid w:val="00605292"/>
    <w:rsid w:val="00605859"/>
    <w:rsid w:val="00620F65"/>
    <w:rsid w:val="00624FFC"/>
    <w:rsid w:val="00641BEC"/>
    <w:rsid w:val="006504F9"/>
    <w:rsid w:val="00652437"/>
    <w:rsid w:val="006546FE"/>
    <w:rsid w:val="00660C81"/>
    <w:rsid w:val="00694DCE"/>
    <w:rsid w:val="006955AB"/>
    <w:rsid w:val="006A1248"/>
    <w:rsid w:val="006A4D49"/>
    <w:rsid w:val="006E135F"/>
    <w:rsid w:val="006E69E7"/>
    <w:rsid w:val="006F006F"/>
    <w:rsid w:val="006F307C"/>
    <w:rsid w:val="007024EF"/>
    <w:rsid w:val="00703394"/>
    <w:rsid w:val="00703B29"/>
    <w:rsid w:val="00705B1D"/>
    <w:rsid w:val="007262BD"/>
    <w:rsid w:val="00726EAB"/>
    <w:rsid w:val="00736C77"/>
    <w:rsid w:val="007476C7"/>
    <w:rsid w:val="007568AF"/>
    <w:rsid w:val="00760DCD"/>
    <w:rsid w:val="00761DA2"/>
    <w:rsid w:val="007621BE"/>
    <w:rsid w:val="007678E6"/>
    <w:rsid w:val="00770E63"/>
    <w:rsid w:val="00777E99"/>
    <w:rsid w:val="00784EBF"/>
    <w:rsid w:val="00786889"/>
    <w:rsid w:val="00786B87"/>
    <w:rsid w:val="00796B76"/>
    <w:rsid w:val="007A7C70"/>
    <w:rsid w:val="007B5388"/>
    <w:rsid w:val="007D235A"/>
    <w:rsid w:val="007D298B"/>
    <w:rsid w:val="007D634C"/>
    <w:rsid w:val="007F01FD"/>
    <w:rsid w:val="007F2ECA"/>
    <w:rsid w:val="0080709E"/>
    <w:rsid w:val="00812926"/>
    <w:rsid w:val="00820FA0"/>
    <w:rsid w:val="0083552E"/>
    <w:rsid w:val="0086498F"/>
    <w:rsid w:val="008738B4"/>
    <w:rsid w:val="00876591"/>
    <w:rsid w:val="008778E2"/>
    <w:rsid w:val="00890EC7"/>
    <w:rsid w:val="00897C18"/>
    <w:rsid w:val="008B5D43"/>
    <w:rsid w:val="008B6106"/>
    <w:rsid w:val="008B669E"/>
    <w:rsid w:val="008C1DE9"/>
    <w:rsid w:val="008C684B"/>
    <w:rsid w:val="008F0D78"/>
    <w:rsid w:val="008F2F33"/>
    <w:rsid w:val="008F717B"/>
    <w:rsid w:val="00906716"/>
    <w:rsid w:val="0092582C"/>
    <w:rsid w:val="00936AD1"/>
    <w:rsid w:val="009506F2"/>
    <w:rsid w:val="0095390B"/>
    <w:rsid w:val="00961BF5"/>
    <w:rsid w:val="00962153"/>
    <w:rsid w:val="0096476D"/>
    <w:rsid w:val="0098339C"/>
    <w:rsid w:val="009901B5"/>
    <w:rsid w:val="00992157"/>
    <w:rsid w:val="009A30B4"/>
    <w:rsid w:val="009C58E5"/>
    <w:rsid w:val="009D354A"/>
    <w:rsid w:val="009E5236"/>
    <w:rsid w:val="009F5421"/>
    <w:rsid w:val="00A12EE0"/>
    <w:rsid w:val="00A24C67"/>
    <w:rsid w:val="00A24CB4"/>
    <w:rsid w:val="00A40AF3"/>
    <w:rsid w:val="00A45666"/>
    <w:rsid w:val="00A50EB5"/>
    <w:rsid w:val="00A61C26"/>
    <w:rsid w:val="00A630D1"/>
    <w:rsid w:val="00A70DDA"/>
    <w:rsid w:val="00A728EC"/>
    <w:rsid w:val="00A73E45"/>
    <w:rsid w:val="00A777B7"/>
    <w:rsid w:val="00A82DF9"/>
    <w:rsid w:val="00A8565F"/>
    <w:rsid w:val="00A96FF0"/>
    <w:rsid w:val="00AB1941"/>
    <w:rsid w:val="00AB529A"/>
    <w:rsid w:val="00AC1112"/>
    <w:rsid w:val="00AE64BF"/>
    <w:rsid w:val="00AF1AA2"/>
    <w:rsid w:val="00AF3B4B"/>
    <w:rsid w:val="00AF4717"/>
    <w:rsid w:val="00AF5ABF"/>
    <w:rsid w:val="00B031EF"/>
    <w:rsid w:val="00B032E1"/>
    <w:rsid w:val="00B03D20"/>
    <w:rsid w:val="00B11B6E"/>
    <w:rsid w:val="00B17229"/>
    <w:rsid w:val="00B21C7D"/>
    <w:rsid w:val="00B24B7A"/>
    <w:rsid w:val="00B25960"/>
    <w:rsid w:val="00B30BEC"/>
    <w:rsid w:val="00B42AB7"/>
    <w:rsid w:val="00B54FDC"/>
    <w:rsid w:val="00B66C97"/>
    <w:rsid w:val="00B7718B"/>
    <w:rsid w:val="00B77C7C"/>
    <w:rsid w:val="00B913C0"/>
    <w:rsid w:val="00B979CB"/>
    <w:rsid w:val="00BA3C02"/>
    <w:rsid w:val="00BB69E9"/>
    <w:rsid w:val="00BB779D"/>
    <w:rsid w:val="00BC0B07"/>
    <w:rsid w:val="00BC6D5C"/>
    <w:rsid w:val="00BC789F"/>
    <w:rsid w:val="00BE63B4"/>
    <w:rsid w:val="00BE7EC3"/>
    <w:rsid w:val="00BF4C02"/>
    <w:rsid w:val="00C05887"/>
    <w:rsid w:val="00C068AA"/>
    <w:rsid w:val="00C140CB"/>
    <w:rsid w:val="00C16519"/>
    <w:rsid w:val="00C1774E"/>
    <w:rsid w:val="00C207CB"/>
    <w:rsid w:val="00C22C12"/>
    <w:rsid w:val="00C5418D"/>
    <w:rsid w:val="00C71BC6"/>
    <w:rsid w:val="00C77BDE"/>
    <w:rsid w:val="00C820B4"/>
    <w:rsid w:val="00C85AA3"/>
    <w:rsid w:val="00C92159"/>
    <w:rsid w:val="00C92CCF"/>
    <w:rsid w:val="00C93433"/>
    <w:rsid w:val="00CA773F"/>
    <w:rsid w:val="00CB1C83"/>
    <w:rsid w:val="00CB204E"/>
    <w:rsid w:val="00CB4644"/>
    <w:rsid w:val="00CB4AB8"/>
    <w:rsid w:val="00CC25A3"/>
    <w:rsid w:val="00CC738C"/>
    <w:rsid w:val="00CC7D18"/>
    <w:rsid w:val="00CD02B2"/>
    <w:rsid w:val="00CD26D5"/>
    <w:rsid w:val="00CF4185"/>
    <w:rsid w:val="00D076E1"/>
    <w:rsid w:val="00D36FA3"/>
    <w:rsid w:val="00D41275"/>
    <w:rsid w:val="00D47DFE"/>
    <w:rsid w:val="00D539BF"/>
    <w:rsid w:val="00D670E7"/>
    <w:rsid w:val="00D72475"/>
    <w:rsid w:val="00D93FF6"/>
    <w:rsid w:val="00D95FAA"/>
    <w:rsid w:val="00DA06E0"/>
    <w:rsid w:val="00DA2A1A"/>
    <w:rsid w:val="00DA7246"/>
    <w:rsid w:val="00DB5776"/>
    <w:rsid w:val="00DC468D"/>
    <w:rsid w:val="00DD175D"/>
    <w:rsid w:val="00DD79A7"/>
    <w:rsid w:val="00DE4CCD"/>
    <w:rsid w:val="00DE6B5B"/>
    <w:rsid w:val="00DF40D3"/>
    <w:rsid w:val="00DF670F"/>
    <w:rsid w:val="00E16C0B"/>
    <w:rsid w:val="00E22213"/>
    <w:rsid w:val="00E267D9"/>
    <w:rsid w:val="00E26E04"/>
    <w:rsid w:val="00E34B0E"/>
    <w:rsid w:val="00E375B1"/>
    <w:rsid w:val="00E57A10"/>
    <w:rsid w:val="00E608A4"/>
    <w:rsid w:val="00E64BF3"/>
    <w:rsid w:val="00E657F0"/>
    <w:rsid w:val="00E65AE2"/>
    <w:rsid w:val="00E84D00"/>
    <w:rsid w:val="00E87E7A"/>
    <w:rsid w:val="00E93CFE"/>
    <w:rsid w:val="00E95F49"/>
    <w:rsid w:val="00E97F4B"/>
    <w:rsid w:val="00EA2B49"/>
    <w:rsid w:val="00EB226A"/>
    <w:rsid w:val="00EB52A1"/>
    <w:rsid w:val="00EC0F57"/>
    <w:rsid w:val="00EC16FB"/>
    <w:rsid w:val="00EC4415"/>
    <w:rsid w:val="00EC53AF"/>
    <w:rsid w:val="00ED43AF"/>
    <w:rsid w:val="00F114FF"/>
    <w:rsid w:val="00F14FDD"/>
    <w:rsid w:val="00F2075E"/>
    <w:rsid w:val="00F233E4"/>
    <w:rsid w:val="00F336FC"/>
    <w:rsid w:val="00F419CD"/>
    <w:rsid w:val="00F47F1F"/>
    <w:rsid w:val="00F53D20"/>
    <w:rsid w:val="00F5707D"/>
    <w:rsid w:val="00F606AA"/>
    <w:rsid w:val="00F657FD"/>
    <w:rsid w:val="00F728BB"/>
    <w:rsid w:val="00F8636F"/>
    <w:rsid w:val="00F90BA4"/>
    <w:rsid w:val="00FA03E9"/>
    <w:rsid w:val="00FA4EE2"/>
    <w:rsid w:val="00FA5464"/>
    <w:rsid w:val="00FB3DB3"/>
    <w:rsid w:val="00FC7259"/>
    <w:rsid w:val="00FD09E2"/>
    <w:rsid w:val="00FE4E78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,"/>
  <w:listSeparator w:val=";"/>
  <w14:docId w14:val="7C7035F4"/>
  <w15:chartTrackingRefBased/>
  <w15:docId w15:val="{BDE5203C-071C-42F1-8E3C-0D4E39D4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245B1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B3DB3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B3D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2700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19123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Himlarová Markéta</cp:lastModifiedBy>
  <cp:revision>3</cp:revision>
  <cp:lastPrinted>2019-12-04T11:23:00Z</cp:lastPrinted>
  <dcterms:created xsi:type="dcterms:W3CDTF">2023-08-07T08:28:00Z</dcterms:created>
  <dcterms:modified xsi:type="dcterms:W3CDTF">2023-08-07T08:30:00Z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2023-03-08T07:19:44Z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da123701-63cc-41f0-8020-9f9316e10201</vt:lpwstr>
  </property>
  <property fmtid="{D5CDD505-2E9C-101B-9397-08002B2CF9AE}" pid="8" name="MSIP_Label_215ad6d0-798b-44f9-b3fd-112ad6275fb4_ContentBits">
    <vt:lpwstr>2</vt:lpwstr>
  </property>
</Properties>
</file>