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8AAC" w14:textId="77777777" w:rsidR="001F03D7" w:rsidRPr="001F03D7" w:rsidRDefault="001F03D7" w:rsidP="001F03D7">
      <w:pPr>
        <w:spacing w:after="160" w:line="259" w:lineRule="auto"/>
        <w:ind w:left="7080" w:firstLine="708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V Ostravě 7. 8. 2023</w:t>
      </w:r>
    </w:p>
    <w:p w14:paraId="551FD115" w14:textId="77777777" w:rsidR="001F03D7" w:rsidRPr="001F03D7" w:rsidRDefault="001F03D7" w:rsidP="001F03D7">
      <w:pPr>
        <w:spacing w:after="160" w:line="259" w:lineRule="auto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</w:p>
    <w:p w14:paraId="40A50259" w14:textId="06F3FD6E" w:rsidR="001F03D7" w:rsidRDefault="001F03D7" w:rsidP="00F56E29">
      <w:pPr>
        <w:pStyle w:val="Nadpis1"/>
        <w:jc w:val="both"/>
        <w:rPr>
          <w:rFonts w:eastAsia="Calibri"/>
          <w:b/>
          <w:bCs/>
        </w:rPr>
      </w:pPr>
      <w:r w:rsidRPr="006428F0">
        <w:rPr>
          <w:rFonts w:eastAsia="Calibri"/>
          <w:b/>
          <w:bCs/>
        </w:rPr>
        <w:t xml:space="preserve">Žádost o </w:t>
      </w:r>
      <w:r w:rsidR="001A0808">
        <w:rPr>
          <w:rFonts w:eastAsia="Calibri"/>
          <w:b/>
          <w:bCs/>
        </w:rPr>
        <w:t>ná</w:t>
      </w:r>
      <w:r w:rsidRPr="006428F0">
        <w:rPr>
          <w:rFonts w:eastAsia="Calibri"/>
          <w:b/>
          <w:bCs/>
        </w:rPr>
        <w:t xml:space="preserve">vratnou finanční výpomoc </w:t>
      </w:r>
    </w:p>
    <w:p w14:paraId="2E98F632" w14:textId="77777777" w:rsidR="006428F0" w:rsidRPr="006428F0" w:rsidRDefault="006428F0" w:rsidP="00F56E29">
      <w:pPr>
        <w:jc w:val="both"/>
      </w:pPr>
    </w:p>
    <w:p w14:paraId="23F764AF" w14:textId="77777777" w:rsidR="00D01B2E" w:rsidRDefault="001F03D7" w:rsidP="00F56E29">
      <w:pPr>
        <w:spacing w:after="160" w:line="259" w:lineRule="auto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1F03D7">
        <w:rPr>
          <w:rStyle w:val="Nadpis2Char"/>
          <w:b/>
          <w:bCs/>
        </w:rPr>
        <w:t>Věc: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</w:t>
      </w:r>
    </w:p>
    <w:p w14:paraId="67BF972A" w14:textId="22E43FAF" w:rsidR="001F03D7" w:rsidRPr="001F03D7" w:rsidRDefault="001F03D7" w:rsidP="00F56E29">
      <w:pPr>
        <w:spacing w:after="160" w:line="259" w:lineRule="auto"/>
        <w:jc w:val="both"/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</w:pPr>
      <w:r w:rsidRPr="001F03D7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Žádáme o </w:t>
      </w:r>
      <w:r w:rsidR="001A0808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>ná</w:t>
      </w:r>
      <w:r w:rsidRPr="001F03D7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vratnou finanční výpomoc na předfinancování aktivit strategického projektu TRAUTOM-Kompetence pro 21. st. </w:t>
      </w:r>
      <w:r w:rsidR="00D01B2E" w:rsidRPr="00D01B2E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v celkové výši </w:t>
      </w:r>
      <w:r w:rsidR="00D01B2E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>2</w:t>
      </w:r>
      <w:r w:rsidR="00D01B2E" w:rsidRPr="00D01B2E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 mil. Kč na období září </w:t>
      </w:r>
      <w:proofErr w:type="gramStart"/>
      <w:r w:rsidR="00D01B2E" w:rsidRPr="00D01B2E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>2023 – duben</w:t>
      </w:r>
      <w:proofErr w:type="gramEnd"/>
      <w:r w:rsidR="00D01B2E" w:rsidRPr="00D01B2E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 2024.</w:t>
      </w:r>
    </w:p>
    <w:p w14:paraId="3C171527" w14:textId="439F3BF0" w:rsidR="001F03D7" w:rsidRPr="006428F0" w:rsidRDefault="001F03D7" w:rsidP="00F56E29">
      <w:pPr>
        <w:spacing w:after="160" w:line="259" w:lineRule="auto"/>
        <w:jc w:val="both"/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</w:pPr>
      <w:r w:rsidRPr="001F03D7">
        <w:rPr>
          <w:rStyle w:val="Nadpis2Char"/>
          <w:b/>
          <w:bCs/>
        </w:rPr>
        <w:t>Zdůvodnění</w:t>
      </w:r>
      <w:r w:rsidR="00767226">
        <w:rPr>
          <w:rStyle w:val="Nadpis2Char"/>
          <w:b/>
          <w:bCs/>
        </w:rPr>
        <w:t xml:space="preserve"> žádosti</w:t>
      </w:r>
      <w:r w:rsidRPr="001F03D7">
        <w:rPr>
          <w:rStyle w:val="Nadpis2Char"/>
          <w:b/>
          <w:bCs/>
        </w:rPr>
        <w:t xml:space="preserve">: </w:t>
      </w:r>
    </w:p>
    <w:p w14:paraId="5943FE18" w14:textId="3CAF8F0E" w:rsidR="006428F0" w:rsidRDefault="00BF00F0" w:rsidP="00F56E29">
      <w:pPr>
        <w:spacing w:after="160" w:line="259" w:lineRule="auto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Moravskoslezský pakt zaměstnanosti, </w:t>
      </w:r>
      <w:proofErr w:type="spellStart"/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z.s</w:t>
      </w:r>
      <w:proofErr w:type="spellEnd"/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. je žadatelem a budoucím nositelem strategického projektu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TRAUTOM-Kompetence pro 21. st</w:t>
      </w:r>
      <w:r w:rsidR="008E734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oletí</w:t>
      </w:r>
      <w:r w:rsidR="00F56E2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56F12D92" w14:textId="1E61904F" w:rsidR="003D003A" w:rsidRDefault="001F03D7" w:rsidP="00F56E29">
      <w:pPr>
        <w:spacing w:after="160" w:line="259" w:lineRule="auto"/>
        <w:ind w:firstLine="708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Hodnocení strategického projektu se zásadně zdržuje a projekt bude zahájený o více než rok později</w:t>
      </w:r>
      <w:r w:rsidR="00F56E2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oproti plánu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. Celá řada aktivit však musela být zahájena už v přípravné fázi a musí pokračovat kontinuálně. Tato potřeba se umocnila ohlášením 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dotační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výzvy pro podniky, která 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je se strategickým projektem spojená a která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bude otevřena v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 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září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2023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 MS Pakt musí vykonávat celou řadu činností spojených s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 přípravou a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propagací </w:t>
      </w:r>
      <w:r w:rsidR="001D27B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této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výzvy, s poradenstvím podnikům a s hodnocením 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transformačních plánů (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projektových záměrů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)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firem. Vedle toho se zkracuje celkový čas realizace strategického projektu (musí být ukončen do </w:t>
      </w:r>
      <w:r w:rsidR="00B3737E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konce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roku 2027) a je potřeba co nejdříve zahájit prakticky všechny klíčové aktivity</w:t>
      </w:r>
      <w:r w:rsidR="00B3737E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, </w:t>
      </w:r>
      <w:r w:rsidR="003D003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aby mohlo dojít k naplnění jejich cílů. </w:t>
      </w:r>
    </w:p>
    <w:p w14:paraId="28AD01B9" w14:textId="6880AD7F" w:rsidR="00D01B2E" w:rsidRDefault="003D003A" w:rsidP="00F56E29">
      <w:pPr>
        <w:spacing w:after="160" w:line="259" w:lineRule="auto"/>
        <w:ind w:firstLine="708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Ze všech těchto důvodů považujeme za nejzazší termín </w:t>
      </w:r>
      <w:r w:rsidR="006324A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věcného 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zahájení strategického projektu září 2023.</w:t>
      </w:r>
      <w:r w:rsidR="00C63DBD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Podmínky dotace </w:t>
      </w:r>
      <w:r w:rsidR="006324A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to 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nepochybně umožňují, protože náklady projektu jsou </w:t>
      </w:r>
      <w:r w:rsidR="00D01B2E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způsobilé už od roku 2022 a zpětná uznatelnost výdajů je umožněna.  </w:t>
      </w:r>
      <w:r w:rsidR="00720CD0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Na základě komunikace s řídícím orgánem máme důvod předpokládat, že hodnocení projektu bude s jistotou ukončené do konce roku 2023.</w:t>
      </w:r>
    </w:p>
    <w:p w14:paraId="794148EB" w14:textId="2866F0E8" w:rsidR="006428F0" w:rsidRDefault="00720CD0" w:rsidP="00F56E29">
      <w:pPr>
        <w:spacing w:after="160" w:line="259" w:lineRule="auto"/>
        <w:ind w:firstLine="708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Na základě uvedených předpokladů ž</w:t>
      </w:r>
      <w:r w:rsidR="006428F0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ádáme Moravskoslezský kraj jako předsedu </w:t>
      </w:r>
      <w:r w:rsidR="001D27B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našeho </w:t>
      </w:r>
      <w:r w:rsidR="006428F0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zapsaného spolku o </w:t>
      </w:r>
      <w:r w:rsidR="001A0808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ná</w:t>
      </w:r>
      <w:r w:rsidR="006428F0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vratnou finanční výpomoc na řešení tohoto problému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, respektive na překlenutí období mezi </w:t>
      </w:r>
      <w:r w:rsidR="006324A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věcným</w:t>
      </w:r>
      <w:r w:rsidR="00F55062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zahájením projektu a formálním ukončením hodnotícího procesu</w:t>
      </w:r>
      <w:r w:rsidR="00767226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(9-12/2023).</w:t>
      </w:r>
    </w:p>
    <w:p w14:paraId="7523C6EA" w14:textId="4D9408BC" w:rsidR="006428F0" w:rsidRDefault="006428F0" w:rsidP="00F56E29">
      <w:pPr>
        <w:pStyle w:val="Nadpis2"/>
        <w:jc w:val="both"/>
        <w:rPr>
          <w:rFonts w:eastAsia="Calibri"/>
          <w:b/>
          <w:bCs/>
        </w:rPr>
      </w:pPr>
      <w:r w:rsidRPr="006428F0">
        <w:rPr>
          <w:rFonts w:eastAsia="Calibri"/>
          <w:b/>
          <w:bCs/>
        </w:rPr>
        <w:t xml:space="preserve">Parametry žádosti: </w:t>
      </w:r>
    </w:p>
    <w:p w14:paraId="2C60D34E" w14:textId="77777777" w:rsidR="00B3737E" w:rsidRDefault="00B3737E" w:rsidP="00F56E29">
      <w:pPr>
        <w:jc w:val="both"/>
      </w:pPr>
    </w:p>
    <w:p w14:paraId="584C1CC2" w14:textId="7488E1CB" w:rsidR="00B3737E" w:rsidRPr="00720CD0" w:rsidRDefault="00B523A3" w:rsidP="00F56E29">
      <w:pPr>
        <w:spacing w:after="160" w:line="259" w:lineRule="auto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1F03D7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>Částka k předfinancování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: 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:u w:val="single"/>
          <w14:ligatures w14:val="standardContextual"/>
        </w:rPr>
        <w:t>2</w:t>
      </w:r>
      <w:r w:rsidRPr="00767226">
        <w:rPr>
          <w:rFonts w:asciiTheme="majorHAnsi" w:eastAsia="Calibri" w:hAnsiTheme="majorHAnsi" w:cstheme="majorHAnsi"/>
          <w:kern w:val="2"/>
          <w:sz w:val="22"/>
          <w:szCs w:val="22"/>
          <w:u w:val="single"/>
          <w14:ligatures w14:val="standardContextual"/>
        </w:rPr>
        <w:t> 000 000,- Kč (dva miliony korun českých)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:u w:val="single"/>
          <w14:ligatures w14:val="standardContextual"/>
        </w:rPr>
        <w:t>.</w:t>
      </w:r>
      <w:r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</w:t>
      </w:r>
    </w:p>
    <w:p w14:paraId="1362C74D" w14:textId="77777777" w:rsidR="00B3737E" w:rsidRPr="00720CD0" w:rsidRDefault="00B3737E" w:rsidP="00F56E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51D8CC" w14:textId="774C4B1E" w:rsidR="001F03D7" w:rsidRPr="0049563F" w:rsidRDefault="00B3737E" w:rsidP="00F56E29">
      <w:p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720CD0">
        <w:rPr>
          <w:rFonts w:asciiTheme="majorHAnsi" w:hAnsiTheme="majorHAnsi" w:cstheme="majorHAnsi"/>
          <w:b/>
          <w:bCs/>
          <w:sz w:val="22"/>
          <w:szCs w:val="22"/>
        </w:rPr>
        <w:t>Období výpůjčky</w:t>
      </w:r>
      <w:r w:rsidRPr="00720CD0">
        <w:rPr>
          <w:rFonts w:asciiTheme="majorHAnsi" w:hAnsiTheme="majorHAnsi" w:cstheme="majorHAnsi"/>
          <w:sz w:val="22"/>
          <w:szCs w:val="22"/>
        </w:rPr>
        <w:t xml:space="preserve">: </w:t>
      </w:r>
      <w:r w:rsidRPr="00767226">
        <w:rPr>
          <w:rFonts w:asciiTheme="majorHAnsi" w:hAnsiTheme="majorHAnsi" w:cstheme="majorHAnsi"/>
          <w:sz w:val="22"/>
          <w:szCs w:val="22"/>
          <w:u w:val="single"/>
        </w:rPr>
        <w:t xml:space="preserve">Částku </w:t>
      </w:r>
      <w:r w:rsidR="00C63DBD" w:rsidRPr="00767226">
        <w:rPr>
          <w:rFonts w:asciiTheme="majorHAnsi" w:hAnsiTheme="majorHAnsi" w:cstheme="majorHAnsi"/>
          <w:sz w:val="22"/>
          <w:szCs w:val="22"/>
          <w:u w:val="single"/>
        </w:rPr>
        <w:t>by</w:t>
      </w:r>
      <w:r w:rsidR="00720CD0" w:rsidRPr="00767226">
        <w:rPr>
          <w:rFonts w:asciiTheme="majorHAnsi" w:hAnsiTheme="majorHAnsi" w:cstheme="majorHAnsi"/>
          <w:sz w:val="22"/>
          <w:szCs w:val="22"/>
          <w:u w:val="single"/>
        </w:rPr>
        <w:t>chom si chtěli vypůjčit na období 9/</w:t>
      </w:r>
      <w:proofErr w:type="gramStart"/>
      <w:r w:rsidR="00720CD0" w:rsidRPr="00767226">
        <w:rPr>
          <w:rFonts w:asciiTheme="majorHAnsi" w:hAnsiTheme="majorHAnsi" w:cstheme="majorHAnsi"/>
          <w:sz w:val="22"/>
          <w:szCs w:val="22"/>
          <w:u w:val="single"/>
        </w:rPr>
        <w:t>2023 – 4</w:t>
      </w:r>
      <w:proofErr w:type="gramEnd"/>
      <w:r w:rsidR="00720CD0" w:rsidRPr="00767226">
        <w:rPr>
          <w:rFonts w:asciiTheme="majorHAnsi" w:hAnsiTheme="majorHAnsi" w:cstheme="majorHAnsi"/>
          <w:sz w:val="22"/>
          <w:szCs w:val="22"/>
          <w:u w:val="single"/>
        </w:rPr>
        <w:t>/2024.</w:t>
      </w:r>
      <w:r w:rsidR="00720CD0">
        <w:rPr>
          <w:rFonts w:asciiTheme="majorHAnsi" w:hAnsiTheme="majorHAnsi" w:cstheme="majorHAnsi"/>
          <w:sz w:val="22"/>
          <w:szCs w:val="22"/>
        </w:rPr>
        <w:t xml:space="preserve"> Částka bude přitom </w:t>
      </w:r>
      <w:proofErr w:type="gramStart"/>
      <w:r w:rsidR="00720CD0">
        <w:rPr>
          <w:rFonts w:asciiTheme="majorHAnsi" w:hAnsiTheme="majorHAnsi" w:cstheme="majorHAnsi"/>
          <w:sz w:val="22"/>
          <w:szCs w:val="22"/>
        </w:rPr>
        <w:t>čerpána  pouze</w:t>
      </w:r>
      <w:proofErr w:type="gramEnd"/>
      <w:r w:rsidR="00720CD0">
        <w:rPr>
          <w:rFonts w:asciiTheme="majorHAnsi" w:hAnsiTheme="majorHAnsi" w:cstheme="majorHAnsi"/>
          <w:sz w:val="22"/>
          <w:szCs w:val="22"/>
        </w:rPr>
        <w:t xml:space="preserve"> v období </w:t>
      </w:r>
      <w:r w:rsidR="001F03D7" w:rsidRPr="001F03D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9-12/2023</w:t>
      </w:r>
      <w:r w:rsidR="00720CD0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, tedy bude využita na 4 měsíce. </w:t>
      </w:r>
      <w:r w:rsidR="00720CD0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Další období </w:t>
      </w:r>
      <w:r w:rsidR="00122AC0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(1-4/202</w:t>
      </w:r>
      <w:r w:rsidR="001A0808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4</w:t>
      </w:r>
      <w:r w:rsidR="00122AC0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) </w:t>
      </w:r>
      <w:r w:rsidR="00720CD0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je nezbytné </w:t>
      </w:r>
      <w:r w:rsidR="00767226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pro zahájení formálního procesu financování strategického projektu (uzavření a vyladění smlouvy o poskytnutí dotace, obdržení zálohové platby). </w:t>
      </w:r>
      <w:r w:rsidR="000D0E07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Částka bude vrácena jednorázově </w:t>
      </w:r>
      <w:r w:rsidR="00D57E0D" w:rsidRPr="0049563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nejpozději do 30.4.2024.</w:t>
      </w:r>
    </w:p>
    <w:p w14:paraId="688645A4" w14:textId="77777777" w:rsidR="00767226" w:rsidRPr="00D57E0D" w:rsidRDefault="00767226" w:rsidP="00F56E29">
      <w:pPr>
        <w:jc w:val="both"/>
        <w:rPr>
          <w:rFonts w:asciiTheme="majorHAnsi" w:eastAsia="Calibri" w:hAnsiTheme="majorHAnsi" w:cstheme="majorHAnsi"/>
          <w:color w:val="FF0000"/>
          <w:kern w:val="2"/>
          <w:sz w:val="22"/>
          <w:szCs w:val="22"/>
          <w14:ligatures w14:val="standardContextual"/>
        </w:rPr>
      </w:pPr>
    </w:p>
    <w:p w14:paraId="36937A43" w14:textId="19666375" w:rsidR="00767226" w:rsidRDefault="00767226" w:rsidP="00F56E29">
      <w:p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 w:rsidRPr="00767226"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>Způsob využití dotace:</w:t>
      </w:r>
      <w:r>
        <w:rPr>
          <w:rFonts w:asciiTheme="majorHAnsi" w:eastAsia="Calibri" w:hAnsiTheme="majorHAnsi" w:cstheme="majorHAns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767226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Částka bude využita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</w:t>
      </w:r>
      <w:r w:rsidR="007B5FA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pro realizaci aktivit strategického projektu, které musí být zahájené v období září až prosinec 2023 a nesnesou dalšího odkladu. Bude čerpána především na </w:t>
      </w:r>
      <w:r w:rsidR="00240BA7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osobní</w:t>
      </w:r>
      <w:r w:rsidR="007B5FA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náklady klíčových pracovníků, kteří aktivity </w:t>
      </w:r>
      <w:r w:rsidR="004432C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budou zajišťovat, a </w:t>
      </w:r>
      <w:r w:rsidR="0004099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na doprovodné výdaje</w:t>
      </w:r>
      <w:r w:rsidR="0098746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(nákup služeb, cestovné)</w:t>
      </w:r>
      <w:r w:rsidR="0004099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, které se zajištěním aktivit 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nutně </w:t>
      </w:r>
      <w:r w:rsidR="00F56E2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souvisejí</w:t>
      </w:r>
      <w:r w:rsidR="007B5FA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. 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V</w:t>
      </w:r>
      <w:r w:rsidR="004432C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ýše osobních nákladů </w:t>
      </w:r>
      <w:r w:rsidR="0098746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klíčových pracovníků, stejně jako další doprovodné výdaje, </w:t>
      </w:r>
      <w:r w:rsidR="006A486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se </w:t>
      </w:r>
      <w:r w:rsidR="0084714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bud</w:t>
      </w:r>
      <w:r w:rsidR="0098746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ou</w:t>
      </w:r>
      <w:r w:rsidR="0084714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</w:t>
      </w:r>
      <w:r w:rsidR="006A486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přesně říd</w:t>
      </w:r>
      <w:r w:rsidR="00847144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it</w:t>
      </w:r>
      <w:r w:rsidR="006A486F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podmínkami stanovenými ve výzvě pro strategické projekty</w:t>
      </w:r>
      <w:r w:rsidR="00CA742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a bude dále konzultován</w:t>
      </w:r>
      <w:r w:rsidR="0098746C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y</w:t>
      </w:r>
      <w:r w:rsidR="00CA7429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 s řídícím orgánem. </w:t>
      </w:r>
      <w:r w:rsidR="00EC0A1B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Částka bude využita k zahájení a realizaci těchto aktivit projektu:</w:t>
      </w:r>
    </w:p>
    <w:p w14:paraId="09577298" w14:textId="080244D1" w:rsidR="00EC0A1B" w:rsidRDefault="00A535B7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lastRenderedPageBreak/>
        <w:t xml:space="preserve">Konzultační činnost v oblasti zapojení firem do výzvy </w:t>
      </w:r>
      <w:r w:rsidR="00DB087A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na vzdělávání zaměstnanců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608BF48B" w14:textId="5A16BA13" w:rsidR="006D6CD8" w:rsidRDefault="00DB087A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Hodnocení transformačních plánů podniků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0E82A212" w14:textId="34ED54ED" w:rsidR="00DB087A" w:rsidRDefault="00DB087A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Aktualizace regionální vzdělávací strategie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669117A3" w14:textId="0FDFE2C4" w:rsidR="00DB087A" w:rsidRDefault="00DB087A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Zahájení profesně poradenské činnosti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0FE63660" w14:textId="1B0B2470" w:rsidR="00DB087A" w:rsidRDefault="00DB087A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Příprava webového prostředí pro služby strategického projektu</w:t>
      </w:r>
      <w:r w:rsidR="00D76095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.</w:t>
      </w:r>
    </w:p>
    <w:p w14:paraId="2B44C04D" w14:textId="792B9E4C" w:rsidR="00DB087A" w:rsidRDefault="00DB087A" w:rsidP="00F56E29">
      <w:pPr>
        <w:pStyle w:val="Odstavecseseznamem"/>
        <w:numPr>
          <w:ilvl w:val="0"/>
          <w:numId w:val="4"/>
        </w:num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Propagace a zvyšování povědomí o službách strategického projektu.</w:t>
      </w:r>
    </w:p>
    <w:p w14:paraId="366FB451" w14:textId="77777777" w:rsidR="008E7349" w:rsidRDefault="008E7349" w:rsidP="00F56E29">
      <w:pPr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</w:p>
    <w:p w14:paraId="50726199" w14:textId="77777777" w:rsidR="008E7349" w:rsidRDefault="008E7349" w:rsidP="00600F5D">
      <w:pPr>
        <w:ind w:left="60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</w:p>
    <w:p w14:paraId="5DA2084E" w14:textId="2E48D51F" w:rsidR="00600F5D" w:rsidRDefault="00600F5D" w:rsidP="00600F5D">
      <w:pPr>
        <w:ind w:left="60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 xml:space="preserve">Jménem týmu MS Paktu děkuji orgánům Moravskoslezského kraje za zvážení této žádosti. 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</w:p>
    <w:p w14:paraId="0EADCE3D" w14:textId="77777777" w:rsidR="00600F5D" w:rsidRDefault="00600F5D" w:rsidP="00600F5D">
      <w:pPr>
        <w:ind w:left="60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</w:p>
    <w:p w14:paraId="38AAE1FA" w14:textId="644B3D39" w:rsidR="00600F5D" w:rsidRDefault="00600F5D" w:rsidP="00600F5D">
      <w:pPr>
        <w:ind w:left="60"/>
        <w:jc w:val="both"/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</w:pP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ab/>
      </w:r>
      <w:r w:rsidRPr="00600F5D"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Martin Navrátil</w:t>
      </w:r>
      <w:r>
        <w:rPr>
          <w:rFonts w:asciiTheme="majorHAnsi" w:eastAsia="Calibri" w:hAnsiTheme="majorHAnsi" w:cstheme="majorHAnsi"/>
          <w:kern w:val="2"/>
          <w:sz w:val="22"/>
          <w:szCs w:val="22"/>
          <w14:ligatures w14:val="standardContextual"/>
        </w:rPr>
        <w:t>, ředitel</w:t>
      </w:r>
    </w:p>
    <w:sectPr w:rsidR="00600F5D" w:rsidSect="00B91A98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2125" w:right="112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5D668" w14:textId="77777777" w:rsidR="007F1CD3" w:rsidRDefault="007F1CD3" w:rsidP="00CB7549">
      <w:r>
        <w:separator/>
      </w:r>
    </w:p>
  </w:endnote>
  <w:endnote w:type="continuationSeparator" w:id="0">
    <w:p w14:paraId="078DAB71" w14:textId="77777777" w:rsidR="007F1CD3" w:rsidRDefault="007F1CD3" w:rsidP="00CB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fra">
    <w:altName w:val="Calibri"/>
    <w:charset w:val="00"/>
    <w:family w:val="swiss"/>
    <w:pitch w:val="variable"/>
    <w:sig w:usb0="A00022EF" w:usb1="D000A05B" w:usb2="00000008" w:usb3="00000000" w:csb0="000000DF" w:csb1="00000000"/>
  </w:font>
  <w:font w:name="Effra Light">
    <w:altName w:val="Calibri"/>
    <w:charset w:val="00"/>
    <w:family w:val="swiss"/>
    <w:pitch w:val="variable"/>
    <w:sig w:usb0="A00022E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7E66" w14:textId="7A20E824" w:rsidR="001A0808" w:rsidRDefault="001A08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76AAF5" wp14:editId="387348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F927DF" w14:textId="4B7B69C8" w:rsidR="001A0808" w:rsidRPr="001A0808" w:rsidRDefault="001A0808" w:rsidP="001A08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A08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6AAF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2F927DF" w14:textId="4B7B69C8" w:rsidR="001A0808" w:rsidRPr="001A0808" w:rsidRDefault="001A0808" w:rsidP="001A08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A08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775E" w14:textId="207156E7" w:rsidR="00CB7549" w:rsidRDefault="001A0808" w:rsidP="004F639E">
    <w:pPr>
      <w:ind w:right="-1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1FAF9D" wp14:editId="1CE97AE8">
              <wp:simplePos x="628650" y="97155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FA7C4" w14:textId="0D13C3D4" w:rsidR="001A0808" w:rsidRPr="001A0808" w:rsidRDefault="001A0808" w:rsidP="001A08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A08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1FAF9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083FA7C4" w14:textId="0D13C3D4" w:rsidR="001A0808" w:rsidRPr="001A0808" w:rsidRDefault="001A0808" w:rsidP="001A08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A08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4D3F">
      <w:rPr>
        <w:noProof/>
      </w:rPr>
      <w:drawing>
        <wp:inline distT="0" distB="0" distL="0" distR="0" wp14:anchorId="6A2B57CD" wp14:editId="375D2807">
          <wp:extent cx="6182360" cy="334010"/>
          <wp:effectExtent l="0" t="0" r="8890" b="889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2360" cy="33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094BA9" w14:textId="65C1BCA3" w:rsidR="00CB7549" w:rsidRDefault="001E4D3F" w:rsidP="001E4D3F">
    <w:pPr>
      <w:tabs>
        <w:tab w:val="left" w:pos="153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B84" w14:textId="257A5A69" w:rsidR="001A0808" w:rsidRDefault="001A080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EB3FAA" wp14:editId="447544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FBD04" w14:textId="79231578" w:rsidR="001A0808" w:rsidRPr="001A0808" w:rsidRDefault="001A0808" w:rsidP="001A080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A080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B3F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69FBD04" w14:textId="79231578" w:rsidR="001A0808" w:rsidRPr="001A0808" w:rsidRDefault="001A0808" w:rsidP="001A080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A080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804A" w14:textId="77777777" w:rsidR="007F1CD3" w:rsidRDefault="007F1CD3" w:rsidP="00CB7549">
      <w:r>
        <w:separator/>
      </w:r>
    </w:p>
  </w:footnote>
  <w:footnote w:type="continuationSeparator" w:id="0">
    <w:p w14:paraId="7039FCBE" w14:textId="77777777" w:rsidR="007F1CD3" w:rsidRDefault="007F1CD3" w:rsidP="00CB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13CE" w14:textId="5FF5FFF6" w:rsidR="00CB7549" w:rsidRDefault="00CB7549" w:rsidP="00CB7549">
    <w:r>
      <w:rPr>
        <w:noProof/>
      </w:rPr>
      <w:drawing>
        <wp:anchor distT="0" distB="0" distL="114300" distR="114300" simplePos="0" relativeHeight="251659264" behindDoc="1" locked="0" layoutInCell="1" allowOverlap="1" wp14:anchorId="5DB6BCD6" wp14:editId="7B6965BE">
          <wp:simplePos x="0" y="0"/>
          <wp:positionH relativeFrom="column">
            <wp:posOffset>-3211</wp:posOffset>
          </wp:positionH>
          <wp:positionV relativeFrom="paragraph">
            <wp:posOffset>96520</wp:posOffset>
          </wp:positionV>
          <wp:extent cx="2316476" cy="2185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hlav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76" cy="21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29183" w14:textId="52F22B7B" w:rsidR="00CB7549" w:rsidRDefault="00772E9F" w:rsidP="00772E9F">
    <w:pPr>
      <w:tabs>
        <w:tab w:val="left" w:pos="7576"/>
      </w:tabs>
    </w:pPr>
    <w:r>
      <w:tab/>
    </w:r>
    <w:r w:rsidR="0049563F">
      <w:t xml:space="preserve">            </w:t>
    </w:r>
    <w:r>
      <w:t>P</w:t>
    </w:r>
    <w:r w:rsidR="0049563F">
      <w:t>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2.5pt;height:32.5pt" o:bullet="t">
        <v:imagedata r:id="rId1" o:title="Datový zdroj 3"/>
      </v:shape>
    </w:pict>
  </w:numPicBullet>
  <w:numPicBullet w:numPicBulletId="1">
    <w:pict>
      <v:shape id="_x0000_i1061" type="#_x0000_t75" style="width:3in;height:3in" o:bullet="t"/>
    </w:pict>
  </w:numPicBullet>
  <w:numPicBullet w:numPicBulletId="2">
    <w:pict>
      <v:shape id="_x0000_i1062" type="#_x0000_t75" style="width:99.5pt;height:142pt" o:bullet="t">
        <v:imagedata r:id="rId2" o:title="P"/>
      </v:shape>
    </w:pict>
  </w:numPicBullet>
  <w:abstractNum w:abstractNumId="0" w15:restartNumberingAfterBreak="0">
    <w:nsid w:val="00AD0D4B"/>
    <w:multiLevelType w:val="hybridMultilevel"/>
    <w:tmpl w:val="28FA890A"/>
    <w:lvl w:ilvl="0" w:tplc="E0ACC14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66AEF"/>
    <w:multiLevelType w:val="hybridMultilevel"/>
    <w:tmpl w:val="AB5EB1CA"/>
    <w:lvl w:ilvl="0" w:tplc="77E638F6">
      <w:numFmt w:val="bullet"/>
      <w:lvlText w:val="-"/>
      <w:lvlJc w:val="left"/>
      <w:pPr>
        <w:ind w:left="420" w:hanging="360"/>
      </w:pPr>
      <w:rPr>
        <w:rFonts w:ascii="Calibri Light" w:eastAsia="Calibri" w:hAnsi="Calibri Light" w:cs="Calibri Light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B5D73E5"/>
    <w:multiLevelType w:val="hybridMultilevel"/>
    <w:tmpl w:val="AC666092"/>
    <w:lvl w:ilvl="0" w:tplc="2C0EA1B6">
      <w:start w:val="1"/>
      <w:numFmt w:val="bullet"/>
      <w:pStyle w:val="MSIDodrky"/>
      <w:lvlText w:val=""/>
      <w:lvlPicBulletId w:val="2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19088">
    <w:abstractNumId w:val="0"/>
  </w:num>
  <w:num w:numId="2" w16cid:durableId="471749382">
    <w:abstractNumId w:val="0"/>
    <w:lvlOverride w:ilvl="0">
      <w:startOverride w:val="1"/>
    </w:lvlOverride>
  </w:num>
  <w:num w:numId="3" w16cid:durableId="1932273638">
    <w:abstractNumId w:val="2"/>
  </w:num>
  <w:num w:numId="4" w16cid:durableId="9306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80"/>
    <w:rsid w:val="0004099C"/>
    <w:rsid w:val="000C2F1E"/>
    <w:rsid w:val="000D0E07"/>
    <w:rsid w:val="00122AC0"/>
    <w:rsid w:val="00137186"/>
    <w:rsid w:val="001975ED"/>
    <w:rsid w:val="001A0808"/>
    <w:rsid w:val="001D27B9"/>
    <w:rsid w:val="001E4D3F"/>
    <w:rsid w:val="001E5335"/>
    <w:rsid w:val="001F03D7"/>
    <w:rsid w:val="00240BA7"/>
    <w:rsid w:val="003D003A"/>
    <w:rsid w:val="00404958"/>
    <w:rsid w:val="004432CB"/>
    <w:rsid w:val="0049563F"/>
    <w:rsid w:val="004F639E"/>
    <w:rsid w:val="00595980"/>
    <w:rsid w:val="00600F5D"/>
    <w:rsid w:val="006324AB"/>
    <w:rsid w:val="006428F0"/>
    <w:rsid w:val="006A486F"/>
    <w:rsid w:val="006D6CD8"/>
    <w:rsid w:val="00720CD0"/>
    <w:rsid w:val="00767226"/>
    <w:rsid w:val="0076744D"/>
    <w:rsid w:val="00772E9F"/>
    <w:rsid w:val="007B5FA4"/>
    <w:rsid w:val="007F1CD3"/>
    <w:rsid w:val="008004FC"/>
    <w:rsid w:val="00847144"/>
    <w:rsid w:val="008E7349"/>
    <w:rsid w:val="0098746C"/>
    <w:rsid w:val="009E5C05"/>
    <w:rsid w:val="00A269DF"/>
    <w:rsid w:val="00A535B7"/>
    <w:rsid w:val="00B3737E"/>
    <w:rsid w:val="00B523A3"/>
    <w:rsid w:val="00B91A98"/>
    <w:rsid w:val="00BF00F0"/>
    <w:rsid w:val="00C53856"/>
    <w:rsid w:val="00C63DBD"/>
    <w:rsid w:val="00CA7429"/>
    <w:rsid w:val="00CB7549"/>
    <w:rsid w:val="00D01B2E"/>
    <w:rsid w:val="00D226E9"/>
    <w:rsid w:val="00D57E0D"/>
    <w:rsid w:val="00D62E3C"/>
    <w:rsid w:val="00D76095"/>
    <w:rsid w:val="00DB087A"/>
    <w:rsid w:val="00EC0A1B"/>
    <w:rsid w:val="00EC70C8"/>
    <w:rsid w:val="00F25F3B"/>
    <w:rsid w:val="00F55062"/>
    <w:rsid w:val="00F56E29"/>
    <w:rsid w:val="00F87AB3"/>
    <w:rsid w:val="37F6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505251"/>
  <w14:defaultImageDpi w14:val="32767"/>
  <w15:chartTrackingRefBased/>
  <w15:docId w15:val="{0519B1C6-18EC-0341-B864-0ABA52BF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2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75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IDodrky">
    <w:name w:val="MSID_odrážky"/>
    <w:basedOn w:val="Normln"/>
    <w:next w:val="Normln"/>
    <w:autoRedefine/>
    <w:qFormat/>
    <w:rsid w:val="00B91A98"/>
    <w:pPr>
      <w:numPr>
        <w:numId w:val="3"/>
      </w:numPr>
      <w:spacing w:before="120" w:after="120"/>
      <w:jc w:val="both"/>
    </w:pPr>
    <w:rPr>
      <w:rFonts w:ascii="Effra" w:hAnsi="Effra"/>
      <w:color w:val="595959" w:themeColor="text1" w:themeTint="A6"/>
      <w:sz w:val="22"/>
    </w:rPr>
  </w:style>
  <w:style w:type="paragraph" w:customStyle="1" w:styleId="MSIDtext">
    <w:name w:val="MSID_text"/>
    <w:basedOn w:val="Normln"/>
    <w:qFormat/>
    <w:rsid w:val="00D226E9"/>
    <w:rPr>
      <w:rFonts w:ascii="Effra Light" w:hAnsi="Effra Light" w:cs="Effra Light"/>
      <w:color w:val="595959" w:themeColor="text1" w:themeTint="A6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CB75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75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91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1A98"/>
  </w:style>
  <w:style w:type="paragraph" w:styleId="Zpat">
    <w:name w:val="footer"/>
    <w:basedOn w:val="Normln"/>
    <w:link w:val="ZpatChar"/>
    <w:uiPriority w:val="99"/>
    <w:unhideWhenUsed/>
    <w:rsid w:val="00B91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1A98"/>
  </w:style>
  <w:style w:type="character" w:customStyle="1" w:styleId="Nadpis1Char">
    <w:name w:val="Nadpis 1 Char"/>
    <w:basedOn w:val="Standardnpsmoodstavce"/>
    <w:link w:val="Nadpis1"/>
    <w:uiPriority w:val="9"/>
    <w:rsid w:val="0064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428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C0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0760b-fa70-4ae2-a311-6cb490b44458">
      <Terms xmlns="http://schemas.microsoft.com/office/infopath/2007/PartnerControls"/>
    </lcf76f155ced4ddcb4097134ff3c332f>
    <TaxCatchAll xmlns="74d53af6-1c70-4c32-ac6b-be9a7d448f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227AE40F00A0479E2EFF0235895E92" ma:contentTypeVersion="17" ma:contentTypeDescription="Vytvoří nový dokument" ma:contentTypeScope="" ma:versionID="d710d9a9647ae0e1bcad0b3b38428305">
  <xsd:schema xmlns:xsd="http://www.w3.org/2001/XMLSchema" xmlns:xs="http://www.w3.org/2001/XMLSchema" xmlns:p="http://schemas.microsoft.com/office/2006/metadata/properties" xmlns:ns2="2870760b-fa70-4ae2-a311-6cb490b44458" xmlns:ns3="74d53af6-1c70-4c32-ac6b-be9a7d448fae" targetNamespace="http://schemas.microsoft.com/office/2006/metadata/properties" ma:root="true" ma:fieldsID="ab713e440c442862a945ab9dd9463f0c" ns2:_="" ns3:_="">
    <xsd:import namespace="2870760b-fa70-4ae2-a311-6cb490b44458"/>
    <xsd:import namespace="74d53af6-1c70-4c32-ac6b-be9a7d448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0760b-fa70-4ae2-a311-6cb490b44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d6d43304-2fc6-4c2e-b53c-b5cba0887f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53af6-1c70-4c32-ac6b-be9a7d448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390bdf-b965-4ac1-9d13-abaa346db036}" ma:internalName="TaxCatchAll" ma:showField="CatchAllData" ma:web="74d53af6-1c70-4c32-ac6b-be9a7d448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B18DC-CA69-4A44-BACA-E4BEC9A22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9DE1D-2952-4E11-AC7F-A190630CAA78}">
  <ds:schemaRefs>
    <ds:schemaRef ds:uri="http://schemas.microsoft.com/office/2006/metadata/properties"/>
    <ds:schemaRef ds:uri="http://schemas.microsoft.com/office/infopath/2007/PartnerControls"/>
    <ds:schemaRef ds:uri="2870760b-fa70-4ae2-a311-6cb490b44458"/>
    <ds:schemaRef ds:uri="74d53af6-1c70-4c32-ac6b-be9a7d448fae"/>
  </ds:schemaRefs>
</ds:datastoreItem>
</file>

<file path=customXml/itemProps3.xml><?xml version="1.0" encoding="utf-8"?>
<ds:datastoreItem xmlns:ds="http://schemas.openxmlformats.org/officeDocument/2006/customXml" ds:itemID="{3884DEBD-8FD5-41B2-8DD6-77F933F7A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0760b-fa70-4ae2-a311-6cb490b44458"/>
    <ds:schemaRef ds:uri="74d53af6-1c70-4c32-ac6b-be9a7d448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Štefková</dc:creator>
  <cp:keywords/>
  <dc:description/>
  <cp:lastModifiedBy>Mazurová Veronika</cp:lastModifiedBy>
  <cp:revision>7</cp:revision>
  <dcterms:created xsi:type="dcterms:W3CDTF">2023-08-09T14:43:00Z</dcterms:created>
  <dcterms:modified xsi:type="dcterms:W3CDTF">2023-08-14T09:21:00Z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0x010100D4227AE40F00A0479E2EFF0235895E92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#000000,9,Calibri</vt:lpwstr>
  </property>
  <property fmtid="{D5CDD505-2E9C-101B-9397-08002B2CF9AE}" pid="6" name="ClassificationContentMarkingFooterText">
    <vt:lpwstr>Klasifikace informací: Neveřejné</vt:lpwstr>
  </property>
  <property fmtid="{D5CDD505-2E9C-101B-9397-08002B2CF9AE}" pid="7" name="MSIP_Label_215ad6d0-798b-44f9-b3fd-112ad6275fb4_Enabled">
    <vt:lpwstr>true</vt:lpwstr>
  </property>
  <property fmtid="{D5CDD505-2E9C-101B-9397-08002B2CF9AE}" pid="8" name="MSIP_Label_215ad6d0-798b-44f9-b3fd-112ad6275fb4_SetDate">
    <vt:lpwstr>2023-08-09T14:43:38Z</vt:lpwstr>
  </property>
  <property fmtid="{D5CDD505-2E9C-101B-9397-08002B2CF9AE}" pid="9" name="MSIP_Label_215ad6d0-798b-44f9-b3fd-112ad6275fb4_Method">
    <vt:lpwstr>Standard</vt:lpwstr>
  </property>
  <property fmtid="{D5CDD505-2E9C-101B-9397-08002B2CF9AE}" pid="10" name="MSIP_Label_215ad6d0-798b-44f9-b3fd-112ad6275fb4_Name">
    <vt:lpwstr>Neveřejná informace (popis)</vt:lpwstr>
  </property>
  <property fmtid="{D5CDD505-2E9C-101B-9397-08002B2CF9AE}" pid="11" name="MSIP_Label_215ad6d0-798b-44f9-b3fd-112ad6275fb4_SiteId">
    <vt:lpwstr>39f24d0b-aa30-4551-8e81-43c77cf1000e</vt:lpwstr>
  </property>
  <property fmtid="{D5CDD505-2E9C-101B-9397-08002B2CF9AE}" pid="12" name="MSIP_Label_215ad6d0-798b-44f9-b3fd-112ad6275fb4_ActionId">
    <vt:lpwstr>42867732-f9fa-4742-9981-61f9134b3fae</vt:lpwstr>
  </property>
  <property fmtid="{D5CDD505-2E9C-101B-9397-08002B2CF9AE}" pid="13" name="MSIP_Label_215ad6d0-798b-44f9-b3fd-112ad6275fb4_ContentBits">
    <vt:lpwstr>2</vt:lpwstr>
  </property>
</Properties>
</file>