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4FC1" w14:textId="77777777" w:rsidR="00FA6ACF" w:rsidRPr="00FA6ACF" w:rsidRDefault="00FA6ACF" w:rsidP="00FA6ACF">
      <w:pPr>
        <w:spacing w:after="12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FA6AC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Dohoda o narovnání</w:t>
      </w:r>
      <w:r w:rsidRPr="00FA6AC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</w:r>
      <w:r w:rsidRPr="00FA6ACF">
        <w:rPr>
          <w:rFonts w:ascii="Tahoma" w:eastAsia="Times New Roman" w:hAnsi="Tahoma" w:cs="Tahoma"/>
          <w:b/>
          <w:bCs/>
          <w:lang w:eastAsia="cs-CZ"/>
        </w:rPr>
        <w:t>ke smlouvě o partnerství s finančním příspěvkem v rámci programu ERASMUS+ ev. číslo [</w:t>
      </w:r>
      <w:r w:rsidRPr="00FA6ACF">
        <w:rPr>
          <w:rFonts w:ascii="Tahoma" w:eastAsia="Times New Roman" w:hAnsi="Tahoma" w:cs="Tahoma"/>
          <w:b/>
          <w:bCs/>
          <w:highlight w:val="yellow"/>
          <w:lang w:eastAsia="cs-CZ"/>
        </w:rPr>
        <w:t>DOPLNIT</w:t>
      </w:r>
      <w:r w:rsidRPr="00FA6ACF">
        <w:rPr>
          <w:rFonts w:ascii="Tahoma" w:eastAsia="Times New Roman" w:hAnsi="Tahoma" w:cs="Tahoma"/>
          <w:b/>
          <w:bCs/>
          <w:lang w:eastAsia="cs-CZ"/>
        </w:rPr>
        <w:t>]</w:t>
      </w:r>
    </w:p>
    <w:p w14:paraId="77CF4FE3" w14:textId="77777777" w:rsidR="00FA6ACF" w:rsidRPr="00FA6ACF" w:rsidRDefault="00FA6ACF" w:rsidP="00FA6ACF">
      <w:pPr>
        <w:spacing w:before="360"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I.</w:t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br/>
        <w:t>Smluvní strany</w:t>
      </w:r>
    </w:p>
    <w:p w14:paraId="6738C12E" w14:textId="77777777" w:rsidR="00FA6ACF" w:rsidRPr="00FA6ACF" w:rsidRDefault="00FA6ACF" w:rsidP="00FA6ACF">
      <w:pPr>
        <w:keepNext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Moravskoslezský kraj</w:t>
      </w:r>
    </w:p>
    <w:p w14:paraId="0757FC86" w14:textId="77777777" w:rsidR="00FA6ACF" w:rsidRPr="00FA6ACF" w:rsidRDefault="00FA6ACF" w:rsidP="00FA6AC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se sídlem: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  <w:t>28. října 117, 702 18 Ostrava</w:t>
      </w:r>
    </w:p>
    <w:p w14:paraId="557F48FD" w14:textId="77777777" w:rsidR="00FA6ACF" w:rsidRPr="00FA6ACF" w:rsidRDefault="00FA6ACF" w:rsidP="00FA6AC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zastoupen: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  <w:t>Janem Krkoškou, MBA, hejtmanem kraje</w:t>
      </w:r>
    </w:p>
    <w:p w14:paraId="0F20077A" w14:textId="77777777" w:rsidR="00FA6ACF" w:rsidRPr="00FA6ACF" w:rsidRDefault="00FA6ACF" w:rsidP="00FA6AC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IČO: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  <w:t>70890692</w:t>
      </w:r>
    </w:p>
    <w:p w14:paraId="5ACB8692" w14:textId="77777777" w:rsidR="00FA6ACF" w:rsidRPr="00FA6ACF" w:rsidRDefault="00FA6ACF" w:rsidP="00FA6AC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DIČ: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  <w:t>CZ70890692</w:t>
      </w:r>
    </w:p>
    <w:p w14:paraId="4CF6722B" w14:textId="77777777" w:rsidR="00FA6ACF" w:rsidRPr="00FA6ACF" w:rsidRDefault="00FA6ACF" w:rsidP="00FA6AC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bankovní spojení: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  <w:t>2014002401/6000</w:t>
      </w:r>
    </w:p>
    <w:p w14:paraId="2586C160" w14:textId="77777777" w:rsidR="00FA6ACF" w:rsidRPr="00FA6ACF" w:rsidRDefault="00FA6ACF" w:rsidP="00FA6ACF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(dále jen „Příjemce“)</w:t>
      </w:r>
    </w:p>
    <w:p w14:paraId="3DB54CFA" w14:textId="77777777" w:rsidR="00FA6ACF" w:rsidRPr="00FA6ACF" w:rsidRDefault="00FA6ACF" w:rsidP="00FA6ACF">
      <w:pPr>
        <w:keepNext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FA6AC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]</w:t>
      </w:r>
    </w:p>
    <w:p w14:paraId="6F56E923" w14:textId="77777777" w:rsidR="00FA6ACF" w:rsidRPr="00FA6ACF" w:rsidRDefault="00FA6ACF" w:rsidP="00FA6AC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se sídlem: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FA6AC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]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</w:t>
      </w:r>
    </w:p>
    <w:p w14:paraId="743AC724" w14:textId="77777777" w:rsidR="00FA6ACF" w:rsidRPr="00FA6ACF" w:rsidRDefault="00FA6ACF" w:rsidP="00FA6AC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zastoupena: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FA6AC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]</w:t>
      </w:r>
    </w:p>
    <w:p w14:paraId="0DF6B1C8" w14:textId="77777777" w:rsidR="00FA6ACF" w:rsidRPr="00FA6ACF" w:rsidRDefault="00FA6ACF" w:rsidP="00FA6AC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 xml:space="preserve">bankovní spojení: 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FA6AC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]</w:t>
      </w:r>
    </w:p>
    <w:p w14:paraId="4C0F0951" w14:textId="77777777" w:rsidR="00FA6ACF" w:rsidRPr="00FA6ACF" w:rsidRDefault="00FA6ACF" w:rsidP="00FA6AC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7E54316" w14:textId="77777777" w:rsidR="00FA6ACF" w:rsidRPr="00FA6ACF" w:rsidRDefault="00FA6ACF" w:rsidP="00FA6AC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 xml:space="preserve">(dále jen „Partner“) </w:t>
      </w:r>
    </w:p>
    <w:p w14:paraId="314B9AF4" w14:textId="77777777" w:rsidR="00FA6ACF" w:rsidRPr="00FA6ACF" w:rsidRDefault="00FA6ACF" w:rsidP="00FA6ACF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FA6ACF">
        <w:rPr>
          <w:rFonts w:ascii="Tahoma" w:eastAsia="Times New Roman" w:hAnsi="Tahoma" w:cs="Tahoma"/>
          <w:b/>
          <w:lang w:eastAsia="cs-CZ"/>
        </w:rPr>
        <w:t>II.</w:t>
      </w:r>
      <w:r w:rsidRPr="00FA6ACF">
        <w:rPr>
          <w:rFonts w:ascii="Tahoma" w:eastAsia="Times New Roman" w:hAnsi="Tahoma" w:cs="Tahoma"/>
          <w:b/>
          <w:lang w:eastAsia="cs-CZ"/>
        </w:rPr>
        <w:br/>
        <w:t>Základní ustanovení</w:t>
      </w:r>
    </w:p>
    <w:p w14:paraId="3C845523" w14:textId="77777777" w:rsidR="00FA6ACF" w:rsidRPr="00FA6ACF" w:rsidRDefault="00FA6ACF" w:rsidP="00FA6ACF">
      <w:pPr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sz w:val="20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Smluvní strany uzavřely dne </w:t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FA6AC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] 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 xml:space="preserve">smlouvu o partnerství s finančním příspěvkem v rámci programu ERASMUS+ ev. č. </w:t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[</w:t>
      </w:r>
      <w:r w:rsidRPr="00FA6AC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]</w:t>
      </w:r>
      <w:r w:rsidRPr="00FA6AC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(dále jen „smlouva“), jejímž předmětem </w:t>
      </w:r>
      <w:r w:rsidRPr="00FA6ACF">
        <w:rPr>
          <w:rFonts w:ascii="Tahoma" w:hAnsi="Tahoma" w:cs="Tahoma"/>
          <w:sz w:val="20"/>
        </w:rPr>
        <w:t>je úprava právního postavení Příjemce a jeho Partnera, jejich úloh a odpovědnosti, jakož i úprava jejich vzájemných práv a povinností při realizaci projektu „</w:t>
      </w:r>
      <w:proofErr w:type="spellStart"/>
      <w:r w:rsidRPr="00FA6ACF">
        <w:rPr>
          <w:rFonts w:ascii="Tahoma" w:hAnsi="Tahoma" w:cs="Tahoma"/>
          <w:sz w:val="20"/>
        </w:rPr>
        <w:t>Supporting</w:t>
      </w:r>
      <w:proofErr w:type="spellEnd"/>
      <w:r w:rsidRPr="00FA6ACF">
        <w:rPr>
          <w:rFonts w:ascii="Tahoma" w:hAnsi="Tahoma" w:cs="Tahoma"/>
          <w:sz w:val="20"/>
        </w:rPr>
        <w:t xml:space="preserve"> </w:t>
      </w:r>
      <w:proofErr w:type="spellStart"/>
      <w:r w:rsidRPr="00FA6ACF">
        <w:rPr>
          <w:rFonts w:ascii="Tahoma" w:hAnsi="Tahoma" w:cs="Tahoma"/>
          <w:sz w:val="20"/>
        </w:rPr>
        <w:t>attractiveness</w:t>
      </w:r>
      <w:proofErr w:type="spellEnd"/>
      <w:r w:rsidRPr="00FA6ACF">
        <w:rPr>
          <w:rFonts w:ascii="Tahoma" w:hAnsi="Tahoma" w:cs="Tahoma"/>
          <w:sz w:val="20"/>
        </w:rPr>
        <w:t xml:space="preserve"> </w:t>
      </w:r>
      <w:proofErr w:type="spellStart"/>
      <w:r w:rsidRPr="00FA6ACF">
        <w:rPr>
          <w:rFonts w:ascii="Tahoma" w:hAnsi="Tahoma" w:cs="Tahoma"/>
          <w:sz w:val="20"/>
        </w:rPr>
        <w:t>of</w:t>
      </w:r>
      <w:proofErr w:type="spellEnd"/>
      <w:r w:rsidRPr="00FA6ACF">
        <w:rPr>
          <w:rFonts w:ascii="Tahoma" w:hAnsi="Tahoma" w:cs="Tahoma"/>
          <w:sz w:val="20"/>
        </w:rPr>
        <w:t xml:space="preserve"> </w:t>
      </w:r>
      <w:proofErr w:type="spellStart"/>
      <w:r w:rsidRPr="00FA6ACF">
        <w:rPr>
          <w:rFonts w:ascii="Tahoma" w:hAnsi="Tahoma" w:cs="Tahoma"/>
          <w:sz w:val="20"/>
        </w:rPr>
        <w:t>health</w:t>
      </w:r>
      <w:proofErr w:type="spellEnd"/>
      <w:r w:rsidRPr="00FA6ACF">
        <w:rPr>
          <w:rFonts w:ascii="Tahoma" w:hAnsi="Tahoma" w:cs="Tahoma"/>
          <w:sz w:val="20"/>
        </w:rPr>
        <w:t xml:space="preserve"> and </w:t>
      </w:r>
      <w:proofErr w:type="spellStart"/>
      <w:r w:rsidRPr="00FA6ACF">
        <w:rPr>
          <w:rFonts w:ascii="Tahoma" w:hAnsi="Tahoma" w:cs="Tahoma"/>
          <w:sz w:val="20"/>
        </w:rPr>
        <w:t>social</w:t>
      </w:r>
      <w:proofErr w:type="spellEnd"/>
      <w:r w:rsidRPr="00FA6ACF">
        <w:rPr>
          <w:rFonts w:ascii="Tahoma" w:hAnsi="Tahoma" w:cs="Tahoma"/>
          <w:sz w:val="20"/>
        </w:rPr>
        <w:t xml:space="preserve"> care </w:t>
      </w:r>
      <w:proofErr w:type="spellStart"/>
      <w:r w:rsidRPr="00FA6ACF">
        <w:rPr>
          <w:rFonts w:ascii="Tahoma" w:hAnsi="Tahoma" w:cs="Tahoma"/>
          <w:sz w:val="20"/>
        </w:rPr>
        <w:t>professions</w:t>
      </w:r>
      <w:proofErr w:type="spellEnd"/>
      <w:r w:rsidRPr="00FA6ACF">
        <w:rPr>
          <w:rFonts w:ascii="Tahoma" w:hAnsi="Tahoma" w:cs="Tahoma"/>
          <w:sz w:val="20"/>
        </w:rPr>
        <w:t xml:space="preserve"> in </w:t>
      </w:r>
      <w:proofErr w:type="spellStart"/>
      <w:r w:rsidRPr="00FA6ACF">
        <w:rPr>
          <w:rFonts w:ascii="Tahoma" w:hAnsi="Tahoma" w:cs="Tahoma"/>
          <w:sz w:val="20"/>
        </w:rPr>
        <w:t>regions</w:t>
      </w:r>
      <w:proofErr w:type="spellEnd"/>
      <w:r w:rsidRPr="00FA6ACF">
        <w:rPr>
          <w:rFonts w:ascii="Tahoma" w:hAnsi="Tahoma" w:cs="Tahoma"/>
          <w:sz w:val="20"/>
        </w:rPr>
        <w:t>“, č. projektu 2020-1-CZ01-KA202-078220 spolufinancovaného prostřednictvím Operačního programu Erasmus+ (dále jen „projekt“).</w:t>
      </w:r>
    </w:p>
    <w:p w14:paraId="3BC2F908" w14:textId="749115BE" w:rsidR="00FA6ACF" w:rsidRPr="00FA6ACF" w:rsidRDefault="00FA6ACF" w:rsidP="00FA6ACF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Ačkoliv je realizace projektu dle smlouvy do 31. 3. 2023, nedošlo k naplnění všech smluvních závazků, a to zejména k závěrečné platbě dle čl. IV odst. 7 smlouvy.</w:t>
      </w:r>
    </w:p>
    <w:p w14:paraId="41D86F2A" w14:textId="77777777" w:rsidR="00FA6ACF" w:rsidRPr="00FA6ACF" w:rsidRDefault="00FA6ACF" w:rsidP="00FA6ACF">
      <w:pPr>
        <w:spacing w:before="360"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hAnsi="Tahoma" w:cs="Tahoma"/>
          <w:b/>
        </w:rPr>
        <w:t>III.</w:t>
      </w:r>
      <w:r w:rsidRPr="00FA6ACF">
        <w:rPr>
          <w:rFonts w:ascii="Tahoma" w:hAnsi="Tahoma" w:cs="Tahoma"/>
          <w:b/>
        </w:rPr>
        <w:br/>
      </w:r>
      <w:r w:rsidRPr="00FA6ACF">
        <w:rPr>
          <w:rFonts w:ascii="Tahoma" w:eastAsia="Times New Roman" w:hAnsi="Tahoma" w:cs="Tahoma"/>
          <w:b/>
          <w:lang w:eastAsia="cs-CZ"/>
        </w:rPr>
        <w:t>Předmět</w:t>
      </w:r>
      <w:r w:rsidRPr="00FA6ACF">
        <w:rPr>
          <w:rFonts w:ascii="Tahoma" w:hAnsi="Tahoma" w:cs="Tahoma"/>
          <w:b/>
        </w:rPr>
        <w:t xml:space="preserve"> dohody</w:t>
      </w:r>
    </w:p>
    <w:p w14:paraId="14E6D9F5" w14:textId="7D9D26E0" w:rsidR="00FA6ACF" w:rsidRPr="00FA6ACF" w:rsidRDefault="00FA6ACF" w:rsidP="00FA6ACF">
      <w:pPr>
        <w:numPr>
          <w:ilvl w:val="0"/>
          <w:numId w:val="4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 xml:space="preserve">K naplnění závazku dle čl. IV odst. 7 smlouvy se smluvní strany dohodly, že závěrečná platba bude Partnerovi vyplacena nejdříve do 30 dnů od </w:t>
      </w:r>
      <w:r w:rsidR="00F853BA">
        <w:rPr>
          <w:rFonts w:ascii="Tahoma" w:eastAsia="Times New Roman" w:hAnsi="Tahoma" w:cs="Tahoma"/>
          <w:sz w:val="20"/>
          <w:szCs w:val="20"/>
          <w:lang w:eastAsia="cs-CZ"/>
        </w:rPr>
        <w:t xml:space="preserve">nabytí 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 xml:space="preserve">účinnosti této dohody. </w:t>
      </w:r>
    </w:p>
    <w:p w14:paraId="77444A0B" w14:textId="77777777" w:rsidR="00FA6ACF" w:rsidRPr="00FA6ACF" w:rsidRDefault="00FA6ACF" w:rsidP="00FA6ACF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1D97120" w14:textId="77777777" w:rsidR="00FA6ACF" w:rsidRPr="00FA6ACF" w:rsidRDefault="00FA6ACF" w:rsidP="00FA6ACF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IV.</w:t>
      </w:r>
      <w:r w:rsidRPr="00FA6A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br/>
      </w:r>
      <w:r w:rsidRPr="00FA6ACF">
        <w:rPr>
          <w:rFonts w:ascii="Tahoma" w:eastAsia="Times New Roman" w:hAnsi="Tahoma" w:cs="Tahoma"/>
          <w:b/>
          <w:lang w:eastAsia="cs-CZ"/>
        </w:rPr>
        <w:t>Závěrečná ustanovení</w:t>
      </w:r>
    </w:p>
    <w:p w14:paraId="5DD5861B" w14:textId="77777777" w:rsidR="00FA6ACF" w:rsidRPr="00FA6ACF" w:rsidRDefault="00FA6ACF" w:rsidP="00FA6AC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Ustanovení smlouvy touto dohodou neupravená zůstávají v platnosti beze změny.</w:t>
      </w:r>
    </w:p>
    <w:p w14:paraId="63869D76" w14:textId="4B134BDB" w:rsidR="00FA6ACF" w:rsidRPr="00FA6ACF" w:rsidRDefault="00FA6ACF" w:rsidP="00FA6AC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 xml:space="preserve">Tato dohoda je vyhotovena ve třech stejnopisech s platností originálu, podepsaných oprávněnými zástupci smluvních stran, přičemž dvě vyhotovení </w:t>
      </w:r>
      <w:proofErr w:type="gramStart"/>
      <w:r w:rsidRPr="00FA6ACF">
        <w:rPr>
          <w:rFonts w:ascii="Tahoma" w:eastAsia="Times New Roman" w:hAnsi="Tahoma" w:cs="Tahoma"/>
          <w:sz w:val="20"/>
          <w:szCs w:val="20"/>
          <w:lang w:eastAsia="cs-CZ"/>
        </w:rPr>
        <w:t>obdrží</w:t>
      </w:r>
      <w:proofErr w:type="gramEnd"/>
      <w:r w:rsidRPr="00FA6ACF">
        <w:rPr>
          <w:rFonts w:ascii="Tahoma" w:eastAsia="Times New Roman" w:hAnsi="Tahoma" w:cs="Tahoma"/>
          <w:sz w:val="20"/>
          <w:szCs w:val="20"/>
          <w:lang w:eastAsia="cs-CZ"/>
        </w:rPr>
        <w:t xml:space="preserve"> Příjemce a jedno vyhotovení Part</w:t>
      </w:r>
      <w:r w:rsidR="007B7C92">
        <w:rPr>
          <w:rFonts w:ascii="Tahoma" w:eastAsia="Times New Roman" w:hAnsi="Tahoma" w:cs="Tahoma"/>
          <w:sz w:val="20"/>
          <w:szCs w:val="20"/>
          <w:lang w:eastAsia="cs-CZ"/>
        </w:rPr>
        <w:t>n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er. Je-li tato dohoda uzavírána elektronicky, obdrží obě strany její elektronický originál opatřený uznávanými elektronickými podpisy.</w:t>
      </w:r>
    </w:p>
    <w:p w14:paraId="3E53A809" w14:textId="46ADEE80" w:rsidR="00FA6ACF" w:rsidRPr="00FA6ACF" w:rsidRDefault="00FA6ACF" w:rsidP="00FA6AC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Tato dohoda nabývá platnosti jejího podpisu oběma smluvními stranami a účinnosti dnem jeho uveřejnění v registru smluv dle zákona č. 340/2015 Sb., o zvláštních podmínkách účinnosti některých smluv, uveřejňování těchto smluv a o registru smluv (zákon o registru smluv), ve znění pozdějších předpisů (dále jen „zákon o registru smluv“). Smluvní strany se dohodly, že uveřejnění v registru smluv provede Příjemce.</w:t>
      </w:r>
    </w:p>
    <w:p w14:paraId="2A6237E3" w14:textId="77777777" w:rsidR="00FA6ACF" w:rsidRPr="00FA6ACF" w:rsidRDefault="00FA6ACF" w:rsidP="00FA6AC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Smluvní strany shodně prohlašují, že si tuto dohodu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1506D868" w14:textId="77777777" w:rsidR="00FA6ACF" w:rsidRPr="00FA6ACF" w:rsidRDefault="00FA6ACF" w:rsidP="00FA6ACF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Tuto dohodu je v době nepřítomnosti hejtmana kraje oprávněn podepsat jeho zástupce v pořadí určeném usnesením zastupitelstva kraje č. 1/10 ze dne 5. 11. 2020, ve znění usnesení č. 12/1193 ze dne 8. 6. 2023.</w:t>
      </w:r>
    </w:p>
    <w:p w14:paraId="42A8D88F" w14:textId="77777777" w:rsidR="00FA6ACF" w:rsidRPr="00FA6ACF" w:rsidRDefault="00FA6ACF" w:rsidP="00FA6AC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Doložka platnosti právního jednání dle § 23 zákona č. 129/2000 Sb., o krajích (krajské zřízení), ve znění pozdějších předpisů:</w:t>
      </w:r>
    </w:p>
    <w:p w14:paraId="6288CA6D" w14:textId="6510C6E9" w:rsidR="00FA6ACF" w:rsidRPr="00FA6ACF" w:rsidRDefault="00FA6ACF" w:rsidP="00FA6ACF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A6ACF">
        <w:rPr>
          <w:rFonts w:ascii="Tahoma" w:eastAsia="Times New Roman" w:hAnsi="Tahoma" w:cs="Tahoma"/>
          <w:sz w:val="20"/>
          <w:szCs w:val="20"/>
          <w:lang w:eastAsia="cs-CZ"/>
        </w:rPr>
        <w:t xml:space="preserve">O uzavření této dohody </w:t>
      </w:r>
      <w:r w:rsidRPr="00153292">
        <w:rPr>
          <w:rFonts w:ascii="Tahoma" w:eastAsia="Times New Roman" w:hAnsi="Tahoma" w:cs="Tahoma"/>
          <w:color w:val="0070C0"/>
          <w:sz w:val="20"/>
          <w:szCs w:val="20"/>
          <w:lang w:eastAsia="cs-CZ"/>
        </w:rPr>
        <w:t>rozhodlo</w:t>
      </w:r>
      <w:r w:rsidR="00F853BA" w:rsidRPr="00153292">
        <w:rPr>
          <w:rFonts w:ascii="Tahoma" w:eastAsia="Times New Roman" w:hAnsi="Tahoma" w:cs="Tahoma"/>
          <w:color w:val="0070C0"/>
          <w:sz w:val="20"/>
          <w:szCs w:val="20"/>
          <w:lang w:eastAsia="cs-CZ"/>
        </w:rPr>
        <w:t>/a</w:t>
      </w:r>
      <w:r w:rsidRPr="00153292">
        <w:rPr>
          <w:rFonts w:ascii="Tahoma" w:eastAsia="Times New Roman" w:hAnsi="Tahoma" w:cs="Tahoma"/>
          <w:color w:val="0070C0"/>
          <w:sz w:val="20"/>
          <w:szCs w:val="20"/>
          <w:lang w:eastAsia="cs-CZ"/>
        </w:rPr>
        <w:t xml:space="preserve"> zastupitelstv</w:t>
      </w:r>
      <w:r w:rsidR="00F853BA" w:rsidRPr="00153292">
        <w:rPr>
          <w:rFonts w:ascii="Tahoma" w:eastAsia="Times New Roman" w:hAnsi="Tahoma" w:cs="Tahoma"/>
          <w:color w:val="0070C0"/>
          <w:sz w:val="20"/>
          <w:szCs w:val="20"/>
          <w:lang w:eastAsia="cs-CZ"/>
        </w:rPr>
        <w:t>o/rada</w:t>
      </w:r>
      <w:r w:rsidRPr="00153292">
        <w:rPr>
          <w:rFonts w:ascii="Tahoma" w:eastAsia="Times New Roman" w:hAnsi="Tahoma" w:cs="Tahoma"/>
          <w:color w:val="0070C0"/>
          <w:sz w:val="20"/>
          <w:szCs w:val="20"/>
          <w:lang w:eastAsia="cs-CZ"/>
        </w:rPr>
        <w:t xml:space="preserve"> kraje 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svým usnesením č. [</w:t>
      </w:r>
      <w:r w:rsidRPr="00FA6AC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] ze dne [</w:t>
      </w:r>
      <w:r w:rsidRPr="00FA6AC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cs-CZ"/>
        </w:rPr>
        <w:t>DOPLNIT</w:t>
      </w:r>
      <w:r w:rsidRPr="00FA6ACF">
        <w:rPr>
          <w:rFonts w:ascii="Tahoma" w:eastAsia="Times New Roman" w:hAnsi="Tahoma" w:cs="Tahoma"/>
          <w:sz w:val="20"/>
          <w:szCs w:val="20"/>
          <w:lang w:eastAsia="cs-CZ"/>
        </w:rPr>
        <w:t>].</w:t>
      </w:r>
    </w:p>
    <w:p w14:paraId="34CAA7B1" w14:textId="77777777" w:rsidR="00FA6ACF" w:rsidRPr="00FA6ACF" w:rsidRDefault="00FA6ACF" w:rsidP="00FA6ACF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FA6ACF" w:rsidRPr="00FA6ACF" w14:paraId="50D2F7CD" w14:textId="77777777" w:rsidTr="002E115A">
        <w:tc>
          <w:tcPr>
            <w:tcW w:w="3544" w:type="dxa"/>
          </w:tcPr>
          <w:p w14:paraId="5D9000F3" w14:textId="77777777" w:rsidR="00FA6ACF" w:rsidRPr="00FA6ACF" w:rsidRDefault="00FA6ACF" w:rsidP="00FA6A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6A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 Ostravě dne ………………</w:t>
            </w:r>
          </w:p>
        </w:tc>
        <w:tc>
          <w:tcPr>
            <w:tcW w:w="1985" w:type="dxa"/>
          </w:tcPr>
          <w:p w14:paraId="78814756" w14:textId="77777777" w:rsidR="00FA6ACF" w:rsidRPr="00FA6ACF" w:rsidRDefault="00FA6ACF" w:rsidP="00FA6A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43" w:type="dxa"/>
          </w:tcPr>
          <w:p w14:paraId="129A9F03" w14:textId="77777777" w:rsidR="00FA6ACF" w:rsidRPr="00FA6ACF" w:rsidRDefault="00FA6ACF" w:rsidP="00FA6A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6A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 …………………… dne ………………</w:t>
            </w:r>
          </w:p>
        </w:tc>
      </w:tr>
      <w:tr w:rsidR="00FA6ACF" w:rsidRPr="00FA6ACF" w14:paraId="767E2D55" w14:textId="77777777" w:rsidTr="002E115A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87958C7" w14:textId="77777777" w:rsidR="00FA6ACF" w:rsidRPr="00FA6ACF" w:rsidRDefault="00FA6ACF" w:rsidP="00FA6A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Align w:val="center"/>
          </w:tcPr>
          <w:p w14:paraId="724F93F2" w14:textId="77777777" w:rsidR="00FA6ACF" w:rsidRPr="00FA6ACF" w:rsidRDefault="00FA6ACF" w:rsidP="00FA6A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1EB99F5" w14:textId="77777777" w:rsidR="00FA6ACF" w:rsidRPr="00FA6ACF" w:rsidRDefault="00FA6ACF" w:rsidP="00FA6A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A6ACF" w:rsidRPr="00FA6ACF" w14:paraId="7DD50220" w14:textId="77777777" w:rsidTr="002E115A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619E1448" w14:textId="77777777" w:rsidR="00FA6ACF" w:rsidRPr="00FA6ACF" w:rsidRDefault="00FA6ACF" w:rsidP="00FA6A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6A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 Příjemce</w:t>
            </w:r>
          </w:p>
          <w:p w14:paraId="087CF87C" w14:textId="77777777" w:rsidR="00FA6ACF" w:rsidRPr="00FA6ACF" w:rsidRDefault="00FA6ACF" w:rsidP="00FA6A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6A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Jan Krkoška, MBA</w:t>
            </w:r>
          </w:p>
          <w:p w14:paraId="3D5556DB" w14:textId="77777777" w:rsidR="00FA6ACF" w:rsidRPr="00FA6ACF" w:rsidRDefault="00FA6ACF" w:rsidP="00FA6A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6A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hejtman kraje</w:t>
            </w:r>
          </w:p>
          <w:p w14:paraId="0DF1F70A" w14:textId="77777777" w:rsidR="00FA6ACF" w:rsidRPr="00FA6ACF" w:rsidRDefault="00FA6ACF" w:rsidP="00FA6A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Align w:val="center"/>
          </w:tcPr>
          <w:p w14:paraId="169EE831" w14:textId="77777777" w:rsidR="00FA6ACF" w:rsidRPr="00FA6ACF" w:rsidRDefault="00FA6ACF" w:rsidP="00FA6A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93E640F" w14:textId="77777777" w:rsidR="00FA6ACF" w:rsidRPr="00FA6ACF" w:rsidRDefault="00FA6ACF" w:rsidP="00FA6A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6A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 Partnera</w:t>
            </w:r>
          </w:p>
          <w:p w14:paraId="19917F80" w14:textId="77777777" w:rsidR="00FA6ACF" w:rsidRPr="00FA6ACF" w:rsidRDefault="00FA6ACF" w:rsidP="00FA6A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6FBF8167" w14:textId="77777777" w:rsidR="00FA6ACF" w:rsidRPr="00FA6ACF" w:rsidRDefault="00FA6ACF" w:rsidP="00FA6ACF">
      <w:pPr>
        <w:spacing w:after="0" w:line="240" w:lineRule="auto"/>
        <w:jc w:val="both"/>
      </w:pPr>
    </w:p>
    <w:p w14:paraId="32068511" w14:textId="77777777" w:rsidR="00891AFC" w:rsidRDefault="007B7C92"/>
    <w:sectPr w:rsidR="00891AFC" w:rsidSect="00F240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C833" w14:textId="77777777" w:rsidR="00FA6ACF" w:rsidRDefault="00FA6ACF" w:rsidP="00FA6ACF">
      <w:pPr>
        <w:spacing w:after="0" w:line="240" w:lineRule="auto"/>
      </w:pPr>
      <w:r>
        <w:separator/>
      </w:r>
    </w:p>
  </w:endnote>
  <w:endnote w:type="continuationSeparator" w:id="0">
    <w:p w14:paraId="01D2AC1A" w14:textId="77777777" w:rsidR="00FA6ACF" w:rsidRDefault="00FA6ACF" w:rsidP="00FA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1A24" w14:textId="47ABFEB3" w:rsidR="00CF35C8" w:rsidRDefault="00FA6A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56F7F7" wp14:editId="6D7C552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BD43BF" w14:textId="16DCB7BA" w:rsidR="00FA6ACF" w:rsidRPr="00FA6ACF" w:rsidRDefault="00FA6ACF" w:rsidP="00FA6A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A6A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6F7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BBD43BF" w14:textId="16DCB7BA" w:rsidR="00FA6ACF" w:rsidRPr="00FA6ACF" w:rsidRDefault="00FA6ACF" w:rsidP="00FA6A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A6ACF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5FA4" w14:textId="740848A8" w:rsidR="00CF35C8" w:rsidRDefault="00FA6A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D83BAE" wp14:editId="51BE3330">
              <wp:simplePos x="900430" y="1007237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" name="Textové pole 4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B7815" w14:textId="515AA448" w:rsidR="00FA6ACF" w:rsidRPr="00FA6ACF" w:rsidRDefault="00FA6ACF" w:rsidP="00FA6A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A6A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83BA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29B7815" w14:textId="515AA448" w:rsidR="00FA6ACF" w:rsidRPr="00FA6ACF" w:rsidRDefault="00FA6ACF" w:rsidP="00FA6A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A6ACF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FE57" w14:textId="33CA60C9" w:rsidR="00CF35C8" w:rsidRDefault="00FA6A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EFDD6B" wp14:editId="3EE98ABA">
              <wp:simplePos x="9017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307B9" w14:textId="192C276A" w:rsidR="00FA6ACF" w:rsidRPr="00FA6ACF" w:rsidRDefault="00FA6ACF" w:rsidP="00FA6A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A6A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FDD6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36307B9" w14:textId="192C276A" w:rsidR="00FA6ACF" w:rsidRPr="00FA6ACF" w:rsidRDefault="00FA6ACF" w:rsidP="00FA6A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A6ACF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B58A" w14:textId="77777777" w:rsidR="00FA6ACF" w:rsidRDefault="00FA6ACF" w:rsidP="00FA6ACF">
      <w:pPr>
        <w:spacing w:after="0" w:line="240" w:lineRule="auto"/>
      </w:pPr>
      <w:r>
        <w:separator/>
      </w:r>
    </w:p>
  </w:footnote>
  <w:footnote w:type="continuationSeparator" w:id="0">
    <w:p w14:paraId="1D18E118" w14:textId="77777777" w:rsidR="00FA6ACF" w:rsidRDefault="00FA6ACF" w:rsidP="00FA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FC3D" w14:textId="77777777" w:rsidR="00F240B5" w:rsidRDefault="007B7C92" w:rsidP="00F240B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4DDA" w14:textId="77777777" w:rsidR="00F240B5" w:rsidRDefault="007B7C92" w:rsidP="00F240B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1787"/>
    <w:multiLevelType w:val="hybridMultilevel"/>
    <w:tmpl w:val="334C3B30"/>
    <w:lvl w:ilvl="0" w:tplc="1DEE7B7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96C3A"/>
    <w:multiLevelType w:val="hybridMultilevel"/>
    <w:tmpl w:val="602E5132"/>
    <w:lvl w:ilvl="0" w:tplc="45ECEE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D13A35"/>
    <w:multiLevelType w:val="hybridMultilevel"/>
    <w:tmpl w:val="602E513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60596C"/>
    <w:multiLevelType w:val="hybridMultilevel"/>
    <w:tmpl w:val="8B604B20"/>
    <w:lvl w:ilvl="0" w:tplc="74CE5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7795914">
    <w:abstractNumId w:val="3"/>
  </w:num>
  <w:num w:numId="2" w16cid:durableId="382489025">
    <w:abstractNumId w:val="1"/>
  </w:num>
  <w:num w:numId="3" w16cid:durableId="391081040">
    <w:abstractNumId w:val="0"/>
  </w:num>
  <w:num w:numId="4" w16cid:durableId="1207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CF"/>
    <w:rsid w:val="00153292"/>
    <w:rsid w:val="00296972"/>
    <w:rsid w:val="00307E86"/>
    <w:rsid w:val="0037579C"/>
    <w:rsid w:val="007B7C92"/>
    <w:rsid w:val="007C5F03"/>
    <w:rsid w:val="00957197"/>
    <w:rsid w:val="00A07D71"/>
    <w:rsid w:val="00CB2D09"/>
    <w:rsid w:val="00E6180B"/>
    <w:rsid w:val="00F853BA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964B"/>
  <w15:chartTrackingRefBased/>
  <w15:docId w15:val="{A30C5044-770D-49C1-8CDF-9B94DA5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6ACF"/>
  </w:style>
  <w:style w:type="paragraph" w:styleId="Zpat">
    <w:name w:val="footer"/>
    <w:basedOn w:val="Normln"/>
    <w:link w:val="ZpatChar"/>
    <w:uiPriority w:val="99"/>
    <w:unhideWhenUsed/>
    <w:rsid w:val="00FA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6ACF"/>
  </w:style>
  <w:style w:type="paragraph" w:styleId="Revize">
    <w:name w:val="Revision"/>
    <w:hidden/>
    <w:uiPriority w:val="99"/>
    <w:semiHidden/>
    <w:rsid w:val="00F85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Bártek Matěj</dc:creator>
  <cp:keywords/>
  <dc:description/>
  <cp:lastModifiedBy>Mangelová Michaela</cp:lastModifiedBy>
  <cp:revision>4</cp:revision>
  <dcterms:created xsi:type="dcterms:W3CDTF">2023-08-09T07:09:00Z</dcterms:created>
  <dcterms:modified xsi:type="dcterms:W3CDTF">2023-08-09T13:52:00Z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2023-08-08T12:35:20Z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d9e424e6-6155-414f-92d8-03aa5c5c23ed</vt:lpwstr>
  </property>
  <property fmtid="{D5CDD505-2E9C-101B-9397-08002B2CF9AE}" pid="11" name="MSIP_Label_215ad6d0-798b-44f9-b3fd-112ad6275fb4_ContentBits">
    <vt:lpwstr>2</vt:lpwstr>
  </property>
</Properties>
</file>