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631F5" w14:textId="77777777" w:rsidR="004F73BF" w:rsidRPr="00E27B75" w:rsidRDefault="004F73BF" w:rsidP="003106D2">
      <w:pPr>
        <w:pStyle w:val="Zhlav"/>
        <w:rPr>
          <w:rFonts w:ascii="Tahoma" w:hAnsi="Tahoma" w:cs="Tahoma"/>
          <w:b/>
        </w:rPr>
      </w:pPr>
      <w:r w:rsidRPr="00E27B75">
        <w:rPr>
          <w:rFonts w:ascii="Tahoma" w:hAnsi="Tahoma" w:cs="Tahoma"/>
          <w:b/>
        </w:rPr>
        <w:t xml:space="preserve">Příloha č.: </w:t>
      </w:r>
      <w:r w:rsidR="00555D68" w:rsidRPr="00E27B75">
        <w:rPr>
          <w:rFonts w:ascii="Tahoma" w:hAnsi="Tahoma" w:cs="Tahoma"/>
          <w:b/>
        </w:rPr>
        <w:t>2</w:t>
      </w:r>
      <w:r w:rsidRPr="00E27B75">
        <w:rPr>
          <w:rFonts w:ascii="Tahoma" w:hAnsi="Tahoma" w:cs="Tahoma"/>
          <w:b/>
        </w:rPr>
        <w:t xml:space="preserve"> k materiálu </w:t>
      </w:r>
      <w:r w:rsidR="00D74A51" w:rsidRPr="00E27B75">
        <w:rPr>
          <w:rFonts w:ascii="Tahoma" w:hAnsi="Tahoma" w:cs="Tahoma"/>
          <w:b/>
        </w:rPr>
        <w:t>Stav přípravy a realizace</w:t>
      </w:r>
    </w:p>
    <w:p w14:paraId="0F0631F6" w14:textId="1D7326BE" w:rsidR="004F73BF" w:rsidRDefault="004F73BF" w:rsidP="003106D2">
      <w:pPr>
        <w:pStyle w:val="Zhlav"/>
        <w:rPr>
          <w:rFonts w:ascii="Tahoma" w:hAnsi="Tahoma" w:cs="Tahoma"/>
          <w:bCs/>
        </w:rPr>
      </w:pPr>
      <w:r w:rsidRPr="00E27B75">
        <w:rPr>
          <w:rFonts w:ascii="Tahoma" w:hAnsi="Tahoma" w:cs="Tahoma"/>
        </w:rPr>
        <w:t xml:space="preserve">Počet stran </w:t>
      </w:r>
      <w:r w:rsidRPr="00105A5B">
        <w:rPr>
          <w:rFonts w:ascii="Tahoma" w:hAnsi="Tahoma" w:cs="Tahoma"/>
        </w:rPr>
        <w:t>přílohy:</w:t>
      </w:r>
      <w:r w:rsidR="00105A5B" w:rsidRPr="00105A5B">
        <w:rPr>
          <w:rFonts w:ascii="Tahoma" w:hAnsi="Tahoma" w:cs="Tahoma"/>
        </w:rPr>
        <w:t xml:space="preserve"> </w:t>
      </w:r>
      <w:r w:rsidR="00105A5B" w:rsidRPr="00105A5B">
        <w:rPr>
          <w:rFonts w:ascii="Tahoma" w:hAnsi="Tahoma" w:cs="Tahoma"/>
          <w:bCs/>
        </w:rPr>
        <w:fldChar w:fldCharType="begin"/>
      </w:r>
      <w:r w:rsidR="00105A5B" w:rsidRPr="00105A5B">
        <w:rPr>
          <w:rFonts w:ascii="Tahoma" w:hAnsi="Tahoma" w:cs="Tahoma"/>
          <w:bCs/>
        </w:rPr>
        <w:instrText>NUMPAGES  \* Arabic  \* MERGEFORMAT</w:instrText>
      </w:r>
      <w:r w:rsidR="00105A5B" w:rsidRPr="00105A5B">
        <w:rPr>
          <w:rFonts w:ascii="Tahoma" w:hAnsi="Tahoma" w:cs="Tahoma"/>
          <w:bCs/>
        </w:rPr>
        <w:fldChar w:fldCharType="separate"/>
      </w:r>
      <w:r w:rsidR="00105A5B" w:rsidRPr="00105A5B">
        <w:rPr>
          <w:rFonts w:ascii="Tahoma" w:hAnsi="Tahoma" w:cs="Tahoma"/>
          <w:bCs/>
          <w:noProof/>
        </w:rPr>
        <w:t>3</w:t>
      </w:r>
      <w:r w:rsidR="00105A5B" w:rsidRPr="00105A5B">
        <w:rPr>
          <w:rFonts w:ascii="Tahoma" w:hAnsi="Tahoma" w:cs="Tahoma"/>
          <w:bCs/>
        </w:rPr>
        <w:fldChar w:fldCharType="end"/>
      </w:r>
      <w:r w:rsidR="00105A5B">
        <w:rPr>
          <w:rFonts w:ascii="Tahoma" w:hAnsi="Tahoma" w:cs="Tahoma"/>
          <w:bCs/>
        </w:rPr>
        <w:t xml:space="preserve"> </w:t>
      </w:r>
    </w:p>
    <w:p w14:paraId="65A2013E" w14:textId="17356041" w:rsidR="002A18BF" w:rsidRPr="00105A5B" w:rsidRDefault="000F3A98" w:rsidP="003106D2">
      <w:pPr>
        <w:pStyle w:val="Zhlav"/>
        <w:rPr>
          <w:rFonts w:ascii="Tahoma" w:hAnsi="Tahoma" w:cs="Tahoma"/>
        </w:rPr>
      </w:pPr>
      <w:r w:rsidRPr="00272736">
        <w:rPr>
          <w:noProof/>
        </w:rPr>
        <w:drawing>
          <wp:anchor distT="0" distB="0" distL="114300" distR="114300" simplePos="0" relativeHeight="251659264" behindDoc="0" locked="0" layoutInCell="1" allowOverlap="1" wp14:anchorId="4FE6B561" wp14:editId="75C2213D">
            <wp:simplePos x="0" y="0"/>
            <wp:positionH relativeFrom="column">
              <wp:posOffset>3684441</wp:posOffset>
            </wp:positionH>
            <wp:positionV relativeFrom="paragraph">
              <wp:posOffset>41992</wp:posOffset>
            </wp:positionV>
            <wp:extent cx="2245360" cy="2320290"/>
            <wp:effectExtent l="0" t="0" r="2540" b="3810"/>
            <wp:wrapNone/>
            <wp:docPr id="2" name="Obrázek 2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BF018" w14:textId="3568F96B" w:rsidR="00227B78" w:rsidRPr="00E27B75" w:rsidRDefault="000F3A98" w:rsidP="00227B78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F6997E" wp14:editId="293A8805">
            <wp:simplePos x="0" y="0"/>
            <wp:positionH relativeFrom="column">
              <wp:posOffset>98508</wp:posOffset>
            </wp:positionH>
            <wp:positionV relativeFrom="paragraph">
              <wp:posOffset>2592093</wp:posOffset>
            </wp:positionV>
            <wp:extent cx="731857" cy="351026"/>
            <wp:effectExtent l="0" t="0" r="0" b="0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57" cy="351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B78" w:rsidRPr="00213A19">
        <w:rPr>
          <w:noProof/>
        </w:rPr>
        <w:t xml:space="preserve"> </w:t>
      </w:r>
      <w:r>
        <w:rPr>
          <w:rFonts w:ascii="Tahoma" w:hAnsi="Tahoma" w:cs="Tahoma"/>
          <w:bCs/>
          <w:noProof/>
          <w:szCs w:val="24"/>
        </w:rPr>
        <w:drawing>
          <wp:inline distT="0" distB="0" distL="0" distR="0" wp14:anchorId="5D86176D" wp14:editId="1D5C4BF6">
            <wp:extent cx="3821326" cy="3062960"/>
            <wp:effectExtent l="0" t="0" r="8255" b="4445"/>
            <wp:docPr id="6" name="Obrázek 6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map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766" cy="30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6CA7" w14:textId="77777777" w:rsidR="002A18BF" w:rsidRPr="004B662B" w:rsidRDefault="002A18BF" w:rsidP="002A18BF">
      <w:pPr>
        <w:pStyle w:val="Titulek"/>
        <w:jc w:val="both"/>
      </w:pPr>
      <w:r w:rsidRPr="004B662B">
        <w:t>Obrázek 1: Přehled staveb na území kraje (zdroj ŘSD)</w:t>
      </w:r>
    </w:p>
    <w:p w14:paraId="0F0631F9" w14:textId="77777777" w:rsidR="00F273E9" w:rsidRPr="00E27B75" w:rsidRDefault="00F273E9" w:rsidP="00F273E9">
      <w:pPr>
        <w:pStyle w:val="Nadpis1"/>
        <w:spacing w:after="240"/>
        <w:jc w:val="both"/>
        <w:rPr>
          <w:rFonts w:ascii="Tahoma" w:hAnsi="Tahoma" w:cs="Tahoma"/>
          <w:snapToGrid w:val="0"/>
          <w:sz w:val="26"/>
          <w:szCs w:val="26"/>
          <w:u w:val="single"/>
        </w:rPr>
      </w:pPr>
      <w:r w:rsidRPr="00E27B75">
        <w:rPr>
          <w:rFonts w:ascii="Tahoma" w:hAnsi="Tahoma" w:cs="Tahoma"/>
          <w:snapToGrid w:val="0"/>
          <w:sz w:val="26"/>
          <w:szCs w:val="26"/>
          <w:u w:val="single"/>
        </w:rPr>
        <w:t>STAV PŘÍPRAVY A REALIZACE OSTATNÍCH STAVEB SILNIC SCHVÁLENÝCH VE VLÁDNÍCH HARMONOGRAMECH VÝSTAVBY SILNIC</w:t>
      </w:r>
    </w:p>
    <w:p w14:paraId="0F0631FA" w14:textId="77777777"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Jedná se o soubor silničních staveb, které plní funkci přivaděčů ze stávajících silnic k napojením (MÚK) dálnice D1, </w:t>
      </w:r>
      <w:r w:rsidR="00C776CC" w:rsidRPr="00E27B75">
        <w:rPr>
          <w:rFonts w:ascii="Tahoma" w:hAnsi="Tahoma" w:cs="Tahoma"/>
          <w:bCs/>
          <w:snapToGrid w:val="0"/>
          <w:szCs w:val="24"/>
        </w:rPr>
        <w:t>dálnic II. třídy</w:t>
      </w:r>
      <w:r w:rsidRPr="00E27B75">
        <w:rPr>
          <w:rFonts w:ascii="Tahoma" w:hAnsi="Tahoma" w:cs="Tahoma"/>
          <w:bCs/>
          <w:snapToGrid w:val="0"/>
          <w:szCs w:val="24"/>
        </w:rPr>
        <w:t>, obchvaty sídel.</w:t>
      </w:r>
    </w:p>
    <w:p w14:paraId="799D4E50" w14:textId="77777777" w:rsidR="00C374A9" w:rsidRPr="00E27B75" w:rsidRDefault="00C374A9" w:rsidP="00C374A9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I/67 Karviná, obchvat</w:t>
      </w:r>
    </w:p>
    <w:p w14:paraId="22D243FB" w14:textId="77777777" w:rsidR="00C374A9" w:rsidRPr="00E27B75" w:rsidRDefault="00C374A9" w:rsidP="00C374A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(T72) je projektována v kategorii S 11,5/80 – tj. v ½ výhledového profilu. Jedná se o přeložku silnice I. třídy, která navazuje na jihozápadě města na stávající MÚK se silnicí I/59 (Ostravská) a pokračuje podél řeky Olše a Košicko-Bohumínské dráhy místní částí Darkov na jihovýchodní okraj města, kde navazuje na stávající silnici I/67. Přeložka odvádí tranzitní dopravu mimo zastavěnou část vnitřního města (ul. Ostravská a tř. 17. listopadu). </w:t>
      </w:r>
    </w:p>
    <w:p w14:paraId="7786C3D4" w14:textId="77777777" w:rsidR="00C374A9" w:rsidRPr="00F73535" w:rsidRDefault="00C374A9" w:rsidP="00C374A9">
      <w:pPr>
        <w:pStyle w:val="Zkladntext"/>
        <w:spacing w:after="120"/>
        <w:rPr>
          <w:rFonts w:ascii="Tahoma" w:hAnsi="Tahoma" w:cs="Tahoma"/>
          <w:b/>
          <w:snapToGrid w:val="0"/>
          <w:szCs w:val="24"/>
        </w:rPr>
      </w:pPr>
      <w:r w:rsidRPr="00F73535">
        <w:rPr>
          <w:rFonts w:ascii="Tahoma" w:hAnsi="Tahoma" w:cs="Tahoma"/>
          <w:b/>
          <w:snapToGrid w:val="0"/>
          <w:szCs w:val="24"/>
        </w:rPr>
        <w:t>Stavba je od 0</w:t>
      </w:r>
      <w:r>
        <w:rPr>
          <w:rFonts w:ascii="Tahoma" w:hAnsi="Tahoma" w:cs="Tahoma"/>
          <w:b/>
          <w:snapToGrid w:val="0"/>
          <w:szCs w:val="24"/>
        </w:rPr>
        <w:t>5</w:t>
      </w:r>
      <w:r w:rsidRPr="00F73535">
        <w:rPr>
          <w:rFonts w:ascii="Tahoma" w:hAnsi="Tahoma" w:cs="Tahoma"/>
          <w:b/>
          <w:snapToGrid w:val="0"/>
          <w:szCs w:val="24"/>
        </w:rPr>
        <w:t>/2020</w:t>
      </w:r>
      <w:r>
        <w:rPr>
          <w:rFonts w:ascii="Tahoma" w:hAnsi="Tahoma" w:cs="Tahoma"/>
          <w:b/>
          <w:snapToGrid w:val="0"/>
          <w:szCs w:val="24"/>
        </w:rPr>
        <w:t xml:space="preserve"> </w:t>
      </w:r>
      <w:r w:rsidRPr="00F73535">
        <w:rPr>
          <w:rFonts w:ascii="Tahoma" w:hAnsi="Tahoma" w:cs="Tahoma"/>
          <w:b/>
          <w:snapToGrid w:val="0"/>
          <w:szCs w:val="24"/>
        </w:rPr>
        <w:t xml:space="preserve">v realizaci. </w:t>
      </w:r>
    </w:p>
    <w:p w14:paraId="0F063200" w14:textId="77777777" w:rsidR="00F273E9" w:rsidRPr="00E27B75" w:rsidRDefault="00F273E9" w:rsidP="00DF6784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I/58 Mošnov – obchvat</w:t>
      </w:r>
    </w:p>
    <w:p w14:paraId="0F063201" w14:textId="77777777" w:rsidR="00F273E9" w:rsidRPr="00E27B75" w:rsidRDefault="00555D68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Stavbou (T69) se řeší 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západní obchvat Mošnova napojený na stavbu </w:t>
      </w:r>
      <w:r w:rsidR="0030264C" w:rsidRPr="00E27B75">
        <w:rPr>
          <w:rFonts w:ascii="Tahoma" w:hAnsi="Tahoma" w:cs="Tahoma"/>
          <w:bCs/>
          <w:snapToGrid w:val="0"/>
          <w:szCs w:val="24"/>
        </w:rPr>
        <w:t xml:space="preserve">„Silnice </w:t>
      </w:r>
      <w:r w:rsidR="00F273E9" w:rsidRPr="00E27B75">
        <w:rPr>
          <w:rFonts w:ascii="Tahoma" w:hAnsi="Tahoma" w:cs="Tahoma"/>
          <w:bCs/>
          <w:snapToGrid w:val="0"/>
          <w:szCs w:val="24"/>
        </w:rPr>
        <w:t>I/58 Příbor – Skotnice</w:t>
      </w:r>
      <w:r w:rsidR="0030264C" w:rsidRPr="00E27B75">
        <w:rPr>
          <w:rFonts w:ascii="Tahoma" w:hAnsi="Tahoma" w:cs="Tahoma"/>
          <w:bCs/>
          <w:snapToGrid w:val="0"/>
          <w:szCs w:val="24"/>
        </w:rPr>
        <w:t>“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, se kterým tvoří kapacitní napojení </w:t>
      </w:r>
      <w:r w:rsidR="00D820AE" w:rsidRPr="00E27B75">
        <w:rPr>
          <w:rFonts w:ascii="Tahoma" w:hAnsi="Tahoma" w:cs="Tahoma"/>
          <w:bCs/>
          <w:snapToGrid w:val="0"/>
          <w:szCs w:val="24"/>
        </w:rPr>
        <w:t>průmyslové zóny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Mošnov a Letiště Leoše Janáčka</w:t>
      </w:r>
      <w:r w:rsidR="00D820AE" w:rsidRPr="00E27B75">
        <w:rPr>
          <w:rFonts w:ascii="Tahoma" w:hAnsi="Tahoma" w:cs="Tahoma"/>
          <w:bCs/>
          <w:snapToGrid w:val="0"/>
          <w:szCs w:val="24"/>
        </w:rPr>
        <w:t xml:space="preserve"> Ostrava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na nadřazenou síť. Stavba současně převádí silnici I/58 mimo průtah Mošnovem a navazuje na stávající silnic</w:t>
      </w:r>
      <w:r w:rsidR="004A79A4" w:rsidRPr="00E27B75">
        <w:rPr>
          <w:rFonts w:ascii="Tahoma" w:hAnsi="Tahoma" w:cs="Tahoma"/>
          <w:bCs/>
          <w:snapToGrid w:val="0"/>
          <w:szCs w:val="24"/>
        </w:rPr>
        <w:t>i I/58 na hranici obcí Mošnov a 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Petřvald. </w:t>
      </w:r>
    </w:p>
    <w:p w14:paraId="0F063202" w14:textId="39D49B2B" w:rsidR="00555D68" w:rsidRDefault="000C6F30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V</w:t>
      </w:r>
      <w:r w:rsidR="00CF084D">
        <w:rPr>
          <w:rFonts w:ascii="Tahoma" w:hAnsi="Tahoma" w:cs="Tahoma"/>
          <w:b/>
          <w:bCs/>
          <w:snapToGrid w:val="0"/>
          <w:szCs w:val="24"/>
        </w:rPr>
        <w:t> 10/2022 zahájena realizace stavby</w:t>
      </w:r>
      <w:r w:rsidR="00977E8D">
        <w:rPr>
          <w:rFonts w:ascii="Tahoma" w:hAnsi="Tahoma" w:cs="Tahoma"/>
          <w:b/>
          <w:bCs/>
          <w:snapToGrid w:val="0"/>
          <w:szCs w:val="24"/>
        </w:rPr>
        <w:t>; předpokládané zprovoznění v r. 2024</w:t>
      </w:r>
      <w:r w:rsidR="00555D68" w:rsidRPr="00E27B75">
        <w:rPr>
          <w:rFonts w:ascii="Tahoma" w:hAnsi="Tahoma" w:cs="Tahoma"/>
          <w:b/>
          <w:bCs/>
          <w:snapToGrid w:val="0"/>
          <w:szCs w:val="24"/>
        </w:rPr>
        <w:t>.</w:t>
      </w:r>
    </w:p>
    <w:p w14:paraId="581E5DAE" w14:textId="6CF744DE" w:rsidR="00AE2D7B" w:rsidRDefault="00AE2D7B" w:rsidP="00996AC2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996AC2">
        <w:rPr>
          <w:rFonts w:ascii="Tahoma" w:hAnsi="Tahoma" w:cs="Tahoma"/>
          <w:b/>
          <w:bCs/>
          <w:snapToGrid w:val="0"/>
          <w:szCs w:val="24"/>
          <w:u w:val="single"/>
        </w:rPr>
        <w:t xml:space="preserve">Silnice I/58 </w:t>
      </w:r>
      <w:r w:rsidR="00996AC2" w:rsidRPr="00996AC2">
        <w:rPr>
          <w:rFonts w:ascii="Tahoma" w:hAnsi="Tahoma" w:cs="Tahoma"/>
          <w:b/>
          <w:bCs/>
          <w:snapToGrid w:val="0"/>
          <w:szCs w:val="24"/>
          <w:u w:val="single"/>
        </w:rPr>
        <w:t xml:space="preserve">Frenštát pod Radhoštěm </w:t>
      </w:r>
      <w:r w:rsidR="00996AC2">
        <w:rPr>
          <w:rFonts w:ascii="Tahoma" w:hAnsi="Tahoma" w:cs="Tahoma"/>
          <w:b/>
          <w:bCs/>
          <w:snapToGrid w:val="0"/>
          <w:szCs w:val="24"/>
          <w:u w:val="single"/>
        </w:rPr>
        <w:t>–</w:t>
      </w:r>
      <w:r w:rsidR="00996AC2" w:rsidRPr="00996AC2">
        <w:rPr>
          <w:rFonts w:ascii="Tahoma" w:hAnsi="Tahoma" w:cs="Tahoma"/>
          <w:b/>
          <w:bCs/>
          <w:snapToGrid w:val="0"/>
          <w:szCs w:val="24"/>
          <w:u w:val="single"/>
        </w:rPr>
        <w:t xml:space="preserve"> Vlčovice</w:t>
      </w:r>
    </w:p>
    <w:p w14:paraId="17516FEF" w14:textId="06BA5F4C" w:rsidR="00996AC2" w:rsidRPr="00600398" w:rsidRDefault="008C1785" w:rsidP="00600398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600398">
        <w:rPr>
          <w:rFonts w:ascii="Tahoma" w:hAnsi="Tahoma" w:cs="Tahoma"/>
          <w:bCs/>
          <w:snapToGrid w:val="0"/>
          <w:szCs w:val="24"/>
        </w:rPr>
        <w:t>Stavbou se odstraňuje ne</w:t>
      </w:r>
      <w:r w:rsidR="00600398" w:rsidRPr="00600398">
        <w:rPr>
          <w:rFonts w:ascii="Tahoma" w:hAnsi="Tahoma" w:cs="Tahoma"/>
          <w:bCs/>
          <w:snapToGrid w:val="0"/>
          <w:szCs w:val="24"/>
        </w:rPr>
        <w:t xml:space="preserve">vhodně směrové vedení </w:t>
      </w:r>
      <w:r w:rsidR="005E29DC">
        <w:rPr>
          <w:rFonts w:ascii="Tahoma" w:hAnsi="Tahoma" w:cs="Tahoma"/>
          <w:bCs/>
          <w:snapToGrid w:val="0"/>
          <w:szCs w:val="24"/>
        </w:rPr>
        <w:t>trasy silnice I/58</w:t>
      </w:r>
      <w:r w:rsidR="00600398" w:rsidRPr="00600398">
        <w:rPr>
          <w:rFonts w:ascii="Tahoma" w:hAnsi="Tahoma" w:cs="Tahoma"/>
          <w:bCs/>
          <w:snapToGrid w:val="0"/>
          <w:szCs w:val="24"/>
        </w:rPr>
        <w:t xml:space="preserve"> p</w:t>
      </w:r>
      <w:r w:rsidR="00600398">
        <w:rPr>
          <w:rFonts w:ascii="Tahoma" w:hAnsi="Tahoma" w:cs="Tahoma"/>
          <w:bCs/>
          <w:snapToGrid w:val="0"/>
          <w:szCs w:val="24"/>
        </w:rPr>
        <w:t>ř</w:t>
      </w:r>
      <w:r w:rsidR="00600398" w:rsidRPr="00600398">
        <w:rPr>
          <w:rFonts w:ascii="Tahoma" w:hAnsi="Tahoma" w:cs="Tahoma"/>
          <w:bCs/>
          <w:snapToGrid w:val="0"/>
          <w:szCs w:val="24"/>
        </w:rPr>
        <w:t>es místní část Vlčovice</w:t>
      </w:r>
      <w:r w:rsidR="005E29DC">
        <w:rPr>
          <w:rFonts w:ascii="Tahoma" w:hAnsi="Tahoma" w:cs="Tahoma"/>
          <w:bCs/>
          <w:snapToGrid w:val="0"/>
          <w:szCs w:val="24"/>
        </w:rPr>
        <w:t xml:space="preserve">, zastupitelstvo kraje usnesením </w:t>
      </w:r>
      <w:r w:rsidR="00C81AC4">
        <w:rPr>
          <w:rFonts w:ascii="Tahoma" w:hAnsi="Tahoma" w:cs="Tahoma"/>
          <w:bCs/>
          <w:snapToGrid w:val="0"/>
          <w:szCs w:val="24"/>
        </w:rPr>
        <w:t xml:space="preserve">16/1910 ze dne </w:t>
      </w:r>
      <w:r w:rsidR="00346BF7">
        <w:rPr>
          <w:rFonts w:ascii="Tahoma" w:hAnsi="Tahoma" w:cs="Tahoma"/>
          <w:bCs/>
          <w:snapToGrid w:val="0"/>
          <w:szCs w:val="24"/>
        </w:rPr>
        <w:t>4.</w:t>
      </w:r>
      <w:r w:rsidR="00977E8D">
        <w:rPr>
          <w:rFonts w:ascii="Tahoma" w:hAnsi="Tahoma" w:cs="Tahoma"/>
          <w:bCs/>
          <w:snapToGrid w:val="0"/>
          <w:szCs w:val="24"/>
        </w:rPr>
        <w:t xml:space="preserve"> </w:t>
      </w:r>
      <w:r w:rsidR="00346BF7">
        <w:rPr>
          <w:rFonts w:ascii="Tahoma" w:hAnsi="Tahoma" w:cs="Tahoma"/>
          <w:bCs/>
          <w:snapToGrid w:val="0"/>
          <w:szCs w:val="24"/>
        </w:rPr>
        <w:t xml:space="preserve">6. 2020 rozhodlo </w:t>
      </w:r>
      <w:r w:rsidR="00346BF7">
        <w:rPr>
          <w:rFonts w:ascii="Tahoma" w:hAnsi="Tahoma" w:cs="Tahoma"/>
          <w:bCs/>
          <w:snapToGrid w:val="0"/>
          <w:szCs w:val="24"/>
        </w:rPr>
        <w:lastRenderedPageBreak/>
        <w:t>o</w:t>
      </w:r>
      <w:r w:rsidR="009B3BF8">
        <w:rPr>
          <w:rFonts w:ascii="Tahoma" w:hAnsi="Tahoma" w:cs="Tahoma"/>
          <w:bCs/>
          <w:snapToGrid w:val="0"/>
          <w:szCs w:val="24"/>
        </w:rPr>
        <w:t> </w:t>
      </w:r>
      <w:r w:rsidR="00346BF7">
        <w:rPr>
          <w:rFonts w:ascii="Tahoma" w:hAnsi="Tahoma" w:cs="Tahoma"/>
          <w:bCs/>
          <w:snapToGrid w:val="0"/>
          <w:szCs w:val="24"/>
        </w:rPr>
        <w:t xml:space="preserve">budoucím uspořádání pozemních komunikací v souvislosti s touto stavbou. </w:t>
      </w:r>
      <w:r w:rsidR="002403E0">
        <w:rPr>
          <w:rFonts w:ascii="Tahoma" w:hAnsi="Tahoma" w:cs="Tahoma"/>
          <w:bCs/>
          <w:snapToGrid w:val="0"/>
          <w:szCs w:val="24"/>
        </w:rPr>
        <w:t>Zpracování dokumentace EIA</w:t>
      </w:r>
      <w:r w:rsidR="00FD2CF5">
        <w:rPr>
          <w:rFonts w:ascii="Tahoma" w:hAnsi="Tahoma" w:cs="Tahoma"/>
          <w:bCs/>
          <w:snapToGrid w:val="0"/>
          <w:szCs w:val="24"/>
        </w:rPr>
        <w:t>.</w:t>
      </w:r>
    </w:p>
    <w:p w14:paraId="0F063206" w14:textId="2416746C" w:rsidR="00F273E9" w:rsidRPr="00E27B75" w:rsidRDefault="00371730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I/11 Havířov - Třanovice</w:t>
      </w:r>
    </w:p>
    <w:p w14:paraId="0F063207" w14:textId="34A9C2F0" w:rsidR="00F640C7" w:rsidRDefault="00F273E9" w:rsidP="00F640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 w:rsidRPr="00E27B75">
        <w:rPr>
          <w:rFonts w:ascii="Tahoma" w:hAnsi="Tahoma" w:cs="Tahoma"/>
          <w:bCs/>
          <w:snapToGrid w:val="0"/>
          <w:szCs w:val="24"/>
        </w:rPr>
        <w:t xml:space="preserve">(T82) </w:t>
      </w:r>
      <w:r w:rsidR="002E7F13">
        <w:rPr>
          <w:rFonts w:ascii="Tahoma" w:hAnsi="Tahoma" w:cs="Tahoma"/>
          <w:bCs/>
          <w:snapToGrid w:val="0"/>
          <w:szCs w:val="24"/>
        </w:rPr>
        <w:t xml:space="preserve">tvoří část budoucího propojení </w:t>
      </w:r>
      <w:r w:rsidR="008F5EE9" w:rsidRPr="00E27B75">
        <w:rPr>
          <w:rFonts w:ascii="Tahoma" w:hAnsi="Tahoma" w:cs="Tahoma"/>
          <w:bCs/>
          <w:snapToGrid w:val="0"/>
          <w:szCs w:val="24"/>
        </w:rPr>
        <w:t>D1 a D48</w:t>
      </w:r>
      <w:r w:rsidR="00D71768">
        <w:rPr>
          <w:rFonts w:ascii="Tahoma" w:hAnsi="Tahoma" w:cs="Tahoma"/>
          <w:bCs/>
          <w:snapToGrid w:val="0"/>
          <w:szCs w:val="24"/>
        </w:rPr>
        <w:t xml:space="preserve"> s pokračováním na </w:t>
      </w:r>
      <w:r w:rsidR="008F5EE9" w:rsidRPr="00E27B75">
        <w:rPr>
          <w:rFonts w:ascii="Tahoma" w:hAnsi="Tahoma" w:cs="Tahoma"/>
          <w:bCs/>
          <w:snapToGrid w:val="0"/>
          <w:szCs w:val="24"/>
        </w:rPr>
        <w:t>státní hranic</w:t>
      </w:r>
      <w:r w:rsidR="00D71768">
        <w:rPr>
          <w:rFonts w:ascii="Tahoma" w:hAnsi="Tahoma" w:cs="Tahoma"/>
          <w:bCs/>
          <w:snapToGrid w:val="0"/>
          <w:szCs w:val="24"/>
        </w:rPr>
        <w:t>i</w:t>
      </w:r>
      <w:r w:rsidR="008F5EE9" w:rsidRPr="00E27B75">
        <w:rPr>
          <w:rFonts w:ascii="Tahoma" w:hAnsi="Tahoma" w:cs="Tahoma"/>
          <w:bCs/>
          <w:snapToGrid w:val="0"/>
          <w:szCs w:val="24"/>
        </w:rPr>
        <w:t xml:space="preserve"> Česká republika/Slovensko. </w:t>
      </w:r>
      <w:r w:rsidRPr="00E27B75">
        <w:rPr>
          <w:rFonts w:ascii="Tahoma" w:hAnsi="Tahoma" w:cs="Tahoma"/>
          <w:bCs/>
          <w:snapToGrid w:val="0"/>
          <w:szCs w:val="24"/>
        </w:rPr>
        <w:t xml:space="preserve">Funkčně se jedná se o soubor staveb, který obsahuje: rekonstrukci rondelu </w:t>
      </w:r>
      <w:r w:rsidR="00894CCC">
        <w:rPr>
          <w:rFonts w:ascii="Tahoma" w:hAnsi="Tahoma" w:cs="Tahoma"/>
          <w:bCs/>
          <w:snapToGrid w:val="0"/>
          <w:szCs w:val="24"/>
        </w:rPr>
        <w:t>na</w:t>
      </w:r>
      <w:r w:rsidRPr="00E27B75">
        <w:rPr>
          <w:rFonts w:ascii="Tahoma" w:hAnsi="Tahoma" w:cs="Tahoma"/>
          <w:bCs/>
          <w:snapToGrid w:val="0"/>
          <w:szCs w:val="24"/>
        </w:rPr>
        <w:t xml:space="preserve"> stávající tras</w:t>
      </w:r>
      <w:r w:rsidR="00894CCC">
        <w:rPr>
          <w:rFonts w:ascii="Tahoma" w:hAnsi="Tahoma" w:cs="Tahoma"/>
          <w:bCs/>
          <w:snapToGrid w:val="0"/>
          <w:szCs w:val="24"/>
        </w:rPr>
        <w:t>e</w:t>
      </w:r>
      <w:r w:rsidRPr="00E27B75">
        <w:rPr>
          <w:rFonts w:ascii="Tahoma" w:hAnsi="Tahoma" w:cs="Tahoma"/>
          <w:bCs/>
          <w:snapToGrid w:val="0"/>
          <w:szCs w:val="24"/>
        </w:rPr>
        <w:t xml:space="preserve"> silnice I/11; odtud vede ze severozápadní strany rekonstrukcí na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proofErr w:type="spellStart"/>
      <w:r w:rsidRPr="00E27B75"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 w:rsidRPr="00E27B75">
        <w:rPr>
          <w:rFonts w:ascii="Tahoma" w:hAnsi="Tahoma" w:cs="Tahoma"/>
          <w:bCs/>
          <w:snapToGrid w:val="0"/>
          <w:szCs w:val="24"/>
        </w:rPr>
        <w:t xml:space="preserve"> směrově dělenou silnici v trase silnice II/475 do Dolní/Prostřední Suché a napojuje na tah budoucí silnice </w:t>
      </w:r>
      <w:r w:rsidR="008F5EE9" w:rsidRPr="00E27B75">
        <w:rPr>
          <w:rFonts w:ascii="Tahoma" w:hAnsi="Tahoma" w:cs="Tahoma"/>
          <w:bCs/>
          <w:snapToGrid w:val="0"/>
          <w:szCs w:val="24"/>
        </w:rPr>
        <w:t>I/68</w:t>
      </w:r>
      <w:r w:rsidRPr="00E27B75">
        <w:rPr>
          <w:rFonts w:ascii="Tahoma" w:hAnsi="Tahoma" w:cs="Tahoma"/>
          <w:bCs/>
          <w:snapToGrid w:val="0"/>
          <w:szCs w:val="24"/>
        </w:rPr>
        <w:t xml:space="preserve"> </w:t>
      </w:r>
      <w:r w:rsidR="008F5EE9" w:rsidRPr="00E27B75">
        <w:rPr>
          <w:rFonts w:ascii="Tahoma" w:hAnsi="Tahoma" w:cs="Tahoma"/>
          <w:bCs/>
          <w:snapToGrid w:val="0"/>
          <w:szCs w:val="24"/>
        </w:rPr>
        <w:t>(ve směru Bohumín</w:t>
      </w:r>
      <w:r w:rsidRPr="00E27B75">
        <w:rPr>
          <w:rFonts w:ascii="Tahoma" w:hAnsi="Tahoma" w:cs="Tahoma"/>
          <w:bCs/>
          <w:snapToGrid w:val="0"/>
          <w:szCs w:val="24"/>
        </w:rPr>
        <w:t>) vedený severně a východně od vlastního města; napojení města je zajištěno dalšími dvěm</w:t>
      </w:r>
      <w:r w:rsidR="00B2579B" w:rsidRPr="00E27B75">
        <w:rPr>
          <w:rFonts w:ascii="Tahoma" w:hAnsi="Tahoma" w:cs="Tahoma"/>
          <w:bCs/>
          <w:snapToGrid w:val="0"/>
          <w:szCs w:val="24"/>
        </w:rPr>
        <w:t>a</w:t>
      </w:r>
      <w:r w:rsidRPr="00E27B75">
        <w:rPr>
          <w:rFonts w:ascii="Tahoma" w:hAnsi="Tahoma" w:cs="Tahoma"/>
          <w:bCs/>
          <w:snapToGrid w:val="0"/>
          <w:szCs w:val="24"/>
        </w:rPr>
        <w:t xml:space="preserve"> MÚK (sil. II/475 a MK Dlouhá </w:t>
      </w:r>
      <w:r w:rsidR="00977E8D">
        <w:rPr>
          <w:rFonts w:ascii="Tahoma" w:hAnsi="Tahoma" w:cs="Tahoma"/>
          <w:bCs/>
          <w:snapToGrid w:val="0"/>
          <w:szCs w:val="24"/>
        </w:rPr>
        <w:t>–</w:t>
      </w:r>
      <w:r w:rsidRPr="00E27B75">
        <w:rPr>
          <w:rFonts w:ascii="Tahoma" w:hAnsi="Tahoma" w:cs="Tahoma"/>
          <w:bCs/>
          <w:snapToGrid w:val="0"/>
          <w:szCs w:val="24"/>
        </w:rPr>
        <w:t xml:space="preserve"> </w:t>
      </w:r>
      <w:r w:rsidR="00977E8D">
        <w:rPr>
          <w:rFonts w:ascii="Tahoma" w:hAnsi="Tahoma" w:cs="Tahoma"/>
          <w:bCs/>
          <w:snapToGrid w:val="0"/>
          <w:szCs w:val="24"/>
        </w:rPr>
        <w:t>III/</w:t>
      </w:r>
      <w:r w:rsidRPr="00E27B75">
        <w:rPr>
          <w:rFonts w:ascii="Tahoma" w:hAnsi="Tahoma" w:cs="Tahoma"/>
          <w:bCs/>
          <w:snapToGrid w:val="0"/>
          <w:szCs w:val="24"/>
        </w:rPr>
        <w:t>4742); soubor staveb doplňuje tzv. prodloužená Dlouhá třída, která napojuje páteřní komunikaci města (I/11 – Hlavní tř</w:t>
      </w:r>
      <w:r w:rsidR="00B50F05" w:rsidRPr="00E27B75">
        <w:rPr>
          <w:rFonts w:ascii="Tahoma" w:hAnsi="Tahoma" w:cs="Tahoma"/>
          <w:bCs/>
          <w:snapToGrid w:val="0"/>
          <w:szCs w:val="24"/>
        </w:rPr>
        <w:t>ída</w:t>
      </w:r>
      <w:r w:rsidRPr="00E27B75">
        <w:rPr>
          <w:rFonts w:ascii="Tahoma" w:hAnsi="Tahoma" w:cs="Tahoma"/>
          <w:bCs/>
          <w:snapToGrid w:val="0"/>
          <w:szCs w:val="24"/>
        </w:rPr>
        <w:t xml:space="preserve"> a Dlouhá tř</w:t>
      </w:r>
      <w:r w:rsidR="00B50F05" w:rsidRPr="00E27B75">
        <w:rPr>
          <w:rFonts w:ascii="Tahoma" w:hAnsi="Tahoma" w:cs="Tahoma"/>
          <w:bCs/>
          <w:snapToGrid w:val="0"/>
          <w:szCs w:val="24"/>
        </w:rPr>
        <w:t>ída</w:t>
      </w:r>
      <w:r w:rsidRPr="00E27B75">
        <w:rPr>
          <w:rFonts w:ascii="Tahoma" w:hAnsi="Tahoma" w:cs="Tahoma"/>
          <w:bCs/>
          <w:snapToGrid w:val="0"/>
          <w:szCs w:val="24"/>
        </w:rPr>
        <w:t xml:space="preserve">). </w:t>
      </w:r>
    </w:p>
    <w:p w14:paraId="0F063208" w14:textId="3354ABBB" w:rsidR="00F273E9" w:rsidRPr="00E27B75" w:rsidRDefault="0005175E" w:rsidP="00F640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Z</w:t>
      </w:r>
      <w:r w:rsidR="000977AB">
        <w:rPr>
          <w:rFonts w:ascii="Tahoma" w:hAnsi="Tahoma" w:cs="Tahoma"/>
          <w:bCs/>
          <w:snapToGrid w:val="0"/>
          <w:szCs w:val="24"/>
        </w:rPr>
        <w:t xml:space="preserve">astupitelstvo kraje </w:t>
      </w:r>
      <w:r w:rsidR="004052C6">
        <w:rPr>
          <w:rFonts w:ascii="Tahoma" w:hAnsi="Tahoma" w:cs="Tahoma"/>
          <w:bCs/>
          <w:snapToGrid w:val="0"/>
          <w:szCs w:val="24"/>
        </w:rPr>
        <w:t xml:space="preserve">usnesením </w:t>
      </w:r>
      <w:r>
        <w:rPr>
          <w:rFonts w:ascii="Tahoma" w:hAnsi="Tahoma" w:cs="Tahoma"/>
          <w:bCs/>
          <w:snapToGrid w:val="0"/>
          <w:szCs w:val="24"/>
        </w:rPr>
        <w:t xml:space="preserve">č. </w:t>
      </w:r>
      <w:r w:rsidR="004052C6">
        <w:rPr>
          <w:rFonts w:ascii="Tahoma" w:hAnsi="Tahoma" w:cs="Tahoma"/>
          <w:bCs/>
          <w:snapToGrid w:val="0"/>
          <w:szCs w:val="24"/>
        </w:rPr>
        <w:t>2/45 ze dne 17.</w:t>
      </w:r>
      <w:r w:rsidR="00A53AFC">
        <w:rPr>
          <w:rFonts w:ascii="Tahoma" w:hAnsi="Tahoma" w:cs="Tahoma"/>
          <w:bCs/>
          <w:snapToGrid w:val="0"/>
          <w:szCs w:val="24"/>
        </w:rPr>
        <w:t> </w:t>
      </w:r>
      <w:r w:rsidR="004052C6">
        <w:rPr>
          <w:rFonts w:ascii="Tahoma" w:hAnsi="Tahoma" w:cs="Tahoma"/>
          <w:bCs/>
          <w:snapToGrid w:val="0"/>
          <w:szCs w:val="24"/>
        </w:rPr>
        <w:t>12.</w:t>
      </w:r>
      <w:r w:rsidR="00A53AFC">
        <w:rPr>
          <w:rFonts w:ascii="Tahoma" w:hAnsi="Tahoma" w:cs="Tahoma"/>
          <w:bCs/>
          <w:snapToGrid w:val="0"/>
          <w:szCs w:val="24"/>
        </w:rPr>
        <w:t> </w:t>
      </w:r>
      <w:r w:rsidR="004052C6">
        <w:rPr>
          <w:rFonts w:ascii="Tahoma" w:hAnsi="Tahoma" w:cs="Tahoma"/>
          <w:bCs/>
          <w:snapToGrid w:val="0"/>
          <w:szCs w:val="24"/>
        </w:rPr>
        <w:t xml:space="preserve">2020 </w:t>
      </w:r>
      <w:r w:rsidR="000977AB">
        <w:rPr>
          <w:rFonts w:ascii="Tahoma" w:hAnsi="Tahoma" w:cs="Tahoma"/>
          <w:bCs/>
          <w:snapToGrid w:val="0"/>
          <w:szCs w:val="24"/>
        </w:rPr>
        <w:t xml:space="preserve">schválilo </w:t>
      </w:r>
      <w:r w:rsidR="004052C6">
        <w:rPr>
          <w:rFonts w:ascii="Tahoma" w:hAnsi="Tahoma" w:cs="Tahoma"/>
          <w:bCs/>
          <w:snapToGrid w:val="0"/>
          <w:szCs w:val="24"/>
        </w:rPr>
        <w:t>návrh budoucího uspořádání sítě pozemních komunikací</w:t>
      </w:r>
      <w:r w:rsidR="00F640C7" w:rsidRPr="00F640C7">
        <w:rPr>
          <w:rFonts w:ascii="Tahoma" w:hAnsi="Tahoma" w:cs="Tahoma"/>
          <w:bCs/>
          <w:snapToGrid w:val="0"/>
          <w:szCs w:val="24"/>
        </w:rPr>
        <w:t>.</w:t>
      </w:r>
      <w:r w:rsidR="00F640C7">
        <w:rPr>
          <w:rFonts w:ascii="Tahoma" w:hAnsi="Tahoma" w:cs="Tahoma"/>
          <w:bCs/>
          <w:snapToGrid w:val="0"/>
          <w:szCs w:val="24"/>
        </w:rPr>
        <w:t xml:space="preserve"> </w:t>
      </w:r>
      <w:r w:rsidR="00F8363D">
        <w:rPr>
          <w:rFonts w:ascii="Tahoma" w:hAnsi="Tahoma" w:cs="Tahoma"/>
          <w:bCs/>
          <w:snapToGrid w:val="0"/>
          <w:szCs w:val="24"/>
        </w:rPr>
        <w:t xml:space="preserve">Centrální komisí ministerstva dopravy byl schválen </w:t>
      </w:r>
      <w:r>
        <w:rPr>
          <w:rFonts w:ascii="Tahoma" w:hAnsi="Tahoma" w:cs="Tahoma"/>
          <w:bCs/>
          <w:snapToGrid w:val="0"/>
          <w:szCs w:val="24"/>
        </w:rPr>
        <w:t>záměr projektu (12/2021)</w:t>
      </w:r>
      <w:r w:rsidR="00DB0DBE">
        <w:rPr>
          <w:rFonts w:ascii="Tahoma" w:hAnsi="Tahoma" w:cs="Tahoma"/>
          <w:bCs/>
          <w:snapToGrid w:val="0"/>
          <w:szCs w:val="24"/>
        </w:rPr>
        <w:t xml:space="preserve">, </w:t>
      </w:r>
      <w:r w:rsidR="0047169E">
        <w:rPr>
          <w:rFonts w:ascii="Tahoma" w:hAnsi="Tahoma" w:cs="Tahoma"/>
          <w:bCs/>
          <w:snapToGrid w:val="0"/>
          <w:szCs w:val="24"/>
        </w:rPr>
        <w:t xml:space="preserve">stavba rozdělena na 2 etapy, </w:t>
      </w:r>
      <w:r w:rsidR="00C479A9">
        <w:rPr>
          <w:rFonts w:ascii="Tahoma" w:hAnsi="Tahoma" w:cs="Tahoma"/>
          <w:bCs/>
          <w:snapToGrid w:val="0"/>
          <w:szCs w:val="24"/>
        </w:rPr>
        <w:t xml:space="preserve">v 12/2022 zahájeno zjišťovací </w:t>
      </w:r>
      <w:r w:rsidR="00C479A9" w:rsidRPr="00C479A9">
        <w:rPr>
          <w:rFonts w:ascii="Tahoma" w:hAnsi="Tahoma" w:cs="Tahoma"/>
          <w:bCs/>
          <w:snapToGrid w:val="0"/>
          <w:szCs w:val="24"/>
        </w:rPr>
        <w:t>řízení záměru „I/11 Havířov – Třanovice“ dle zákona o posuzování vlivů na</w:t>
      </w:r>
      <w:r w:rsidR="00C479A9">
        <w:rPr>
          <w:rFonts w:ascii="Tahoma" w:hAnsi="Tahoma" w:cs="Tahoma"/>
          <w:bCs/>
          <w:snapToGrid w:val="0"/>
          <w:szCs w:val="24"/>
        </w:rPr>
        <w:t> </w:t>
      </w:r>
      <w:r w:rsidR="00C479A9" w:rsidRPr="00C479A9">
        <w:rPr>
          <w:rFonts w:ascii="Tahoma" w:hAnsi="Tahoma" w:cs="Tahoma"/>
          <w:bCs/>
          <w:snapToGrid w:val="0"/>
          <w:szCs w:val="24"/>
        </w:rPr>
        <w:t>životní prostředí</w:t>
      </w:r>
      <w:r w:rsidR="00F8363D">
        <w:rPr>
          <w:rFonts w:ascii="Tahoma" w:hAnsi="Tahoma" w:cs="Tahoma"/>
          <w:bCs/>
          <w:snapToGrid w:val="0"/>
          <w:szCs w:val="24"/>
        </w:rPr>
        <w:t>.</w:t>
      </w:r>
    </w:p>
    <w:p w14:paraId="5E6AC115" w14:textId="77777777" w:rsidR="00BA4E8B" w:rsidRPr="00033A9D" w:rsidRDefault="00BA4E8B" w:rsidP="00BA4E8B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033A9D">
        <w:rPr>
          <w:rFonts w:ascii="Tahoma" w:hAnsi="Tahoma" w:cs="Tahoma"/>
          <w:b/>
          <w:bCs/>
          <w:snapToGrid w:val="0"/>
          <w:szCs w:val="24"/>
          <w:u w:val="single"/>
        </w:rPr>
        <w:t>Silnice I/67 Bohumín – Karviná</w:t>
      </w:r>
    </w:p>
    <w:p w14:paraId="407E1FFD" w14:textId="77777777" w:rsidR="00BA4E8B" w:rsidRDefault="00BA4E8B" w:rsidP="00BA4E8B">
      <w:pPr>
        <w:pStyle w:val="Zkladntext"/>
        <w:spacing w:after="120"/>
        <w:rPr>
          <w:rFonts w:ascii="Tahoma" w:hAnsi="Tahoma" w:cs="Tahoma"/>
        </w:rPr>
      </w:pPr>
      <w:r>
        <w:rPr>
          <w:rFonts w:ascii="Tahoma" w:hAnsi="Tahoma" w:cs="Tahoma"/>
          <w:bCs/>
          <w:snapToGrid w:val="0"/>
          <w:szCs w:val="24"/>
        </w:rPr>
        <w:t xml:space="preserve">Přeložka stávající silnice I/67 s cílem vyvedení tranzitní dopravy s významným podílem těžkých nákladních vozidel ze zastavěného území Bohumína, Dolní Lutyně a Dětmarovic. </w:t>
      </w:r>
      <w:r>
        <w:rPr>
          <w:rFonts w:ascii="Tahoma" w:hAnsi="Tahoma" w:cs="Tahoma"/>
        </w:rPr>
        <w:t>Ministerstvo dopravy odmítlo aktualizovat záměr projektu. Argumentuje neuspokojivým vyřešení celkové dopravní koncepce Moravskoslezského kraje, zejména tvrzením o existenci „vzájemně si konkurujících“ dopravních koridorů mezi dálničními uzly Bohumínem - Třanovicemi a silničními uzly Bohumínem – Karvinou. Na základě aktivního přístupu kraje a města Bohumín byla přepracována ekonomické hodnocení (HDM-4), záměr projektu byl schválen Centrální komisí Ministerstva dopravy (12/2020), zpracování oznámení EIA.</w:t>
      </w:r>
    </w:p>
    <w:p w14:paraId="241140CD" w14:textId="77777777" w:rsidR="00BA4E8B" w:rsidRPr="00D868A4" w:rsidRDefault="00BA4E8B" w:rsidP="00BA4E8B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D868A4">
        <w:rPr>
          <w:rFonts w:ascii="Tahoma" w:hAnsi="Tahoma" w:cs="Tahoma"/>
          <w:b/>
          <w:bCs/>
          <w:snapToGrid w:val="0"/>
          <w:szCs w:val="24"/>
          <w:u w:val="single"/>
        </w:rPr>
        <w:t>Silnice I/56 O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pava - O</w:t>
      </w:r>
      <w:r w:rsidRPr="00D868A4">
        <w:rPr>
          <w:rFonts w:ascii="Tahoma" w:hAnsi="Tahoma" w:cs="Tahoma"/>
          <w:b/>
          <w:bCs/>
          <w:snapToGrid w:val="0"/>
          <w:szCs w:val="24"/>
          <w:u w:val="single"/>
        </w:rPr>
        <w:t>strava</w:t>
      </w:r>
    </w:p>
    <w:p w14:paraId="44EFAF78" w14:textId="26341F0B" w:rsidR="00BA4E8B" w:rsidRPr="006E1322" w:rsidRDefault="00BA4E8B" w:rsidP="00BA4E8B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</w:t>
      </w:r>
      <w:r w:rsidRPr="00D868A4">
        <w:rPr>
          <w:rFonts w:ascii="Tahoma" w:hAnsi="Tahoma" w:cs="Tahoma"/>
          <w:bCs/>
          <w:snapToGrid w:val="0"/>
          <w:szCs w:val="24"/>
        </w:rPr>
        <w:t xml:space="preserve">dlouhodobém výhledu </w:t>
      </w:r>
      <w:r>
        <w:rPr>
          <w:rFonts w:ascii="Tahoma" w:hAnsi="Tahoma" w:cs="Tahoma"/>
          <w:bCs/>
          <w:snapToGrid w:val="0"/>
          <w:szCs w:val="24"/>
        </w:rPr>
        <w:t xml:space="preserve">se jedná o </w:t>
      </w:r>
      <w:r w:rsidRPr="00D868A4">
        <w:rPr>
          <w:rFonts w:ascii="Tahoma" w:hAnsi="Tahoma" w:cs="Tahoma"/>
          <w:bCs/>
          <w:snapToGrid w:val="0"/>
          <w:szCs w:val="24"/>
        </w:rPr>
        <w:t>významnou trasu základního dopravního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D868A4">
        <w:rPr>
          <w:rFonts w:ascii="Tahoma" w:hAnsi="Tahoma" w:cs="Tahoma"/>
          <w:bCs/>
          <w:snapToGrid w:val="0"/>
          <w:szCs w:val="24"/>
        </w:rPr>
        <w:t>skeletu v uceleném tahu silnice I/56 ve směru Opava – Ostrava – Frýdek-Místek –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D868A4">
        <w:rPr>
          <w:rFonts w:ascii="Tahoma" w:hAnsi="Tahoma" w:cs="Tahoma"/>
          <w:bCs/>
          <w:snapToGrid w:val="0"/>
          <w:szCs w:val="24"/>
        </w:rPr>
        <w:t>Frýdlant n. Ostravicí – Hlavatá (</w:t>
      </w:r>
      <w:r>
        <w:rPr>
          <w:rFonts w:ascii="Tahoma" w:hAnsi="Tahoma" w:cs="Tahoma"/>
          <w:bCs/>
          <w:snapToGrid w:val="0"/>
          <w:szCs w:val="24"/>
        </w:rPr>
        <w:t xml:space="preserve">v </w:t>
      </w:r>
      <w:r w:rsidRPr="00D868A4">
        <w:rPr>
          <w:rFonts w:ascii="Tahoma" w:hAnsi="Tahoma" w:cs="Tahoma"/>
          <w:bCs/>
          <w:snapToGrid w:val="0"/>
          <w:szCs w:val="24"/>
        </w:rPr>
        <w:t>napojení na silnici I/35).</w:t>
      </w:r>
      <w:r>
        <w:rPr>
          <w:rFonts w:ascii="Tahoma" w:hAnsi="Tahoma" w:cs="Tahoma"/>
          <w:bCs/>
          <w:snapToGrid w:val="0"/>
          <w:szCs w:val="24"/>
        </w:rPr>
        <w:t xml:space="preserve"> V r. 2017 byla zpracována územní studie Vedení silnice I/56 v úseku Ostrava – Opava s cílem potvrdit případně optimalizovat koridor silnice vymezený v Zásadách územního rozvoje Moravskoslezského kraje (ZÚR MSK). Varianty uspořádání navržené studií ve všech případech respektují koridor vymezený v ZÚR MSK. </w:t>
      </w:r>
      <w:r w:rsidRPr="00635BCB">
        <w:rPr>
          <w:rFonts w:ascii="Tahoma" w:hAnsi="Tahoma" w:cs="Tahoma"/>
          <w:bCs/>
          <w:snapToGrid w:val="0"/>
          <w:szCs w:val="24"/>
        </w:rPr>
        <w:t>Studie prokázala udržitelnost přeložky v úseku Opava – Ostrava včetně možnosti skladebného, etapovitého řešení. Podklady zpracované krajem byly předány generálnímu ředitelství ŘSD ČR</w:t>
      </w:r>
      <w:r>
        <w:rPr>
          <w:rFonts w:ascii="Tahoma" w:hAnsi="Tahoma" w:cs="Tahoma"/>
          <w:bCs/>
          <w:snapToGrid w:val="0"/>
          <w:szCs w:val="24"/>
        </w:rPr>
        <w:t xml:space="preserve">, </w:t>
      </w:r>
      <w:proofErr w:type="spellStart"/>
      <w:r w:rsidRPr="006E1322">
        <w:rPr>
          <w:rFonts w:ascii="Tahoma" w:hAnsi="Tahoma" w:cs="Tahoma"/>
          <w:bCs/>
          <w:snapToGrid w:val="0"/>
          <w:szCs w:val="24"/>
        </w:rPr>
        <w:t>technicko-ekonomická</w:t>
      </w:r>
      <w:proofErr w:type="spellEnd"/>
      <w:r w:rsidRPr="006E1322">
        <w:rPr>
          <w:rFonts w:ascii="Tahoma" w:hAnsi="Tahoma" w:cs="Tahoma"/>
          <w:bCs/>
          <w:snapToGrid w:val="0"/>
          <w:szCs w:val="24"/>
        </w:rPr>
        <w:t xml:space="preserve"> studie schválena v Centrální komisi MD (12/2021)</w:t>
      </w:r>
      <w:r w:rsidR="007605AD">
        <w:rPr>
          <w:rFonts w:ascii="Tahoma" w:hAnsi="Tahoma" w:cs="Tahoma"/>
          <w:bCs/>
          <w:snapToGrid w:val="0"/>
          <w:szCs w:val="24"/>
        </w:rPr>
        <w:t>, zpracování dokumentace EIA</w:t>
      </w:r>
      <w:r w:rsidRPr="006E1322">
        <w:rPr>
          <w:rFonts w:ascii="Tahoma" w:hAnsi="Tahoma" w:cs="Tahoma"/>
          <w:bCs/>
          <w:snapToGrid w:val="0"/>
          <w:szCs w:val="24"/>
        </w:rPr>
        <w:t>.</w:t>
      </w:r>
    </w:p>
    <w:p w14:paraId="0F06320C" w14:textId="7C27D1BA" w:rsidR="00F273E9" w:rsidRPr="00E27B75" w:rsidRDefault="00A94534" w:rsidP="00D63D6D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</w:t>
      </w:r>
      <w:r w:rsidR="00F273E9" w:rsidRPr="00E27B75">
        <w:rPr>
          <w:rFonts w:ascii="Tahoma" w:hAnsi="Tahoma" w:cs="Tahoma"/>
          <w:b/>
          <w:bCs/>
          <w:snapToGrid w:val="0"/>
          <w:szCs w:val="24"/>
          <w:u w:val="single"/>
        </w:rPr>
        <w:t>ilnice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F273E9" w:rsidRPr="00E27B75">
        <w:rPr>
          <w:rFonts w:ascii="Tahoma" w:hAnsi="Tahoma" w:cs="Tahoma"/>
          <w:b/>
          <w:bCs/>
          <w:snapToGrid w:val="0"/>
          <w:szCs w:val="24"/>
          <w:u w:val="single"/>
        </w:rPr>
        <w:t>I/45 Bruntál - východní obchvat, I. etapa</w:t>
      </w:r>
    </w:p>
    <w:p w14:paraId="0F06320E" w14:textId="6CA21F36" w:rsidR="006577D5" w:rsidRPr="00F1647E" w:rsidRDefault="00AC6CBD" w:rsidP="00E219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tavba </w:t>
      </w:r>
      <w:r w:rsidR="00555D68" w:rsidRPr="00E27B75">
        <w:rPr>
          <w:rFonts w:ascii="Tahoma" w:hAnsi="Tahoma" w:cs="Tahoma"/>
          <w:bCs/>
          <w:snapToGrid w:val="0"/>
          <w:szCs w:val="24"/>
        </w:rPr>
        <w:t xml:space="preserve">(T61) 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je projektována v kategorii </w:t>
      </w:r>
      <w:r w:rsidR="00D56C59">
        <w:rPr>
          <w:rFonts w:ascii="Tahoma" w:hAnsi="Tahoma" w:cs="Tahoma"/>
          <w:bCs/>
          <w:snapToGrid w:val="0"/>
          <w:szCs w:val="24"/>
        </w:rPr>
        <w:t>S 9,5/70</w:t>
      </w:r>
      <w:r w:rsidR="00873B6F">
        <w:rPr>
          <w:rFonts w:ascii="Tahoma" w:hAnsi="Tahoma" w:cs="Tahoma"/>
          <w:bCs/>
          <w:snapToGrid w:val="0"/>
          <w:szCs w:val="24"/>
        </w:rPr>
        <w:t>. J</w:t>
      </w:r>
      <w:r w:rsidR="00F273E9" w:rsidRPr="00E27B75">
        <w:rPr>
          <w:rFonts w:ascii="Tahoma" w:hAnsi="Tahoma" w:cs="Tahoma"/>
          <w:bCs/>
          <w:snapToGrid w:val="0"/>
          <w:szCs w:val="24"/>
        </w:rPr>
        <w:t>edná se o směrově nedělenou dvoupruhovou silnici I. třídy s možností napojení na výhledový severní obchvat města Bruntálu a výhledovou přeložku silnice I/11. Stavba začíná jižně od Bruntálu, kde se napojuje na stávající silnici I/45 vedenou do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="00F273E9" w:rsidRPr="00E27B75">
        <w:rPr>
          <w:rFonts w:ascii="Tahoma" w:hAnsi="Tahoma" w:cs="Tahoma"/>
          <w:bCs/>
          <w:snapToGrid w:val="0"/>
          <w:szCs w:val="24"/>
        </w:rPr>
        <w:t>Olomouce. Dále je trasa vedena severovýchodním směrem přes železniční trať Olomouc</w:t>
      </w:r>
      <w:r w:rsidR="00977E8D">
        <w:rPr>
          <w:rFonts w:ascii="Tahoma" w:hAnsi="Tahoma" w:cs="Tahoma"/>
          <w:bCs/>
          <w:snapToGrid w:val="0"/>
          <w:szCs w:val="24"/>
        </w:rPr>
        <w:t xml:space="preserve">, 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hl. nádraží – Krnov </w:t>
      </w:r>
      <w:r w:rsidR="00873B6F">
        <w:rPr>
          <w:rFonts w:ascii="Tahoma" w:hAnsi="Tahoma" w:cs="Tahoma"/>
          <w:bCs/>
          <w:snapToGrid w:val="0"/>
          <w:szCs w:val="24"/>
        </w:rPr>
        <w:lastRenderedPageBreak/>
        <w:t xml:space="preserve">s napojením kříží </w:t>
      </w:r>
      <w:r w:rsidR="00F273E9" w:rsidRPr="00E27B75">
        <w:rPr>
          <w:rFonts w:ascii="Tahoma" w:hAnsi="Tahoma" w:cs="Tahoma"/>
          <w:bCs/>
          <w:snapToGrid w:val="0"/>
          <w:szCs w:val="24"/>
        </w:rPr>
        <w:t>stávající silnic</w:t>
      </w:r>
      <w:r w:rsidR="00873B6F">
        <w:rPr>
          <w:rFonts w:ascii="Tahoma" w:hAnsi="Tahoma" w:cs="Tahoma"/>
          <w:bCs/>
          <w:snapToGrid w:val="0"/>
          <w:szCs w:val="24"/>
        </w:rPr>
        <w:t>i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I/11, stavba dále pokračuje na sever, podchází opět železniční trať Olomouc</w:t>
      </w:r>
      <w:r w:rsidR="00977E8D">
        <w:rPr>
          <w:rFonts w:ascii="Tahoma" w:hAnsi="Tahoma" w:cs="Tahoma"/>
          <w:bCs/>
          <w:snapToGrid w:val="0"/>
          <w:szCs w:val="24"/>
        </w:rPr>
        <w:t>,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hl. nádraží </w:t>
      </w:r>
      <w:r w:rsidR="003F798E" w:rsidRPr="00E27B75">
        <w:rPr>
          <w:rFonts w:ascii="Tahoma" w:hAnsi="Tahoma" w:cs="Tahoma"/>
          <w:bCs/>
          <w:snapToGrid w:val="0"/>
          <w:szCs w:val="24"/>
        </w:rPr>
        <w:t>-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Krnov a </w:t>
      </w:r>
      <w:r w:rsidR="00F273E9" w:rsidRPr="00F1647E">
        <w:rPr>
          <w:rFonts w:ascii="Tahoma" w:hAnsi="Tahoma" w:cs="Tahoma"/>
          <w:bCs/>
          <w:snapToGrid w:val="0"/>
          <w:szCs w:val="24"/>
        </w:rPr>
        <w:t>napojuje se na trasu silnice I/45 (napojení obchvatu Oborné) vedoucí do</w:t>
      </w:r>
      <w:r w:rsidR="00D820AE" w:rsidRPr="00F1647E">
        <w:rPr>
          <w:rFonts w:ascii="Tahoma" w:hAnsi="Tahoma" w:cs="Tahoma"/>
          <w:bCs/>
          <w:snapToGrid w:val="0"/>
          <w:szCs w:val="24"/>
        </w:rPr>
        <w:t> </w:t>
      </w:r>
      <w:r w:rsidR="00F273E9" w:rsidRPr="00F1647E">
        <w:rPr>
          <w:rFonts w:ascii="Tahoma" w:hAnsi="Tahoma" w:cs="Tahoma"/>
          <w:bCs/>
          <w:snapToGrid w:val="0"/>
          <w:szCs w:val="24"/>
        </w:rPr>
        <w:t>Kr</w:t>
      </w:r>
      <w:r w:rsidR="00873B6F" w:rsidRPr="00F1647E">
        <w:rPr>
          <w:rFonts w:ascii="Tahoma" w:hAnsi="Tahoma" w:cs="Tahoma"/>
          <w:bCs/>
          <w:snapToGrid w:val="0"/>
          <w:szCs w:val="24"/>
        </w:rPr>
        <w:t>nova</w:t>
      </w:r>
      <w:r w:rsidR="00F273E9" w:rsidRPr="00F1647E">
        <w:rPr>
          <w:rFonts w:ascii="Tahoma" w:hAnsi="Tahoma" w:cs="Tahoma"/>
          <w:bCs/>
          <w:snapToGrid w:val="0"/>
          <w:szCs w:val="24"/>
        </w:rPr>
        <w:t>.</w:t>
      </w:r>
      <w:r w:rsidR="00F1647E" w:rsidRPr="00F1647E">
        <w:rPr>
          <w:rFonts w:ascii="Tahoma" w:hAnsi="Tahoma" w:cs="Tahoma"/>
          <w:bCs/>
          <w:snapToGrid w:val="0"/>
          <w:szCs w:val="24"/>
        </w:rPr>
        <w:t xml:space="preserve"> </w:t>
      </w:r>
      <w:r w:rsidR="007076DC" w:rsidRPr="006E1322">
        <w:rPr>
          <w:rFonts w:ascii="Tahoma" w:hAnsi="Tahoma" w:cs="Tahoma"/>
          <w:bCs/>
          <w:snapToGrid w:val="0"/>
          <w:szCs w:val="24"/>
        </w:rPr>
        <w:t>Majetkoprávní příprava,</w:t>
      </w:r>
      <w:r w:rsidR="006E1322" w:rsidRPr="006E1322">
        <w:rPr>
          <w:rFonts w:ascii="Tahoma" w:hAnsi="Tahoma" w:cs="Tahoma"/>
          <w:bCs/>
          <w:snapToGrid w:val="0"/>
          <w:szCs w:val="24"/>
        </w:rPr>
        <w:t xml:space="preserve"> </w:t>
      </w:r>
      <w:r w:rsidR="0007088D">
        <w:rPr>
          <w:rFonts w:ascii="Tahoma" w:hAnsi="Tahoma" w:cs="Tahoma"/>
          <w:bCs/>
          <w:snapToGrid w:val="0"/>
          <w:szCs w:val="24"/>
        </w:rPr>
        <w:t>v 8/2022 vydáno stavební povolení</w:t>
      </w:r>
      <w:r w:rsidR="00FB062F" w:rsidRPr="00F1647E">
        <w:rPr>
          <w:rFonts w:ascii="Tahoma" w:hAnsi="Tahoma" w:cs="Tahoma"/>
          <w:bCs/>
          <w:snapToGrid w:val="0"/>
          <w:szCs w:val="24"/>
        </w:rPr>
        <w:t>.</w:t>
      </w:r>
    </w:p>
    <w:p w14:paraId="0F063213" w14:textId="77777777" w:rsidR="003E7F9B" w:rsidRPr="003E7F9B" w:rsidRDefault="003E7F9B" w:rsidP="004F7B33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3E7F9B">
        <w:rPr>
          <w:rFonts w:ascii="Tahoma" w:hAnsi="Tahoma" w:cs="Tahoma"/>
          <w:b/>
          <w:bCs/>
          <w:snapToGrid w:val="0"/>
          <w:szCs w:val="24"/>
          <w:u w:val="single"/>
        </w:rPr>
        <w:t>Silnice I/35 Lešná – Palačov</w:t>
      </w:r>
    </w:p>
    <w:p w14:paraId="0F063215" w14:textId="5909C441" w:rsidR="003E7F9B" w:rsidRPr="00B67D09" w:rsidRDefault="00DE68FA" w:rsidP="00DE68FA">
      <w:pPr>
        <w:pStyle w:val="Zkladntext"/>
        <w:spacing w:after="120"/>
        <w:rPr>
          <w:rFonts w:ascii="Tahoma" w:hAnsi="Tahoma" w:cs="Tahoma"/>
          <w:bCs/>
          <w:snapToGrid w:val="0"/>
          <w:color w:val="FF000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</w:t>
      </w:r>
      <w:r w:rsidRPr="003E4286">
        <w:rPr>
          <w:rFonts w:ascii="Tahoma" w:hAnsi="Tahoma" w:cs="Tahoma"/>
          <w:bCs/>
          <w:snapToGrid w:val="0"/>
          <w:szCs w:val="24"/>
        </w:rPr>
        <w:t>tavba (Z57) přeložky silnice I/35</w:t>
      </w:r>
      <w:r>
        <w:rPr>
          <w:rFonts w:ascii="Tahoma" w:hAnsi="Tahoma" w:cs="Tahoma"/>
          <w:bCs/>
          <w:snapToGrid w:val="0"/>
          <w:szCs w:val="24"/>
        </w:rPr>
        <w:t xml:space="preserve"> doplňuje páteřní síť Moravskoslezského kraje, znamená dopravní připojení valašského regionu kapacitními komunikacemi na dálniční tah Praha – Brno – Ostrava. Stavba přímo převádí dopravní zátěž stávající silnice I/35 na průtahu měst Hranice a Lipník nad Bečvou do nové trasy napojené na D48 u </w:t>
      </w:r>
      <w:proofErr w:type="spellStart"/>
      <w:r>
        <w:rPr>
          <w:rFonts w:ascii="Tahoma" w:hAnsi="Tahoma" w:cs="Tahoma"/>
          <w:bCs/>
          <w:snapToGrid w:val="0"/>
          <w:szCs w:val="24"/>
        </w:rPr>
        <w:t>Palačova</w:t>
      </w:r>
      <w:proofErr w:type="spellEnd"/>
      <w:r>
        <w:rPr>
          <w:rFonts w:ascii="Tahoma" w:hAnsi="Tahoma" w:cs="Tahoma"/>
          <w:bCs/>
          <w:snapToGrid w:val="0"/>
          <w:szCs w:val="24"/>
        </w:rPr>
        <w:t>. Přestože území Moravskoslezského kraje zasáhne jen minimálně, z dopravního hlediska však významně odlehčí silnici I/57 na průtahu Novým Jičínem a Hodslavicemi.</w:t>
      </w:r>
      <w:r w:rsidR="00F1647E">
        <w:rPr>
          <w:rFonts w:ascii="Tahoma" w:hAnsi="Tahoma" w:cs="Tahoma"/>
          <w:bCs/>
          <w:snapToGrid w:val="0"/>
          <w:szCs w:val="24"/>
        </w:rPr>
        <w:t xml:space="preserve"> </w:t>
      </w:r>
      <w:r w:rsidR="00442C84">
        <w:rPr>
          <w:rFonts w:ascii="Tahoma" w:hAnsi="Tahoma" w:cs="Tahoma"/>
          <w:bCs/>
          <w:snapToGrid w:val="0"/>
          <w:szCs w:val="24"/>
        </w:rPr>
        <w:t xml:space="preserve">Stavba rozdělena na 2 etapy </w:t>
      </w:r>
      <w:r w:rsidR="002834BD">
        <w:rPr>
          <w:rFonts w:ascii="Tahoma" w:hAnsi="Tahoma" w:cs="Tahoma"/>
          <w:bCs/>
          <w:snapToGrid w:val="0"/>
          <w:szCs w:val="24"/>
        </w:rPr>
        <w:t>„</w:t>
      </w:r>
      <w:r w:rsidR="002834BD" w:rsidRPr="002834BD">
        <w:rPr>
          <w:rFonts w:ascii="Tahoma" w:hAnsi="Tahoma" w:cs="Tahoma"/>
          <w:bCs/>
          <w:snapToGrid w:val="0"/>
          <w:szCs w:val="24"/>
        </w:rPr>
        <w:t>I/35 Lešná–Palačov</w:t>
      </w:r>
      <w:r w:rsidR="002834BD">
        <w:rPr>
          <w:rFonts w:ascii="Tahoma" w:hAnsi="Tahoma" w:cs="Tahoma"/>
          <w:bCs/>
          <w:snapToGrid w:val="0"/>
          <w:szCs w:val="24"/>
        </w:rPr>
        <w:t>“ a „</w:t>
      </w:r>
      <w:r w:rsidR="002834BD" w:rsidRPr="002834BD">
        <w:rPr>
          <w:rFonts w:ascii="Tahoma" w:hAnsi="Tahoma" w:cs="Tahoma"/>
          <w:bCs/>
          <w:snapToGrid w:val="0"/>
          <w:szCs w:val="24"/>
        </w:rPr>
        <w:t>D48 Dub – Palačov (I/35 Lešná–Palačov)</w:t>
      </w:r>
      <w:r w:rsidR="002834BD">
        <w:rPr>
          <w:rFonts w:ascii="Tahoma" w:hAnsi="Tahoma" w:cs="Tahoma"/>
          <w:bCs/>
          <w:snapToGrid w:val="0"/>
          <w:szCs w:val="24"/>
        </w:rPr>
        <w:t>“, p</w:t>
      </w:r>
      <w:r w:rsidR="00CC5DF8" w:rsidRPr="004F7B33">
        <w:rPr>
          <w:rFonts w:ascii="Tahoma" w:hAnsi="Tahoma" w:cs="Tahoma"/>
          <w:bCs/>
          <w:snapToGrid w:val="0"/>
          <w:szCs w:val="24"/>
        </w:rPr>
        <w:t>robíhá výběr zhotovitele stavby</w:t>
      </w:r>
      <w:r w:rsidRPr="004F7B33">
        <w:rPr>
          <w:rFonts w:ascii="Tahoma" w:hAnsi="Tahoma" w:cs="Tahoma"/>
          <w:bCs/>
          <w:snapToGrid w:val="0"/>
          <w:szCs w:val="24"/>
        </w:rPr>
        <w:t>.</w:t>
      </w:r>
    </w:p>
    <w:p w14:paraId="3AB06F6F" w14:textId="77777777" w:rsidR="00860F48" w:rsidRDefault="00860F48" w:rsidP="00976A48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Silnice I/57 Vrchy, obchvat</w:t>
      </w:r>
    </w:p>
    <w:p w14:paraId="189AC016" w14:textId="24E6E544" w:rsidR="0098615F" w:rsidRDefault="0098615F" w:rsidP="00226F95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226F95">
        <w:rPr>
          <w:rFonts w:ascii="Tahoma" w:hAnsi="Tahoma" w:cs="Tahoma"/>
          <w:bCs/>
          <w:snapToGrid w:val="0"/>
          <w:szCs w:val="24"/>
        </w:rPr>
        <w:t xml:space="preserve">Stavba (T78) </w:t>
      </w:r>
      <w:r w:rsidR="00226F95" w:rsidRPr="00226F95">
        <w:rPr>
          <w:rFonts w:ascii="Tahoma" w:hAnsi="Tahoma" w:cs="Tahoma"/>
          <w:bCs/>
          <w:snapToGrid w:val="0"/>
          <w:szCs w:val="24"/>
        </w:rPr>
        <w:t>přeložky silnice I/57</w:t>
      </w:r>
      <w:r w:rsidR="002018DF">
        <w:rPr>
          <w:rFonts w:ascii="Tahoma" w:hAnsi="Tahoma" w:cs="Tahoma"/>
          <w:bCs/>
          <w:snapToGrid w:val="0"/>
          <w:szCs w:val="24"/>
        </w:rPr>
        <w:t xml:space="preserve">, vyvedení tranzitní dopravy z obce Vrchy, </w:t>
      </w:r>
      <w:r w:rsidR="00384CE7">
        <w:rPr>
          <w:rFonts w:ascii="Tahoma" w:hAnsi="Tahoma" w:cs="Tahoma"/>
          <w:bCs/>
          <w:snapToGrid w:val="0"/>
          <w:szCs w:val="24"/>
        </w:rPr>
        <w:t>záměr projektu schválen Centrální komisí MD</w:t>
      </w:r>
      <w:r w:rsidR="008D021D">
        <w:rPr>
          <w:rFonts w:ascii="Tahoma" w:hAnsi="Tahoma" w:cs="Tahoma"/>
          <w:bCs/>
          <w:snapToGrid w:val="0"/>
          <w:szCs w:val="24"/>
        </w:rPr>
        <w:t xml:space="preserve"> (6/2021), </w:t>
      </w:r>
      <w:r w:rsidR="00221C88">
        <w:rPr>
          <w:rFonts w:ascii="Tahoma" w:hAnsi="Tahoma" w:cs="Tahoma"/>
          <w:bCs/>
          <w:snapToGrid w:val="0"/>
          <w:szCs w:val="24"/>
        </w:rPr>
        <w:t>zpracování dokumentace EIA</w:t>
      </w:r>
      <w:r w:rsidR="008D021D">
        <w:rPr>
          <w:rFonts w:ascii="Tahoma" w:hAnsi="Tahoma" w:cs="Tahoma"/>
          <w:bCs/>
          <w:snapToGrid w:val="0"/>
          <w:szCs w:val="24"/>
        </w:rPr>
        <w:t>.</w:t>
      </w:r>
    </w:p>
    <w:p w14:paraId="200E3CCF" w14:textId="4D324E66" w:rsidR="008B047E" w:rsidRDefault="008B047E" w:rsidP="008B047E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 xml:space="preserve">Silnice </w:t>
      </w:r>
      <w:r w:rsidR="003B5EF1" w:rsidRPr="003B5EF1">
        <w:rPr>
          <w:rFonts w:ascii="Tahoma" w:hAnsi="Tahoma" w:cs="Tahoma"/>
          <w:b/>
          <w:bCs/>
          <w:snapToGrid w:val="0"/>
          <w:szCs w:val="24"/>
          <w:u w:val="single"/>
        </w:rPr>
        <w:t>I/45 Nové Heřminovy – Zátor, I. etapa</w:t>
      </w:r>
    </w:p>
    <w:p w14:paraId="5D3F92D6" w14:textId="0C27F4E4" w:rsidR="008B047E" w:rsidRDefault="008B047E" w:rsidP="00FB3A1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226F95">
        <w:rPr>
          <w:rFonts w:ascii="Tahoma" w:hAnsi="Tahoma" w:cs="Tahoma"/>
          <w:bCs/>
          <w:snapToGrid w:val="0"/>
          <w:szCs w:val="24"/>
        </w:rPr>
        <w:t>Stavba (T8</w:t>
      </w:r>
      <w:r w:rsidR="003B5EF1">
        <w:rPr>
          <w:rFonts w:ascii="Tahoma" w:hAnsi="Tahoma" w:cs="Tahoma"/>
          <w:bCs/>
          <w:snapToGrid w:val="0"/>
          <w:szCs w:val="24"/>
        </w:rPr>
        <w:t>3</w:t>
      </w:r>
      <w:r w:rsidRPr="00226F95">
        <w:rPr>
          <w:rFonts w:ascii="Tahoma" w:hAnsi="Tahoma" w:cs="Tahoma"/>
          <w:bCs/>
          <w:snapToGrid w:val="0"/>
          <w:szCs w:val="24"/>
        </w:rPr>
        <w:t>) přeložky silnice I/</w:t>
      </w:r>
      <w:r w:rsidR="0097327A">
        <w:rPr>
          <w:rFonts w:ascii="Tahoma" w:hAnsi="Tahoma" w:cs="Tahoma"/>
          <w:bCs/>
          <w:snapToGrid w:val="0"/>
          <w:szCs w:val="24"/>
        </w:rPr>
        <w:t>4</w:t>
      </w:r>
      <w:r w:rsidRPr="00226F95">
        <w:rPr>
          <w:rFonts w:ascii="Tahoma" w:hAnsi="Tahoma" w:cs="Tahoma"/>
          <w:bCs/>
          <w:snapToGrid w:val="0"/>
          <w:szCs w:val="24"/>
        </w:rPr>
        <w:t>5</w:t>
      </w:r>
      <w:r>
        <w:rPr>
          <w:rFonts w:ascii="Tahoma" w:hAnsi="Tahoma" w:cs="Tahoma"/>
          <w:bCs/>
          <w:snapToGrid w:val="0"/>
          <w:szCs w:val="24"/>
        </w:rPr>
        <w:t xml:space="preserve">, </w:t>
      </w:r>
      <w:r w:rsidR="0072488E">
        <w:rPr>
          <w:rFonts w:ascii="Tahoma" w:hAnsi="Tahoma" w:cs="Tahoma"/>
          <w:bCs/>
          <w:snapToGrid w:val="0"/>
          <w:szCs w:val="24"/>
        </w:rPr>
        <w:t xml:space="preserve">vyvoláno stavbou </w:t>
      </w:r>
      <w:r w:rsidR="00FB3A16" w:rsidRPr="00FB3A16">
        <w:rPr>
          <w:rFonts w:ascii="Tahoma" w:hAnsi="Tahoma" w:cs="Tahoma"/>
          <w:bCs/>
          <w:snapToGrid w:val="0"/>
          <w:szCs w:val="24"/>
        </w:rPr>
        <w:t>protipovodňových opatření na Horní Opavě a Vodního díla Nové Heřmino</w:t>
      </w:r>
      <w:r w:rsidR="00FB3A16">
        <w:rPr>
          <w:rFonts w:ascii="Tahoma" w:hAnsi="Tahoma" w:cs="Tahoma"/>
          <w:bCs/>
          <w:snapToGrid w:val="0"/>
          <w:szCs w:val="24"/>
        </w:rPr>
        <w:t>vy.</w:t>
      </w:r>
      <w:r w:rsidR="00543ED4">
        <w:rPr>
          <w:rFonts w:ascii="Tahoma" w:hAnsi="Tahoma" w:cs="Tahoma"/>
          <w:bCs/>
          <w:snapToGrid w:val="0"/>
          <w:szCs w:val="24"/>
        </w:rPr>
        <w:t xml:space="preserve"> </w:t>
      </w:r>
      <w:r w:rsidR="00312CC2" w:rsidRPr="00107F8F">
        <w:rPr>
          <w:rFonts w:ascii="Tahoma" w:hAnsi="Tahoma" w:cs="Tahoma"/>
          <w:bCs/>
          <w:snapToGrid w:val="0"/>
          <w:szCs w:val="24"/>
        </w:rPr>
        <w:t>P</w:t>
      </w:r>
      <w:r w:rsidR="00543ED4" w:rsidRPr="00107F8F">
        <w:rPr>
          <w:rFonts w:ascii="Tahoma" w:hAnsi="Tahoma" w:cs="Tahoma"/>
          <w:bCs/>
          <w:snapToGrid w:val="0"/>
          <w:szCs w:val="24"/>
        </w:rPr>
        <w:t>robíhá územní řízen</w:t>
      </w:r>
      <w:r w:rsidR="00312CC2" w:rsidRPr="00107F8F">
        <w:rPr>
          <w:rFonts w:ascii="Tahoma" w:hAnsi="Tahoma" w:cs="Tahoma"/>
          <w:bCs/>
          <w:snapToGrid w:val="0"/>
          <w:szCs w:val="24"/>
        </w:rPr>
        <w:t>í</w:t>
      </w:r>
      <w:r w:rsidR="00107F8F">
        <w:rPr>
          <w:rFonts w:ascii="Tahoma" w:hAnsi="Tahoma" w:cs="Tahoma"/>
          <w:bCs/>
          <w:snapToGrid w:val="0"/>
          <w:szCs w:val="24"/>
        </w:rPr>
        <w:t xml:space="preserve"> (MěÚ Bruntál)</w:t>
      </w:r>
      <w:r>
        <w:rPr>
          <w:rFonts w:ascii="Tahoma" w:hAnsi="Tahoma" w:cs="Tahoma"/>
          <w:bCs/>
          <w:snapToGrid w:val="0"/>
          <w:szCs w:val="24"/>
        </w:rPr>
        <w:t>.</w:t>
      </w:r>
    </w:p>
    <w:p w14:paraId="06DE0A52" w14:textId="44A8BE56" w:rsidR="00976A48" w:rsidRPr="00E27B75" w:rsidRDefault="00976A48" w:rsidP="00976A48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Hradec n. Moravicí, obchvat (I/57)</w:t>
      </w:r>
    </w:p>
    <w:p w14:paraId="7000AA6B" w14:textId="1095AF59" w:rsidR="00976A48" w:rsidRPr="00E27B75" w:rsidRDefault="00976A48" w:rsidP="00976A48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Stavba je projektována v kategorii směrově nedělené dvoupruhové komunikace. Jedná se o vyvedení tranzitní dopravy z vlastního území města, místní části Kajlovec a obce Branka východním obchvatem.</w:t>
      </w:r>
      <w:r w:rsidR="00A3494C">
        <w:rPr>
          <w:rFonts w:ascii="Tahoma" w:hAnsi="Tahoma" w:cs="Tahoma"/>
          <w:bCs/>
          <w:snapToGrid w:val="0"/>
          <w:szCs w:val="24"/>
        </w:rPr>
        <w:t xml:space="preserve"> </w:t>
      </w:r>
      <w:r w:rsidRPr="00E27B75">
        <w:rPr>
          <w:rFonts w:ascii="Tahoma" w:hAnsi="Tahoma" w:cs="Tahoma"/>
          <w:bCs/>
          <w:snapToGrid w:val="0"/>
          <w:szCs w:val="24"/>
        </w:rPr>
        <w:t>Jedná se o stavbu, u které bylo vládním usnesením č. 1064/2007 uloženo ministrovi dopravy zapracovat návrh její realizace a financování do aktualizace Harmonogramu výstavby dopravní infrastruktury na r. 2008 - bližší rozsah prací a časový harmonogram dosud není znám.</w:t>
      </w:r>
    </w:p>
    <w:p w14:paraId="7D886E72" w14:textId="76020146" w:rsidR="006B5FDC" w:rsidRDefault="006B5FDC" w:rsidP="00DE68FA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</w:p>
    <w:p w14:paraId="1C5A7A52" w14:textId="77777777" w:rsidR="006B5FDC" w:rsidRDefault="006B5FDC" w:rsidP="006B5FDC">
      <w:pPr>
        <w:pStyle w:val="Zhlav"/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Vysvětlivky:</w:t>
      </w:r>
    </w:p>
    <w:p w14:paraId="1A3681BD" w14:textId="0E7DF133" w:rsidR="008C020D" w:rsidRDefault="008C020D" w:rsidP="00386B03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 w:rsidRPr="00312CC2">
        <w:rPr>
          <w:rFonts w:ascii="Tahoma" w:hAnsi="Tahoma" w:cs="Tahoma"/>
          <w:sz w:val="28"/>
        </w:rPr>
        <w:t>ZÚR MSK</w:t>
      </w:r>
      <w:r w:rsidRPr="00312CC2">
        <w:rPr>
          <w:rFonts w:ascii="Tahoma" w:hAnsi="Tahoma" w:cs="Tahoma"/>
          <w:sz w:val="28"/>
        </w:rPr>
        <w:tab/>
        <w:t>Zásady územního rozvoje Moravskoslezského kraje</w:t>
      </w:r>
    </w:p>
    <w:p w14:paraId="56135688" w14:textId="16CEE511" w:rsidR="006B5FDC" w:rsidRDefault="006B5FDC" w:rsidP="00386B03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EIA</w:t>
      </w:r>
      <w:r>
        <w:rPr>
          <w:rFonts w:ascii="Tahoma" w:hAnsi="Tahoma" w:cs="Tahoma"/>
          <w:sz w:val="28"/>
        </w:rPr>
        <w:tab/>
        <w:t>posuzování vlivů na životní prostředí</w:t>
      </w:r>
    </w:p>
    <w:p w14:paraId="3EEB88D5" w14:textId="4EFBDBB0" w:rsidR="006B5FDC" w:rsidRDefault="004723AA" w:rsidP="00386B03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MÚK</w:t>
      </w:r>
      <w:r w:rsidR="006B5FDC"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>mimoúrovňová křižovatka</w:t>
      </w:r>
    </w:p>
    <w:p w14:paraId="4E6C80C1" w14:textId="68B971FF" w:rsidR="006B5FDC" w:rsidRDefault="001A7E95" w:rsidP="00386B03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MK</w:t>
      </w:r>
      <w:r w:rsidR="006B5FDC"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>místní komunikace</w:t>
      </w:r>
    </w:p>
    <w:p w14:paraId="45F7CFFE" w14:textId="77777777" w:rsidR="006B5FDC" w:rsidRPr="00F640C7" w:rsidRDefault="006B5FDC" w:rsidP="00DE68FA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</w:p>
    <w:sectPr w:rsidR="006B5FDC" w:rsidRPr="00F640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CA4E" w14:textId="77777777" w:rsidR="008571C2" w:rsidRDefault="008571C2">
      <w:r>
        <w:separator/>
      </w:r>
    </w:p>
  </w:endnote>
  <w:endnote w:type="continuationSeparator" w:id="0">
    <w:p w14:paraId="7FA0891D" w14:textId="77777777" w:rsidR="008571C2" w:rsidRDefault="0085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321C" w14:textId="77777777" w:rsidR="00F77843" w:rsidRDefault="00F778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06321D" w14:textId="77777777" w:rsidR="00F77843" w:rsidRDefault="00F77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321E" w14:textId="580A4763" w:rsidR="00F77843" w:rsidRPr="008F1628" w:rsidRDefault="00E5693D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617FFA" wp14:editId="41532DD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3084719886e25c5db324ff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6C7F57" w14:textId="63A9C8EB" w:rsidR="00E5693D" w:rsidRPr="00E5693D" w:rsidRDefault="00E5693D" w:rsidP="00E5693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17FFA" id="_x0000_t202" coordsize="21600,21600" o:spt="202" path="m,l,21600r21600,l21600,xe">
              <v:stroke joinstyle="miter"/>
              <v:path gradientshapeok="t" o:connecttype="rect"/>
            </v:shapetype>
            <v:shape id="MSIPCMd3084719886e25c5db324ff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6C7F57" w14:textId="63A9C8EB" w:rsidR="00E5693D" w:rsidRPr="00E5693D" w:rsidRDefault="00E5693D" w:rsidP="00E5693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77843" w:rsidRPr="008F1628">
      <w:rPr>
        <w:rStyle w:val="slostrnky"/>
        <w:rFonts w:ascii="Tahoma" w:hAnsi="Tahoma" w:cs="Tahoma"/>
      </w:rPr>
      <w:fldChar w:fldCharType="begin"/>
    </w:r>
    <w:r w:rsidR="00F77843" w:rsidRPr="008F1628">
      <w:rPr>
        <w:rStyle w:val="slostrnky"/>
        <w:rFonts w:ascii="Tahoma" w:hAnsi="Tahoma" w:cs="Tahoma"/>
      </w:rPr>
      <w:instrText xml:space="preserve"> PAGE </w:instrText>
    </w:r>
    <w:r w:rsidR="00F77843" w:rsidRPr="008F1628">
      <w:rPr>
        <w:rStyle w:val="slostrnky"/>
        <w:rFonts w:ascii="Tahoma" w:hAnsi="Tahoma" w:cs="Tahoma"/>
      </w:rPr>
      <w:fldChar w:fldCharType="separate"/>
    </w:r>
    <w:r w:rsidR="00397A1F">
      <w:rPr>
        <w:rStyle w:val="slostrnky"/>
        <w:rFonts w:ascii="Tahoma" w:hAnsi="Tahoma" w:cs="Tahoma"/>
        <w:noProof/>
      </w:rPr>
      <w:t>3</w:t>
    </w:r>
    <w:r w:rsidR="00F77843"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EEF6" w14:textId="6A709EB6" w:rsidR="00E5693D" w:rsidRDefault="00E5693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D85AF03" wp14:editId="5F65C83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08e4882bba35ee400fdd18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C0B03F" w14:textId="038DDCA8" w:rsidR="00E5693D" w:rsidRPr="00E5693D" w:rsidRDefault="00E5693D" w:rsidP="00E5693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5AF03" id="_x0000_t202" coordsize="21600,21600" o:spt="202" path="m,l,21600r21600,l21600,xe">
              <v:stroke joinstyle="miter"/>
              <v:path gradientshapeok="t" o:connecttype="rect"/>
            </v:shapetype>
            <v:shape id="MSIPCM308e4882bba35ee400fdd18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EC0B03F" w14:textId="038DDCA8" w:rsidR="00E5693D" w:rsidRPr="00E5693D" w:rsidRDefault="00E5693D" w:rsidP="00E5693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3E9F" w14:textId="77777777" w:rsidR="008571C2" w:rsidRDefault="008571C2">
      <w:pPr>
        <w:pStyle w:val="Zkladntext"/>
      </w:pPr>
      <w:r>
        <w:separator/>
      </w:r>
    </w:p>
  </w:footnote>
  <w:footnote w:type="continuationSeparator" w:id="0">
    <w:p w14:paraId="6D86E0CB" w14:textId="77777777" w:rsidR="008571C2" w:rsidRDefault="0085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F9D2" w14:textId="77777777" w:rsidR="00E5693D" w:rsidRDefault="00E569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943C" w14:textId="77777777" w:rsidR="00E5693D" w:rsidRDefault="00E569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5A27" w14:textId="77777777" w:rsidR="00E5693D" w:rsidRDefault="00E569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80822916">
    <w:abstractNumId w:val="0"/>
  </w:num>
  <w:num w:numId="2" w16cid:durableId="18849309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274FD"/>
    <w:rsid w:val="00030D93"/>
    <w:rsid w:val="00033A9D"/>
    <w:rsid w:val="00037CB5"/>
    <w:rsid w:val="00050795"/>
    <w:rsid w:val="0005175E"/>
    <w:rsid w:val="0005333E"/>
    <w:rsid w:val="0007088D"/>
    <w:rsid w:val="00080B78"/>
    <w:rsid w:val="00093934"/>
    <w:rsid w:val="000977AB"/>
    <w:rsid w:val="000B4518"/>
    <w:rsid w:val="000C6F30"/>
    <w:rsid w:val="000F00D8"/>
    <w:rsid w:val="000F2B9D"/>
    <w:rsid w:val="000F37B6"/>
    <w:rsid w:val="000F3A98"/>
    <w:rsid w:val="00100CC5"/>
    <w:rsid w:val="00105A5B"/>
    <w:rsid w:val="00107F8F"/>
    <w:rsid w:val="00130177"/>
    <w:rsid w:val="001430EB"/>
    <w:rsid w:val="00164561"/>
    <w:rsid w:val="00170B20"/>
    <w:rsid w:val="00173859"/>
    <w:rsid w:val="001747FA"/>
    <w:rsid w:val="001A7E95"/>
    <w:rsid w:val="001B23F1"/>
    <w:rsid w:val="001D351D"/>
    <w:rsid w:val="001E402B"/>
    <w:rsid w:val="001F1AC9"/>
    <w:rsid w:val="002018DF"/>
    <w:rsid w:val="00207F89"/>
    <w:rsid w:val="00213A19"/>
    <w:rsid w:val="00215FD6"/>
    <w:rsid w:val="00221C88"/>
    <w:rsid w:val="00226F95"/>
    <w:rsid w:val="00227B78"/>
    <w:rsid w:val="002403E0"/>
    <w:rsid w:val="002433D0"/>
    <w:rsid w:val="00253F92"/>
    <w:rsid w:val="002834BD"/>
    <w:rsid w:val="002843B5"/>
    <w:rsid w:val="002A18BF"/>
    <w:rsid w:val="002A5150"/>
    <w:rsid w:val="002C2BB0"/>
    <w:rsid w:val="002D39BD"/>
    <w:rsid w:val="002D5E86"/>
    <w:rsid w:val="002D7DA6"/>
    <w:rsid w:val="002E2F78"/>
    <w:rsid w:val="002E7F13"/>
    <w:rsid w:val="002F6571"/>
    <w:rsid w:val="0030264C"/>
    <w:rsid w:val="003106D2"/>
    <w:rsid w:val="00312CC2"/>
    <w:rsid w:val="00337D94"/>
    <w:rsid w:val="00346317"/>
    <w:rsid w:val="00346BF7"/>
    <w:rsid w:val="003502AC"/>
    <w:rsid w:val="00371730"/>
    <w:rsid w:val="0038492E"/>
    <w:rsid w:val="00384CE7"/>
    <w:rsid w:val="00386B03"/>
    <w:rsid w:val="00397A1F"/>
    <w:rsid w:val="003B52DE"/>
    <w:rsid w:val="003B5DEB"/>
    <w:rsid w:val="003B5EF1"/>
    <w:rsid w:val="003D08FE"/>
    <w:rsid w:val="003D0B53"/>
    <w:rsid w:val="003D7C44"/>
    <w:rsid w:val="003E7F9B"/>
    <w:rsid w:val="003F798E"/>
    <w:rsid w:val="004052C6"/>
    <w:rsid w:val="004210A0"/>
    <w:rsid w:val="00437CFA"/>
    <w:rsid w:val="00442C84"/>
    <w:rsid w:val="00466FD2"/>
    <w:rsid w:val="0047169E"/>
    <w:rsid w:val="004723AA"/>
    <w:rsid w:val="00476E65"/>
    <w:rsid w:val="00493D42"/>
    <w:rsid w:val="004A0E6E"/>
    <w:rsid w:val="004A5545"/>
    <w:rsid w:val="004A79A4"/>
    <w:rsid w:val="004C1C40"/>
    <w:rsid w:val="004C655F"/>
    <w:rsid w:val="004F73BF"/>
    <w:rsid w:val="004F7B33"/>
    <w:rsid w:val="00501B26"/>
    <w:rsid w:val="00510523"/>
    <w:rsid w:val="0053260C"/>
    <w:rsid w:val="00543ED4"/>
    <w:rsid w:val="00547606"/>
    <w:rsid w:val="00551A57"/>
    <w:rsid w:val="00555D68"/>
    <w:rsid w:val="00577582"/>
    <w:rsid w:val="00581BA0"/>
    <w:rsid w:val="005D422E"/>
    <w:rsid w:val="005E29DC"/>
    <w:rsid w:val="005F4597"/>
    <w:rsid w:val="00600398"/>
    <w:rsid w:val="00625790"/>
    <w:rsid w:val="00635BCB"/>
    <w:rsid w:val="00647015"/>
    <w:rsid w:val="00650319"/>
    <w:rsid w:val="006577D5"/>
    <w:rsid w:val="006606BE"/>
    <w:rsid w:val="00663C6D"/>
    <w:rsid w:val="00665638"/>
    <w:rsid w:val="00692B3B"/>
    <w:rsid w:val="006A1229"/>
    <w:rsid w:val="006B5FDC"/>
    <w:rsid w:val="006C0EEE"/>
    <w:rsid w:val="006E1322"/>
    <w:rsid w:val="007065A0"/>
    <w:rsid w:val="007076DC"/>
    <w:rsid w:val="00715158"/>
    <w:rsid w:val="00720355"/>
    <w:rsid w:val="0072488E"/>
    <w:rsid w:val="00732B94"/>
    <w:rsid w:val="00750A6C"/>
    <w:rsid w:val="007605AD"/>
    <w:rsid w:val="007B4887"/>
    <w:rsid w:val="007C2265"/>
    <w:rsid w:val="007E6F10"/>
    <w:rsid w:val="008021FA"/>
    <w:rsid w:val="00806CB7"/>
    <w:rsid w:val="00811C77"/>
    <w:rsid w:val="00816182"/>
    <w:rsid w:val="008571C2"/>
    <w:rsid w:val="00857C5A"/>
    <w:rsid w:val="008605DE"/>
    <w:rsid w:val="00860F48"/>
    <w:rsid w:val="0087138B"/>
    <w:rsid w:val="00873B6F"/>
    <w:rsid w:val="00894CCC"/>
    <w:rsid w:val="00894F2E"/>
    <w:rsid w:val="00895942"/>
    <w:rsid w:val="008B047E"/>
    <w:rsid w:val="008C020D"/>
    <w:rsid w:val="008C1785"/>
    <w:rsid w:val="008D021D"/>
    <w:rsid w:val="008E4B4A"/>
    <w:rsid w:val="008E5A0D"/>
    <w:rsid w:val="008F1049"/>
    <w:rsid w:val="008F1628"/>
    <w:rsid w:val="008F5EE9"/>
    <w:rsid w:val="0090049D"/>
    <w:rsid w:val="00903136"/>
    <w:rsid w:val="00904BDF"/>
    <w:rsid w:val="00915E63"/>
    <w:rsid w:val="00937BE2"/>
    <w:rsid w:val="0097327A"/>
    <w:rsid w:val="009736B7"/>
    <w:rsid w:val="00976A48"/>
    <w:rsid w:val="0097715F"/>
    <w:rsid w:val="00977E8D"/>
    <w:rsid w:val="00985D36"/>
    <w:rsid w:val="0098615F"/>
    <w:rsid w:val="00987475"/>
    <w:rsid w:val="00996AC2"/>
    <w:rsid w:val="009B2B45"/>
    <w:rsid w:val="009B3BF8"/>
    <w:rsid w:val="009D0390"/>
    <w:rsid w:val="00A200BB"/>
    <w:rsid w:val="00A26DCC"/>
    <w:rsid w:val="00A27D75"/>
    <w:rsid w:val="00A3494C"/>
    <w:rsid w:val="00A42941"/>
    <w:rsid w:val="00A47C6A"/>
    <w:rsid w:val="00A53AFC"/>
    <w:rsid w:val="00A55B61"/>
    <w:rsid w:val="00A60B09"/>
    <w:rsid w:val="00A76D72"/>
    <w:rsid w:val="00A774C0"/>
    <w:rsid w:val="00A92B24"/>
    <w:rsid w:val="00A94534"/>
    <w:rsid w:val="00AA2ABB"/>
    <w:rsid w:val="00AB30A8"/>
    <w:rsid w:val="00AB6AFC"/>
    <w:rsid w:val="00AC0DA0"/>
    <w:rsid w:val="00AC6CBD"/>
    <w:rsid w:val="00AE2D7B"/>
    <w:rsid w:val="00AE39BE"/>
    <w:rsid w:val="00B07B7A"/>
    <w:rsid w:val="00B1372A"/>
    <w:rsid w:val="00B2579B"/>
    <w:rsid w:val="00B27E64"/>
    <w:rsid w:val="00B50F05"/>
    <w:rsid w:val="00B55EDD"/>
    <w:rsid w:val="00B67D09"/>
    <w:rsid w:val="00B93928"/>
    <w:rsid w:val="00BA4E8B"/>
    <w:rsid w:val="00C03E8A"/>
    <w:rsid w:val="00C30AE9"/>
    <w:rsid w:val="00C36E90"/>
    <w:rsid w:val="00C374A9"/>
    <w:rsid w:val="00C479A9"/>
    <w:rsid w:val="00C63A8B"/>
    <w:rsid w:val="00C776CC"/>
    <w:rsid w:val="00C81AC4"/>
    <w:rsid w:val="00C86CEC"/>
    <w:rsid w:val="00CA5FCE"/>
    <w:rsid w:val="00CB00CE"/>
    <w:rsid w:val="00CC5DF8"/>
    <w:rsid w:val="00CE43E2"/>
    <w:rsid w:val="00CF084D"/>
    <w:rsid w:val="00D167B6"/>
    <w:rsid w:val="00D27211"/>
    <w:rsid w:val="00D30CD9"/>
    <w:rsid w:val="00D467D9"/>
    <w:rsid w:val="00D56C59"/>
    <w:rsid w:val="00D56FD9"/>
    <w:rsid w:val="00D63D6D"/>
    <w:rsid w:val="00D64BBE"/>
    <w:rsid w:val="00D66449"/>
    <w:rsid w:val="00D71768"/>
    <w:rsid w:val="00D74A51"/>
    <w:rsid w:val="00D765C5"/>
    <w:rsid w:val="00D820AE"/>
    <w:rsid w:val="00D84D5A"/>
    <w:rsid w:val="00D868A4"/>
    <w:rsid w:val="00D95854"/>
    <w:rsid w:val="00DB0DBE"/>
    <w:rsid w:val="00DC5B6D"/>
    <w:rsid w:val="00DD0F80"/>
    <w:rsid w:val="00DE68FA"/>
    <w:rsid w:val="00DF4A88"/>
    <w:rsid w:val="00DF6784"/>
    <w:rsid w:val="00E16B15"/>
    <w:rsid w:val="00E219C7"/>
    <w:rsid w:val="00E27B75"/>
    <w:rsid w:val="00E32EC3"/>
    <w:rsid w:val="00E42A87"/>
    <w:rsid w:val="00E5693D"/>
    <w:rsid w:val="00E70B42"/>
    <w:rsid w:val="00E75207"/>
    <w:rsid w:val="00EB2F87"/>
    <w:rsid w:val="00EC21D5"/>
    <w:rsid w:val="00EC36B0"/>
    <w:rsid w:val="00EC42BD"/>
    <w:rsid w:val="00ED09DA"/>
    <w:rsid w:val="00ED26A9"/>
    <w:rsid w:val="00EE4EE1"/>
    <w:rsid w:val="00EF4834"/>
    <w:rsid w:val="00EF5108"/>
    <w:rsid w:val="00F1647E"/>
    <w:rsid w:val="00F210AB"/>
    <w:rsid w:val="00F273E9"/>
    <w:rsid w:val="00F629A2"/>
    <w:rsid w:val="00F640C7"/>
    <w:rsid w:val="00F7216D"/>
    <w:rsid w:val="00F73535"/>
    <w:rsid w:val="00F739DD"/>
    <w:rsid w:val="00F77843"/>
    <w:rsid w:val="00F815FA"/>
    <w:rsid w:val="00F8363D"/>
    <w:rsid w:val="00F92ACF"/>
    <w:rsid w:val="00FA252E"/>
    <w:rsid w:val="00FA4438"/>
    <w:rsid w:val="00FB062F"/>
    <w:rsid w:val="00FB3A16"/>
    <w:rsid w:val="00FC3F3C"/>
    <w:rsid w:val="00FC3FF6"/>
    <w:rsid w:val="00FD2CF5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631F5"/>
  <w15:docId w15:val="{40C7072B-2EC6-4B14-861B-AB19DE6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0A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C0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E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EE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E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EEE"/>
    <w:rPr>
      <w:b/>
      <w:bCs/>
    </w:rPr>
  </w:style>
  <w:style w:type="paragraph" w:styleId="Revize">
    <w:name w:val="Revision"/>
    <w:hidden/>
    <w:uiPriority w:val="99"/>
    <w:semiHidden/>
    <w:rsid w:val="00A76D72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452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DE68FA"/>
    <w:rPr>
      <w:sz w:val="24"/>
    </w:rPr>
  </w:style>
  <w:style w:type="character" w:customStyle="1" w:styleId="ZhlavChar">
    <w:name w:val="Záhlaví Char"/>
    <w:basedOn w:val="Standardnpsmoodstavce"/>
    <w:link w:val="Zhlav"/>
    <w:rsid w:val="006B5F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CEF21-C812-4EBA-BCB6-87942F186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38FA4-1AF2-4F56-8770-68BE52BCD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128A9-ED6B-4964-9E44-CB97D0AF4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2FDE5-3310-49FA-B056-A21B518A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13</TotalTime>
  <Pages>3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Elbl Václav</cp:lastModifiedBy>
  <cp:revision>9</cp:revision>
  <cp:lastPrinted>2014-02-11T12:06:00Z</cp:lastPrinted>
  <dcterms:created xsi:type="dcterms:W3CDTF">2023-01-03T09:47:00Z</dcterms:created>
  <dcterms:modified xsi:type="dcterms:W3CDTF">2023-01-04T10:27:00Z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2023-01-02T12:51:18Z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747def88-c10d-437a-ba58-d7f9eabbddcd</vt:lpwstr>
  </property>
  <property fmtid="{D5CDD505-2E9C-101B-9397-08002B2CF9AE}" pid="9" name="MSIP_Label_bc18e8b5-cf04-4356-9f73-4b8f937bc4ae_ContentBits">
    <vt:lpwstr>0</vt:lpwstr>
  </property>
</Properties>
</file>