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ABD840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282836">
        <w:rPr>
          <w:rFonts w:ascii="Tahoma" w:hAnsi="Tahoma" w:cs="Tahoma"/>
        </w:rPr>
        <w:t>6</w:t>
      </w:r>
    </w:p>
    <w:p w14:paraId="61F0B2D5" w14:textId="14A01EF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141FFF">
        <w:rPr>
          <w:rFonts w:ascii="Tahoma" w:hAnsi="Tahoma" w:cs="Tahoma"/>
          <w:bCs/>
        </w:rPr>
        <w:t>2</w:t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CD3FA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1888CBE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="00282836">
        <w:rPr>
          <w:rFonts w:ascii="Tahoma" w:hAnsi="Tahoma" w:cs="Tahoma"/>
          <w:sz w:val="22"/>
          <w:szCs w:val="22"/>
        </w:rPr>
        <w:t>6/12</w:t>
      </w:r>
      <w:r w:rsidR="009A15C0">
        <w:rPr>
          <w:rFonts w:ascii="Tahoma" w:hAnsi="Tahoma" w:cs="Tahoma"/>
          <w:sz w:val="22"/>
          <w:szCs w:val="22"/>
        </w:rPr>
        <w:t>2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6F4DA6A3" w14:textId="77777777" w:rsidR="009A15C0" w:rsidRPr="00C058BE" w:rsidRDefault="009A15C0" w:rsidP="009A15C0">
      <w:pPr>
        <w:pStyle w:val="MSKDoplnek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14:paraId="10FEAE62" w14:textId="77777777" w:rsidR="009A15C0" w:rsidRPr="00C058BE" w:rsidRDefault="009A15C0" w:rsidP="009A15C0">
      <w:pPr>
        <w:pStyle w:val="MSKDoplnek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C058BE">
        <w:rPr>
          <w:sz w:val="22"/>
          <w:szCs w:val="22"/>
        </w:rPr>
        <w:t>1.bere na vědomí</w:t>
      </w:r>
    </w:p>
    <w:p w14:paraId="1574A020" w14:textId="77777777" w:rsidR="009A15C0" w:rsidRPr="00C058BE" w:rsidRDefault="009A15C0" w:rsidP="009A15C0">
      <w:pPr>
        <w:pStyle w:val="MSKNormal"/>
        <w:rPr>
          <w:sz w:val="22"/>
          <w:szCs w:val="22"/>
        </w:rPr>
      </w:pPr>
    </w:p>
    <w:p w14:paraId="362F99C8" w14:textId="77777777" w:rsidR="009A15C0" w:rsidRPr="00C058BE" w:rsidRDefault="009A15C0" w:rsidP="009A15C0">
      <w:pPr>
        <w:pStyle w:val="MSKNormal"/>
        <w:rPr>
          <w:sz w:val="22"/>
          <w:szCs w:val="22"/>
        </w:rPr>
      </w:pPr>
      <w:r w:rsidRPr="00C058BE">
        <w:rPr>
          <w:sz w:val="22"/>
          <w:szCs w:val="22"/>
        </w:rPr>
        <w:t>závěrečnou zprávu pracovní skupiny pro řešení strategických otázek ve věci převedení činností útvaru HZS LO a činností vyplývajících ze závazků veřejné služby pod HZS MSK, dle přílohy č. 1 předloženého materiálu</w:t>
      </w:r>
    </w:p>
    <w:p w14:paraId="08882B0C" w14:textId="6AE82EDE" w:rsidR="0076606E" w:rsidRPr="00203536" w:rsidRDefault="0076606E" w:rsidP="0032494C">
      <w:pPr>
        <w:pStyle w:val="MSKNormal"/>
        <w:rPr>
          <w:sz w:val="20"/>
          <w:szCs w:val="20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D762C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282836">
        <w:rPr>
          <w:rFonts w:ascii="Tahoma" w:hAnsi="Tahoma" w:cs="Tahoma"/>
          <w:sz w:val="22"/>
          <w:szCs w:val="22"/>
        </w:rPr>
        <w:t>0</w:t>
      </w:r>
      <w:r w:rsidR="00CD3FA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F0F55"/>
    <w:rsid w:val="00141FFF"/>
    <w:rsid w:val="001E4F60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9A15C0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1F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2023-02-21T05:33:00Z</dcterms:created>
  <dcterms:modified xsi:type="dcterms:W3CDTF">2023-02-21T05:33:00Z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