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BE0F" w14:textId="3A852405" w:rsidR="003966FC" w:rsidRDefault="005C42BF" w:rsidP="006F18D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</w:t>
      </w:r>
      <w:r w:rsidR="00671822" w:rsidRPr="00671822">
        <w:rPr>
          <w:rFonts w:ascii="Tahoma" w:hAnsi="Tahoma" w:cs="Tahoma"/>
          <w:b/>
          <w:bCs/>
          <w:sz w:val="22"/>
          <w:szCs w:val="22"/>
        </w:rPr>
        <w:t>nformac</w:t>
      </w:r>
      <w:r>
        <w:rPr>
          <w:rFonts w:ascii="Tahoma" w:hAnsi="Tahoma" w:cs="Tahoma"/>
          <w:b/>
          <w:bCs/>
          <w:sz w:val="22"/>
          <w:szCs w:val="22"/>
        </w:rPr>
        <w:t>e</w:t>
      </w:r>
      <w:r w:rsidR="00671822" w:rsidRPr="00671822">
        <w:rPr>
          <w:rFonts w:ascii="Tahoma" w:hAnsi="Tahoma" w:cs="Tahoma"/>
          <w:b/>
          <w:bCs/>
          <w:sz w:val="22"/>
          <w:szCs w:val="22"/>
        </w:rPr>
        <w:t xml:space="preserve"> o stavu a rozložení finančních prostředků kraje a o pohledávce vůči Sberbank C</w:t>
      </w:r>
      <w:r w:rsidR="006E0804">
        <w:rPr>
          <w:rFonts w:ascii="Tahoma" w:hAnsi="Tahoma" w:cs="Tahoma"/>
          <w:b/>
          <w:bCs/>
          <w:sz w:val="22"/>
          <w:szCs w:val="22"/>
        </w:rPr>
        <w:t>Z</w:t>
      </w:r>
      <w:r w:rsidR="00671822" w:rsidRPr="00671822">
        <w:rPr>
          <w:rFonts w:ascii="Tahoma" w:hAnsi="Tahoma" w:cs="Tahoma"/>
          <w:b/>
          <w:bCs/>
          <w:sz w:val="22"/>
          <w:szCs w:val="22"/>
        </w:rPr>
        <w:t xml:space="preserve"> a.s. v likvidac</w:t>
      </w:r>
      <w:r w:rsidR="00065476">
        <w:rPr>
          <w:rFonts w:ascii="Tahoma" w:hAnsi="Tahoma" w:cs="Tahoma"/>
          <w:b/>
          <w:bCs/>
          <w:sz w:val="22"/>
          <w:szCs w:val="22"/>
        </w:rPr>
        <w:t>i</w:t>
      </w:r>
    </w:p>
    <w:p w14:paraId="575D2802" w14:textId="77777777" w:rsidR="003966FC" w:rsidRPr="00CD212D" w:rsidRDefault="003966FC" w:rsidP="006F18DF"/>
    <w:p w14:paraId="16798ACB" w14:textId="77777777" w:rsidR="003F5D95" w:rsidRPr="00A1047E" w:rsidRDefault="003F5D95" w:rsidP="003F5D9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A1047E">
        <w:rPr>
          <w:rFonts w:ascii="Tahoma" w:hAnsi="Tahoma" w:cs="Tahoma"/>
          <w:sz w:val="20"/>
          <w:szCs w:val="20"/>
        </w:rPr>
        <w:t>K datu 3</w:t>
      </w:r>
      <w:r>
        <w:rPr>
          <w:rFonts w:ascii="Tahoma" w:hAnsi="Tahoma" w:cs="Tahoma"/>
          <w:sz w:val="20"/>
          <w:szCs w:val="20"/>
        </w:rPr>
        <w:t>1</w:t>
      </w:r>
      <w:r w:rsidRPr="00A1047E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10</w:t>
      </w:r>
      <w:r w:rsidRPr="00A1047E">
        <w:rPr>
          <w:rFonts w:ascii="Tahoma" w:hAnsi="Tahoma" w:cs="Tahoma"/>
          <w:sz w:val="20"/>
          <w:szCs w:val="20"/>
        </w:rPr>
        <w:t>. 202</w:t>
      </w:r>
      <w:r>
        <w:rPr>
          <w:rFonts w:ascii="Tahoma" w:hAnsi="Tahoma" w:cs="Tahoma"/>
          <w:sz w:val="20"/>
          <w:szCs w:val="20"/>
        </w:rPr>
        <w:t>2</w:t>
      </w:r>
      <w:r w:rsidRPr="00A1047E">
        <w:rPr>
          <w:rFonts w:ascii="Tahoma" w:hAnsi="Tahoma" w:cs="Tahoma"/>
          <w:sz w:val="20"/>
          <w:szCs w:val="20"/>
        </w:rPr>
        <w:t xml:space="preserve"> činil celkový zůstatek všech finančních prostředků kraje </w:t>
      </w:r>
      <w:r>
        <w:rPr>
          <w:rFonts w:ascii="Tahoma" w:hAnsi="Tahoma" w:cs="Tahoma"/>
          <w:sz w:val="20"/>
          <w:szCs w:val="20"/>
        </w:rPr>
        <w:t>6.214,8</w:t>
      </w:r>
      <w:r w:rsidRPr="00A1047E">
        <w:rPr>
          <w:rFonts w:ascii="Tahoma" w:hAnsi="Tahoma" w:cs="Tahoma"/>
          <w:sz w:val="20"/>
          <w:szCs w:val="20"/>
        </w:rPr>
        <w:t xml:space="preserve"> mil. Kč. V této hodnotě jsou započteny i prostředky v pokladně </w:t>
      </w:r>
      <w:r w:rsidRPr="00471174">
        <w:rPr>
          <w:rFonts w:ascii="Tahoma" w:hAnsi="Tahoma" w:cs="Tahoma"/>
          <w:sz w:val="20"/>
          <w:szCs w:val="20"/>
        </w:rPr>
        <w:t xml:space="preserve">kraje. </w:t>
      </w:r>
      <w:r>
        <w:rPr>
          <w:rFonts w:ascii="Tahoma" w:hAnsi="Tahoma" w:cs="Tahoma"/>
          <w:sz w:val="20"/>
          <w:szCs w:val="20"/>
        </w:rPr>
        <w:t>Mezi tyto finanční prostředky nejsou zahrnuty</w:t>
      </w:r>
      <w:r w:rsidRPr="00471174">
        <w:rPr>
          <w:rFonts w:ascii="Tahoma" w:hAnsi="Tahoma" w:cs="Tahoma"/>
          <w:sz w:val="20"/>
          <w:szCs w:val="20"/>
        </w:rPr>
        <w:t xml:space="preserve"> depozitní účty (účty cizích prostředků) a účet pro přenesenou</w:t>
      </w:r>
      <w:r w:rsidRPr="00A1047E">
        <w:rPr>
          <w:rFonts w:ascii="Tahoma" w:hAnsi="Tahoma" w:cs="Tahoma"/>
          <w:sz w:val="20"/>
          <w:szCs w:val="20"/>
        </w:rPr>
        <w:t xml:space="preserve"> daňovou povinnost DPH.</w:t>
      </w:r>
    </w:p>
    <w:p w14:paraId="4FCE5048" w14:textId="77777777" w:rsidR="003F5D95" w:rsidRPr="00A1047E" w:rsidRDefault="003F5D95" w:rsidP="003F5D9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641F60">
        <w:rPr>
          <w:rFonts w:ascii="Tahoma" w:hAnsi="Tahoma" w:cs="Tahoma"/>
          <w:sz w:val="20"/>
          <w:szCs w:val="20"/>
        </w:rPr>
        <w:t>Tyto</w:t>
      </w:r>
      <w:r>
        <w:rPr>
          <w:rFonts w:ascii="Tahoma" w:hAnsi="Tahoma" w:cs="Tahoma"/>
          <w:sz w:val="20"/>
          <w:szCs w:val="20"/>
        </w:rPr>
        <w:t xml:space="preserve"> </w:t>
      </w:r>
      <w:r w:rsidRPr="00A1047E">
        <w:rPr>
          <w:rFonts w:ascii="Tahoma" w:hAnsi="Tahoma" w:cs="Tahoma"/>
          <w:sz w:val="20"/>
          <w:szCs w:val="20"/>
        </w:rPr>
        <w:t>prostředky byly uloženy u 1</w:t>
      </w:r>
      <w:r>
        <w:rPr>
          <w:rFonts w:ascii="Tahoma" w:hAnsi="Tahoma" w:cs="Tahoma"/>
          <w:sz w:val="20"/>
          <w:szCs w:val="20"/>
        </w:rPr>
        <w:t>0</w:t>
      </w:r>
      <w:r w:rsidRPr="00A1047E">
        <w:rPr>
          <w:rFonts w:ascii="Tahoma" w:hAnsi="Tahoma" w:cs="Tahoma"/>
          <w:sz w:val="20"/>
          <w:szCs w:val="20"/>
        </w:rPr>
        <w:t xml:space="preserve"> bank (Česká národní banka (ČNB); Česká spořitelna, a. s. (ČS); Československá obchodní banka, a. s. (ČSOB); J&amp;T Banka, a. s. (JT); Komerční banka, a. s. (KB); MONETA Money Bank, a. s. (MONETA); </w:t>
      </w:r>
      <w:proofErr w:type="spellStart"/>
      <w:r w:rsidRPr="00A1047E">
        <w:rPr>
          <w:rFonts w:ascii="Tahoma" w:hAnsi="Tahoma" w:cs="Tahoma"/>
          <w:sz w:val="20"/>
          <w:szCs w:val="20"/>
        </w:rPr>
        <w:t>Oberbank</w:t>
      </w:r>
      <w:proofErr w:type="spellEnd"/>
      <w:r w:rsidRPr="00A1047E">
        <w:rPr>
          <w:rFonts w:ascii="Tahoma" w:hAnsi="Tahoma" w:cs="Tahoma"/>
          <w:sz w:val="20"/>
          <w:szCs w:val="20"/>
        </w:rPr>
        <w:t xml:space="preserve"> AG pobočka Česká republika (OB); PPF Banka, a. s. (PPF); Raiffeisenbank, a. s. (RFB) a </w:t>
      </w:r>
      <w:proofErr w:type="spellStart"/>
      <w:r w:rsidRPr="00A1047E">
        <w:rPr>
          <w:rFonts w:ascii="Tahoma" w:hAnsi="Tahoma" w:cs="Tahoma"/>
          <w:sz w:val="20"/>
          <w:szCs w:val="20"/>
        </w:rPr>
        <w:t>UniCredit</w:t>
      </w:r>
      <w:proofErr w:type="spellEnd"/>
      <w:r w:rsidRPr="00A1047E">
        <w:rPr>
          <w:rFonts w:ascii="Tahoma" w:hAnsi="Tahoma" w:cs="Tahoma"/>
          <w:sz w:val="20"/>
          <w:szCs w:val="20"/>
        </w:rPr>
        <w:t xml:space="preserve"> Bank Czech Republic and Slovakia, a. s. (UCB)).</w:t>
      </w:r>
    </w:p>
    <w:p w14:paraId="38EABF63" w14:textId="77777777" w:rsidR="003F5D95" w:rsidRPr="00D15FE2" w:rsidRDefault="003F5D95" w:rsidP="003F5D95">
      <w:r w:rsidRPr="00D15FE2">
        <w:rPr>
          <w:color w:val="FF0000"/>
        </w:rPr>
        <w:br w:type="page"/>
      </w:r>
    </w:p>
    <w:p w14:paraId="20BCFBA7" w14:textId="77777777" w:rsidR="003F5D95" w:rsidRPr="00D15FE2" w:rsidRDefault="003F5D95" w:rsidP="003F5D95">
      <w:pPr>
        <w:pStyle w:val="Styltab"/>
      </w:pPr>
      <w:r w:rsidRPr="00D15FE2">
        <w:lastRenderedPageBreak/>
        <w:t>Rozložení finančních prostředků dle typu účtu</w:t>
      </w:r>
      <w:r w:rsidRPr="00D15FE2">
        <w:tab/>
        <w:t>(v mil. Kč)</w:t>
      </w:r>
    </w:p>
    <w:tbl>
      <w:tblPr>
        <w:tblStyle w:val="Mkatabulky"/>
        <w:tblW w:w="9718" w:type="dxa"/>
        <w:tblLayout w:type="fixed"/>
        <w:tblLook w:val="04A0" w:firstRow="1" w:lastRow="0" w:firstColumn="1" w:lastColumn="0" w:noHBand="0" w:noVBand="1"/>
      </w:tblPr>
      <w:tblGrid>
        <w:gridCol w:w="1361"/>
        <w:gridCol w:w="5669"/>
        <w:gridCol w:w="1344"/>
        <w:gridCol w:w="1344"/>
      </w:tblGrid>
      <w:tr w:rsidR="003F5D95" w:rsidRPr="00D15FE2" w14:paraId="38CAE3A0" w14:textId="77777777" w:rsidTr="00A673F7">
        <w:trPr>
          <w:trHeight w:val="866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0F0279" w14:textId="77777777" w:rsidR="003F5D95" w:rsidRPr="00FC49AA" w:rsidRDefault="003F5D95" w:rsidP="00A673F7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Typ účtu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E9667" w14:textId="77777777" w:rsidR="003F5D95" w:rsidRPr="00FC49AA" w:rsidRDefault="003F5D95" w:rsidP="00A673F7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Poznámka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CBAF8" w14:textId="77777777" w:rsidR="003F5D95" w:rsidRPr="00FC49AA" w:rsidRDefault="003F5D95" w:rsidP="00A673F7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Výše úložky k</w:t>
            </w:r>
            <w:r>
              <w:rPr>
                <w:rFonts w:ascii="Tahoma" w:hAnsi="Tahoma" w:cs="Tahoma"/>
                <w:b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>3</w:t>
            </w:r>
            <w:r>
              <w:rPr>
                <w:rFonts w:ascii="Tahoma" w:hAnsi="Tahoma" w:cs="Tahoma"/>
                <w:b/>
                <w:sz w:val="17"/>
                <w:szCs w:val="17"/>
              </w:rPr>
              <w:t>1.10.2022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 xml:space="preserve"> (v mil. Kč)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D95DB" w14:textId="77777777" w:rsidR="003F5D95" w:rsidRPr="00FC49AA" w:rsidRDefault="003F5D95" w:rsidP="00A673F7">
            <w:pPr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Orientační úročení k 3</w:t>
            </w:r>
            <w:r>
              <w:rPr>
                <w:rFonts w:ascii="Tahoma" w:hAnsi="Tahoma" w:cs="Tahoma"/>
                <w:b/>
                <w:sz w:val="17"/>
                <w:szCs w:val="17"/>
              </w:rPr>
              <w:t>1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>.</w:t>
            </w:r>
            <w:r>
              <w:rPr>
                <w:rFonts w:ascii="Tahoma" w:hAnsi="Tahoma" w:cs="Tahoma"/>
                <w:b/>
                <w:sz w:val="17"/>
                <w:szCs w:val="17"/>
              </w:rPr>
              <w:t>10.2022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 xml:space="preserve"> (v % p. a.)</w:t>
            </w:r>
          </w:p>
        </w:tc>
      </w:tr>
      <w:tr w:rsidR="003F5D95" w:rsidRPr="00D15FE2" w14:paraId="64FFF3CC" w14:textId="77777777" w:rsidTr="00A673F7">
        <w:trPr>
          <w:trHeight w:val="113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8B4EB6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Účty peněžních fondů</w:t>
            </w:r>
          </w:p>
        </w:tc>
        <w:tc>
          <w:tcPr>
            <w:tcW w:w="5669" w:type="dxa"/>
            <w:tcBorders>
              <w:top w:val="single" w:sz="12" w:space="0" w:color="auto"/>
            </w:tcBorders>
          </w:tcPr>
          <w:p w14:paraId="2D5770F0" w14:textId="777FFC71" w:rsidR="003F5D95" w:rsidRPr="00FC49AA" w:rsidRDefault="003F5D95" w:rsidP="00A673F7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Fond životního prostředí, sociální, finančních zdrojů Jessica, sociálních služeb (tyto napojeny do systému s vyšším úrokovým zhodnocením cash</w:t>
            </w:r>
            <w:r w:rsidR="00250544">
              <w:rPr>
                <w:rFonts w:ascii="Tahoma" w:hAnsi="Tahoma" w:cs="Tahoma"/>
                <w:sz w:val="17"/>
                <w:szCs w:val="17"/>
              </w:rPr>
              <w:noBreakHyphen/>
            </w:r>
            <w:proofErr w:type="spellStart"/>
            <w:r w:rsidRPr="00FC49AA">
              <w:rPr>
                <w:rFonts w:ascii="Tahoma" w:hAnsi="Tahoma" w:cs="Tahoma"/>
                <w:sz w:val="17"/>
                <w:szCs w:val="17"/>
              </w:rPr>
              <w:t>pooling</w:t>
            </w:r>
            <w:proofErr w:type="spellEnd"/>
            <w:r w:rsidRPr="00FC49AA">
              <w:rPr>
                <w:rFonts w:ascii="Tahoma" w:hAnsi="Tahoma" w:cs="Tahoma"/>
                <w:sz w:val="17"/>
                <w:szCs w:val="17"/>
              </w:rPr>
              <w:t>), fond zajišťovací a fond pro financování strategických projektů Moravskoslezského kraje (nastaveno zvýhodněné úročení).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14:paraId="0E947258" w14:textId="77777777" w:rsidR="003F5D95" w:rsidRPr="00FC49AA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1.</w:t>
            </w:r>
            <w:r>
              <w:rPr>
                <w:rFonts w:ascii="Tahoma" w:hAnsi="Tahoma" w:cs="Tahoma"/>
                <w:sz w:val="17"/>
                <w:szCs w:val="17"/>
              </w:rPr>
              <w:t>440,6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F3548F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6,33-6,50</w:t>
            </w:r>
          </w:p>
        </w:tc>
      </w:tr>
      <w:tr w:rsidR="003F5D95" w:rsidRPr="00D15FE2" w14:paraId="3DBAF092" w14:textId="77777777" w:rsidTr="00A673F7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4A38D112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Zhodnocovací účty s výpovědní lhůtou</w:t>
            </w:r>
          </w:p>
        </w:tc>
        <w:tc>
          <w:tcPr>
            <w:tcW w:w="5669" w:type="dxa"/>
          </w:tcPr>
          <w:p w14:paraId="00B971F7" w14:textId="77777777" w:rsidR="003F5D95" w:rsidRDefault="003F5D95" w:rsidP="00A673F7">
            <w:pPr>
              <w:numPr>
                <w:ilvl w:val="0"/>
                <w:numId w:val="3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100,0 mil. Kč na termínovaném vkladu u ČNB s termínem ukončení vkladu 20.12.2022,</w:t>
            </w:r>
          </w:p>
          <w:p w14:paraId="6555BCB6" w14:textId="77777777" w:rsidR="003F5D95" w:rsidRPr="00FC49AA" w:rsidRDefault="003F5D95" w:rsidP="00A673F7">
            <w:pPr>
              <w:numPr>
                <w:ilvl w:val="0"/>
                <w:numId w:val="3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200,0 mil. Kč na vkladovém účtu u JT s 1denní výpovědí.</w:t>
            </w:r>
          </w:p>
        </w:tc>
        <w:tc>
          <w:tcPr>
            <w:tcW w:w="1344" w:type="dxa"/>
            <w:vAlign w:val="center"/>
          </w:tcPr>
          <w:p w14:paraId="253583DD" w14:textId="77777777" w:rsidR="003F5D95" w:rsidRPr="00FC49AA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300,0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111069E3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1,50-6,00</w:t>
            </w:r>
          </w:p>
        </w:tc>
      </w:tr>
      <w:tr w:rsidR="003F5D95" w:rsidRPr="00D15FE2" w14:paraId="549992FC" w14:textId="77777777" w:rsidTr="00A673F7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47ABF957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Zhodnocovací účty bez výpovědní lhůty</w:t>
            </w:r>
          </w:p>
        </w:tc>
        <w:tc>
          <w:tcPr>
            <w:tcW w:w="5669" w:type="dxa"/>
          </w:tcPr>
          <w:p w14:paraId="2B895274" w14:textId="77777777" w:rsidR="003F5D95" w:rsidRPr="00FC49AA" w:rsidRDefault="003F5D95" w:rsidP="00A673F7">
            <w:pPr>
              <w:numPr>
                <w:ilvl w:val="0"/>
                <w:numId w:val="4"/>
              </w:numPr>
              <w:spacing w:before="60"/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409,3</w:t>
            </w:r>
            <w:r w:rsidRPr="00FC49AA">
              <w:rPr>
                <w:rFonts w:ascii="Tahoma" w:hAnsi="Tahoma" w:cs="Tahoma"/>
                <w:sz w:val="17"/>
                <w:szCs w:val="17"/>
              </w:rPr>
              <w:t> mil. Kč na běžném účtu u PPF se zvýhodněným úročením,</w:t>
            </w:r>
          </w:p>
          <w:p w14:paraId="4E2CE96E" w14:textId="77777777" w:rsidR="003F5D95" w:rsidRDefault="003F5D95" w:rsidP="00A673F7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102,6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 mil. Kč na běžném účtu </w:t>
            </w:r>
            <w:r>
              <w:rPr>
                <w:rFonts w:ascii="Tahoma" w:hAnsi="Tahoma" w:cs="Tahoma"/>
                <w:sz w:val="17"/>
                <w:szCs w:val="17"/>
              </w:rPr>
              <w:t xml:space="preserve">u OB </w:t>
            </w:r>
            <w:r w:rsidRPr="00FC49AA">
              <w:rPr>
                <w:rFonts w:ascii="Tahoma" w:hAnsi="Tahoma" w:cs="Tahoma"/>
                <w:sz w:val="17"/>
                <w:szCs w:val="17"/>
              </w:rPr>
              <w:t>se zvýhodněným úročením</w:t>
            </w:r>
            <w:r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2C041121" w14:textId="77777777" w:rsidR="003F5D95" w:rsidRDefault="003F5D95" w:rsidP="00A673F7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1,2 mil. Kč na běžném účtu u RFB se zvýhodněným úročením,</w:t>
            </w:r>
          </w:p>
          <w:p w14:paraId="3311F59B" w14:textId="77777777" w:rsidR="003F5D95" w:rsidRDefault="003F5D95" w:rsidP="00A673F7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76,2 mil. Kč na spořícím účtu u ČS se zvýhodněným úročením,</w:t>
            </w:r>
          </w:p>
          <w:p w14:paraId="5308143F" w14:textId="77777777" w:rsidR="003F5D95" w:rsidRPr="00FC49AA" w:rsidRDefault="003F5D95" w:rsidP="00A673F7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50,0 mil. Kč na spořícím účtu u ČSOB se zvýhodněným úročením.</w:t>
            </w:r>
          </w:p>
        </w:tc>
        <w:tc>
          <w:tcPr>
            <w:tcW w:w="1344" w:type="dxa"/>
            <w:vAlign w:val="center"/>
          </w:tcPr>
          <w:p w14:paraId="77FDA606" w14:textId="77777777" w:rsidR="003F5D95" w:rsidRPr="00FC49AA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639,3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58D73F05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1,20–6,55</w:t>
            </w:r>
          </w:p>
        </w:tc>
      </w:tr>
      <w:tr w:rsidR="003F5D95" w:rsidRPr="00D15FE2" w14:paraId="2E4B69D6" w14:textId="77777777" w:rsidTr="00A673F7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22A8A42B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Virtuální účty (prostředky vyvedeny na technický účet banky)</w:t>
            </w:r>
          </w:p>
        </w:tc>
        <w:tc>
          <w:tcPr>
            <w:tcW w:w="5669" w:type="dxa"/>
          </w:tcPr>
          <w:p w14:paraId="3AAEB833" w14:textId="77777777" w:rsidR="003F5D95" w:rsidRDefault="003F5D95" w:rsidP="00A673F7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600,0 mil. Kč u ČS se zvýhodněným úročením do 02.11.2022,</w:t>
            </w:r>
          </w:p>
          <w:p w14:paraId="5BDD474E" w14:textId="77777777" w:rsidR="003F5D95" w:rsidRDefault="003F5D95" w:rsidP="00A673F7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600,0 mil. Kč ČSOB se zvýhodněným úročením do 14.11.2022,</w:t>
            </w:r>
          </w:p>
          <w:p w14:paraId="53055FD0" w14:textId="77777777" w:rsidR="003F5D95" w:rsidRDefault="003F5D95" w:rsidP="00A673F7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210,0 mil. Kč u KB se zvýhodněným úročením do 08.11.2022,</w:t>
            </w:r>
          </w:p>
          <w:p w14:paraId="10399EA9" w14:textId="77777777" w:rsidR="003F5D95" w:rsidRPr="00923B80" w:rsidRDefault="003F5D95" w:rsidP="00A673F7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205,0 mil. Kč u RFB se zvýhodněným úročením do 14.11.2022.</w:t>
            </w:r>
          </w:p>
        </w:tc>
        <w:tc>
          <w:tcPr>
            <w:tcW w:w="1344" w:type="dxa"/>
            <w:vAlign w:val="center"/>
          </w:tcPr>
          <w:p w14:paraId="0D8862AF" w14:textId="77777777" w:rsidR="003F5D95" w:rsidRPr="00FC49AA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1.615,0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443E8A46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6,57-6,65</w:t>
            </w:r>
          </w:p>
        </w:tc>
      </w:tr>
      <w:tr w:rsidR="003F5D95" w:rsidRPr="00D15FE2" w14:paraId="4008E550" w14:textId="77777777" w:rsidTr="00A673F7">
        <w:trPr>
          <w:trHeight w:val="397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1E27F862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Zhodnocovací cash-</w:t>
            </w:r>
            <w:proofErr w:type="spellStart"/>
            <w:r w:rsidRPr="00FC49AA">
              <w:rPr>
                <w:rFonts w:ascii="Tahoma" w:hAnsi="Tahoma" w:cs="Tahoma"/>
                <w:sz w:val="17"/>
                <w:szCs w:val="17"/>
              </w:rPr>
              <w:t>poolingové</w:t>
            </w:r>
            <w:proofErr w:type="spellEnd"/>
            <w:r w:rsidRPr="00FC49AA">
              <w:rPr>
                <w:rFonts w:ascii="Tahoma" w:hAnsi="Tahoma" w:cs="Tahoma"/>
                <w:sz w:val="17"/>
                <w:szCs w:val="17"/>
              </w:rPr>
              <w:t xml:space="preserve"> účty bez výpovědní lhůty</w:t>
            </w:r>
          </w:p>
        </w:tc>
        <w:tc>
          <w:tcPr>
            <w:tcW w:w="5669" w:type="dxa"/>
          </w:tcPr>
          <w:p w14:paraId="7E707F92" w14:textId="3A162881" w:rsidR="003F5D95" w:rsidRPr="00FC49AA" w:rsidRDefault="003F5D95" w:rsidP="00A673F7">
            <w:p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Zde uváděná hodnota prezentuje pouze účty, které jsou vedeny ve</w:t>
            </w:r>
            <w:r w:rsidR="00250544">
              <w:rPr>
                <w:rFonts w:ascii="Tahoma" w:hAnsi="Tahoma" w:cs="Tahoma"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sz w:val="17"/>
                <w:szCs w:val="17"/>
              </w:rPr>
              <w:t>fiktivním cash-</w:t>
            </w:r>
            <w:proofErr w:type="spellStart"/>
            <w:r w:rsidRPr="00FC49AA">
              <w:rPr>
                <w:rFonts w:ascii="Tahoma" w:hAnsi="Tahoma" w:cs="Tahoma"/>
                <w:sz w:val="17"/>
                <w:szCs w:val="17"/>
              </w:rPr>
              <w:t>poolingu</w:t>
            </w:r>
            <w:proofErr w:type="spellEnd"/>
            <w:r w:rsidRPr="00FC49AA">
              <w:rPr>
                <w:rFonts w:ascii="Tahoma" w:hAnsi="Tahoma" w:cs="Tahoma"/>
                <w:sz w:val="17"/>
                <w:szCs w:val="17"/>
              </w:rPr>
              <w:t xml:space="preserve"> (FCP) a současně nejsou uvedeny v jiném typu účtu.</w:t>
            </w:r>
          </w:p>
          <w:p w14:paraId="3CDAF82E" w14:textId="4FA80671" w:rsidR="003F5D95" w:rsidRPr="00FC49AA" w:rsidRDefault="003F5D95" w:rsidP="00A673F7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Celková úložka kraje v tomto systému totiž činí 1.</w:t>
            </w:r>
            <w:r>
              <w:rPr>
                <w:rFonts w:ascii="Tahoma" w:hAnsi="Tahoma" w:cs="Tahoma"/>
                <w:sz w:val="17"/>
                <w:szCs w:val="17"/>
              </w:rPr>
              <w:t>868,7</w:t>
            </w:r>
            <w:r w:rsidR="00250544">
              <w:rPr>
                <w:rFonts w:ascii="Tahoma" w:hAnsi="Tahoma" w:cs="Tahoma"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mil. Kč (KB + UCB + ČSOB). Rozdíl ve výši </w:t>
            </w:r>
            <w:r>
              <w:rPr>
                <w:rFonts w:ascii="Tahoma" w:hAnsi="Tahoma" w:cs="Tahoma"/>
                <w:sz w:val="17"/>
                <w:szCs w:val="17"/>
              </w:rPr>
              <w:t>1.625,7</w:t>
            </w:r>
            <w:r w:rsidRPr="00FC49AA">
              <w:rPr>
                <w:rFonts w:ascii="Tahoma" w:hAnsi="Tahoma" w:cs="Tahoma"/>
                <w:sz w:val="17"/>
                <w:szCs w:val="17"/>
              </w:rPr>
              <w:t> mil. Kč (1.</w:t>
            </w:r>
            <w:r>
              <w:rPr>
                <w:rFonts w:ascii="Tahoma" w:hAnsi="Tahoma" w:cs="Tahoma"/>
                <w:sz w:val="17"/>
                <w:szCs w:val="17"/>
              </w:rPr>
              <w:t xml:space="preserve">868,7 </w:t>
            </w:r>
            <w:r w:rsidRPr="00FC49AA">
              <w:rPr>
                <w:rFonts w:ascii="Tahoma" w:hAnsi="Tahoma" w:cs="Tahoma"/>
                <w:sz w:val="17"/>
                <w:szCs w:val="17"/>
              </w:rPr>
              <w:t>–</w:t>
            </w:r>
            <w:r>
              <w:rPr>
                <w:rFonts w:ascii="Tahoma" w:hAnsi="Tahoma" w:cs="Tahoma"/>
                <w:sz w:val="17"/>
                <w:szCs w:val="17"/>
              </w:rPr>
              <w:t xml:space="preserve"> 243,0</w:t>
            </w:r>
            <w:r w:rsidRPr="00FC49AA">
              <w:rPr>
                <w:rFonts w:ascii="Tahoma" w:hAnsi="Tahoma" w:cs="Tahoma"/>
                <w:sz w:val="17"/>
                <w:szCs w:val="17"/>
              </w:rPr>
              <w:t>) je způsoben tím, že v tomto systému jsou zapojeny i účty, které jsou napojeny do FCP, ale současně jsou v této tabulce uváděny samostatně i</w:t>
            </w:r>
            <w:r w:rsidR="00250544">
              <w:rPr>
                <w:rFonts w:ascii="Tahoma" w:hAnsi="Tahoma" w:cs="Tahoma"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sz w:val="17"/>
                <w:szCs w:val="17"/>
              </w:rPr>
              <w:t>dle typu </w:t>
            </w:r>
            <w:r w:rsidRPr="00FC49AA">
              <w:rPr>
                <w:rFonts w:ascii="Tahoma" w:hAnsi="Tahoma" w:cs="Tahoma"/>
                <w:sz w:val="17"/>
                <w:szCs w:val="17"/>
              </w:rPr>
              <w:noBreakHyphen/>
              <w:t> účty fondů, účet pro sociální služby, účet po evropské projekty, některé účty základní běžné a účty pro evropské projekty. Nelze tedy hodnoty zůstatků na těchto účtech současně do více kategorií, aby nedošlo k duplicitě zůstatků na účtech.</w:t>
            </w:r>
          </w:p>
          <w:p w14:paraId="376FC52B" w14:textId="734D4C03" w:rsidR="003F5D95" w:rsidRPr="00FC49AA" w:rsidRDefault="003F5D95" w:rsidP="00A673F7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Tento systém umožňuje dosáhnout i na klasických běžných účtech vyššího úrokového zhodnocení bez jakéhokoli omezení. Do systému jsou dále napojeny i účty 1</w:t>
            </w:r>
            <w:r>
              <w:rPr>
                <w:rFonts w:ascii="Tahoma" w:hAnsi="Tahoma" w:cs="Tahoma"/>
                <w:sz w:val="17"/>
                <w:szCs w:val="17"/>
              </w:rPr>
              <w:t>30</w:t>
            </w:r>
            <w:r w:rsidRPr="00FC49AA">
              <w:rPr>
                <w:rFonts w:ascii="Tahoma" w:hAnsi="Tahoma" w:cs="Tahoma"/>
                <w:sz w:val="17"/>
                <w:szCs w:val="17"/>
              </w:rPr>
              <w:t> příspěvkových organizací kraje vč. Bílovecké nemocnice, a. s., a MSID, a. s., které měly v tomto systému uloženy k</w:t>
            </w:r>
            <w:r>
              <w:rPr>
                <w:rFonts w:ascii="Tahoma" w:hAnsi="Tahoma" w:cs="Tahoma"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sz w:val="17"/>
                <w:szCs w:val="17"/>
              </w:rPr>
              <w:t>3</w:t>
            </w:r>
            <w:r>
              <w:rPr>
                <w:rFonts w:ascii="Tahoma" w:hAnsi="Tahoma" w:cs="Tahoma"/>
                <w:sz w:val="17"/>
                <w:szCs w:val="17"/>
              </w:rPr>
              <w:t>1.10.2022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 prostředky v celkové výši </w:t>
            </w:r>
            <w:r>
              <w:rPr>
                <w:rFonts w:ascii="Tahoma" w:hAnsi="Tahoma" w:cs="Tahoma"/>
                <w:sz w:val="17"/>
                <w:szCs w:val="17"/>
              </w:rPr>
              <w:t>2.433,7</w:t>
            </w:r>
            <w:r w:rsidRPr="00FC49AA">
              <w:rPr>
                <w:rFonts w:ascii="Tahoma" w:hAnsi="Tahoma" w:cs="Tahoma"/>
                <w:sz w:val="17"/>
                <w:szCs w:val="17"/>
              </w:rPr>
              <w:t> mil. Kč (z</w:t>
            </w:r>
            <w:r w:rsidR="00250544">
              <w:rPr>
                <w:rFonts w:ascii="Tahoma" w:hAnsi="Tahoma" w:cs="Tahoma"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toho </w:t>
            </w:r>
            <w:r>
              <w:rPr>
                <w:rFonts w:ascii="Tahoma" w:hAnsi="Tahoma" w:cs="Tahoma"/>
                <w:sz w:val="17"/>
                <w:szCs w:val="17"/>
              </w:rPr>
              <w:t>1.085,0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 mil. Kč v KB, </w:t>
            </w:r>
            <w:r>
              <w:rPr>
                <w:rFonts w:ascii="Tahoma" w:hAnsi="Tahoma" w:cs="Tahoma"/>
                <w:sz w:val="17"/>
                <w:szCs w:val="17"/>
              </w:rPr>
              <w:t>1.229,5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 mil. Kč v UCB a </w:t>
            </w:r>
            <w:r>
              <w:rPr>
                <w:rFonts w:ascii="Tahoma" w:hAnsi="Tahoma" w:cs="Tahoma"/>
                <w:sz w:val="17"/>
                <w:szCs w:val="17"/>
              </w:rPr>
              <w:t xml:space="preserve">119,2 </w:t>
            </w:r>
            <w:r w:rsidRPr="00FC49AA">
              <w:rPr>
                <w:rFonts w:ascii="Tahoma" w:hAnsi="Tahoma" w:cs="Tahoma"/>
                <w:sz w:val="17"/>
                <w:szCs w:val="17"/>
              </w:rPr>
              <w:t>mil. Kč v ČSOB).</w:t>
            </w:r>
          </w:p>
        </w:tc>
        <w:tc>
          <w:tcPr>
            <w:tcW w:w="1344" w:type="dxa"/>
            <w:vAlign w:val="center"/>
          </w:tcPr>
          <w:p w14:paraId="55EBCEE6" w14:textId="77777777" w:rsidR="003F5D95" w:rsidRPr="00FC49AA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243,0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526D23F2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5,25-6,33</w:t>
            </w:r>
          </w:p>
        </w:tc>
      </w:tr>
      <w:tr w:rsidR="003F5D95" w:rsidRPr="00D15FE2" w14:paraId="3E3C6A01" w14:textId="77777777" w:rsidTr="00A673F7">
        <w:trPr>
          <w:trHeight w:val="34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30520535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Účet školských prostředků</w:t>
            </w:r>
          </w:p>
        </w:tc>
        <w:tc>
          <w:tcPr>
            <w:tcW w:w="5669" w:type="dxa"/>
            <w:vAlign w:val="center"/>
          </w:tcPr>
          <w:p w14:paraId="559E7F3F" w14:textId="77777777" w:rsidR="003F5D95" w:rsidRPr="00FC49AA" w:rsidRDefault="003F5D95" w:rsidP="00A673F7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1344" w:type="dxa"/>
            <w:vAlign w:val="center"/>
          </w:tcPr>
          <w:p w14:paraId="3C84682E" w14:textId="77777777" w:rsidR="003F5D95" w:rsidRPr="00FC49AA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45,0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3E9D93D0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</w:t>
            </w:r>
          </w:p>
        </w:tc>
      </w:tr>
      <w:tr w:rsidR="003F5D95" w:rsidRPr="00D15FE2" w14:paraId="2321975B" w14:textId="77777777" w:rsidTr="00A673F7">
        <w:trPr>
          <w:trHeight w:val="68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2EBB813B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Účet dotací určených pro sociální služby</w:t>
            </w:r>
          </w:p>
        </w:tc>
        <w:tc>
          <w:tcPr>
            <w:tcW w:w="5669" w:type="dxa"/>
            <w:vAlign w:val="center"/>
          </w:tcPr>
          <w:p w14:paraId="6A59783E" w14:textId="77777777" w:rsidR="003F5D95" w:rsidRPr="00FC49AA" w:rsidRDefault="003F5D95" w:rsidP="00A673F7">
            <w:pPr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1344" w:type="dxa"/>
            <w:vAlign w:val="center"/>
          </w:tcPr>
          <w:p w14:paraId="0566CB21" w14:textId="77777777" w:rsidR="003F5D95" w:rsidRPr="00FC49AA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291,2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538B53FB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6,33</w:t>
            </w:r>
          </w:p>
        </w:tc>
      </w:tr>
      <w:tr w:rsidR="003F5D95" w:rsidRPr="00D15FE2" w14:paraId="7F4F2FF1" w14:textId="77777777" w:rsidTr="00A673F7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5AB8495C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Provozní účty</w:t>
            </w:r>
          </w:p>
        </w:tc>
        <w:tc>
          <w:tcPr>
            <w:tcW w:w="5669" w:type="dxa"/>
            <w:vAlign w:val="center"/>
          </w:tcPr>
          <w:p w14:paraId="6AE33D50" w14:textId="77777777" w:rsidR="003F5D95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  <w:p w14:paraId="2AB41FAC" w14:textId="77777777" w:rsidR="003F5D95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Jde zejména o povinně vedené účty u ČNB a účty pro běžné úhrady.</w:t>
            </w:r>
          </w:p>
          <w:p w14:paraId="5B2FDBD4" w14:textId="77777777" w:rsidR="003F5D95" w:rsidRPr="00FC49AA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344" w:type="dxa"/>
            <w:vAlign w:val="center"/>
          </w:tcPr>
          <w:p w14:paraId="561145C1" w14:textId="77777777" w:rsidR="003F5D95" w:rsidRPr="00FC49AA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763,8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6FADF2F9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0,00–</w:t>
            </w:r>
            <w:r>
              <w:rPr>
                <w:rFonts w:ascii="Tahoma" w:hAnsi="Tahoma" w:cs="Tahoma"/>
                <w:sz w:val="17"/>
                <w:szCs w:val="17"/>
              </w:rPr>
              <w:t>6,33</w:t>
            </w:r>
          </w:p>
        </w:tc>
      </w:tr>
      <w:tr w:rsidR="003F5D95" w:rsidRPr="00D15FE2" w14:paraId="42D4500B" w14:textId="77777777" w:rsidTr="00A673F7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EF2990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Účty projektů EU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411A3A47" w14:textId="77777777" w:rsidR="003F5D95" w:rsidRPr="00FC49AA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 xml:space="preserve">Z toho na zálohovém účtu pro kotlíkové dotace </w:t>
            </w:r>
            <w:r>
              <w:rPr>
                <w:rFonts w:ascii="Tahoma" w:hAnsi="Tahoma" w:cs="Tahoma"/>
                <w:sz w:val="17"/>
                <w:szCs w:val="17"/>
              </w:rPr>
              <w:t>částka 402,8</w:t>
            </w:r>
            <w:r w:rsidRPr="00FC49AA">
              <w:rPr>
                <w:rFonts w:ascii="Tahoma" w:hAnsi="Tahoma" w:cs="Tahoma"/>
                <w:sz w:val="17"/>
                <w:szCs w:val="17"/>
              </w:rPr>
              <w:t> mil. Kč.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63A7BC7" w14:textId="77777777" w:rsidR="003F5D95" w:rsidRPr="00FC49AA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873,5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AB4DCC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0,00–</w:t>
            </w:r>
            <w:r>
              <w:rPr>
                <w:rFonts w:ascii="Tahoma" w:hAnsi="Tahoma" w:cs="Tahoma"/>
                <w:sz w:val="17"/>
                <w:szCs w:val="17"/>
              </w:rPr>
              <w:t>6,33</w:t>
            </w:r>
          </w:p>
        </w:tc>
      </w:tr>
      <w:tr w:rsidR="003F5D95" w:rsidRPr="00D15FE2" w14:paraId="1ED9D2F2" w14:textId="77777777" w:rsidTr="00A673F7">
        <w:trPr>
          <w:trHeight w:val="227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0F9407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Devizové účty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7EAECF2B" w14:textId="77777777" w:rsidR="003F5D95" w:rsidRPr="00FC49AA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Zde uvedený údaj přepočtený na Kč, účty vedeny v EUR.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34EA3C7" w14:textId="77777777" w:rsidR="003F5D95" w:rsidRPr="00FC49AA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2,9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EDC636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 – 0,05</w:t>
            </w:r>
          </w:p>
        </w:tc>
      </w:tr>
      <w:tr w:rsidR="003F5D95" w:rsidRPr="00D15FE2" w14:paraId="48FCFAD1" w14:textId="77777777" w:rsidTr="00A673F7">
        <w:trPr>
          <w:trHeight w:val="227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7E52C6" w14:textId="77777777" w:rsidR="003F5D95" w:rsidRPr="00FC49AA" w:rsidRDefault="003F5D95" w:rsidP="00A673F7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Pokladna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7A3A4CFE" w14:textId="77777777" w:rsidR="003F5D95" w:rsidRPr="00FC49AA" w:rsidRDefault="003F5D95" w:rsidP="00A673F7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Stav pokladny vč. devizových zůstatků v přepočtu na Kč.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9A8AF06" w14:textId="77777777" w:rsidR="003F5D95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</w:t>
            </w: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4F51AB" w14:textId="77777777" w:rsidR="003F5D95" w:rsidRPr="00FC49AA" w:rsidRDefault="003F5D95" w:rsidP="00A673F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3F5D95" w:rsidRPr="00D15FE2" w14:paraId="0C29B0F5" w14:textId="77777777" w:rsidTr="00A673F7">
        <w:trPr>
          <w:trHeight w:val="22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2EFAC5" w14:textId="77777777" w:rsidR="003F5D95" w:rsidRPr="00FC49AA" w:rsidRDefault="003F5D95" w:rsidP="00A673F7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CELKEM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71F0D" w14:textId="77777777" w:rsidR="003F5D95" w:rsidRPr="00FC49AA" w:rsidRDefault="003F5D95" w:rsidP="00A673F7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EF424" w14:textId="77777777" w:rsidR="003F5D95" w:rsidRPr="00B71303" w:rsidRDefault="003F5D95" w:rsidP="00A673F7">
            <w:pPr>
              <w:tabs>
                <w:tab w:val="decimal" w:pos="535"/>
              </w:tabs>
              <w:jc w:val="right"/>
              <w:rPr>
                <w:rFonts w:ascii="Tahoma" w:hAnsi="Tahoma" w:cs="Tahoma"/>
                <w:b/>
                <w:bCs/>
                <w:sz w:val="17"/>
                <w:szCs w:val="17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6.214,8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8C851" w14:textId="77777777" w:rsidR="003F5D95" w:rsidRPr="00B71303" w:rsidRDefault="003F5D95" w:rsidP="00A673F7">
            <w:pPr>
              <w:rPr>
                <w:rFonts w:ascii="Tahoma" w:hAnsi="Tahoma" w:cs="Tahoma"/>
                <w:sz w:val="17"/>
                <w:szCs w:val="17"/>
                <w:highlight w:val="yellow"/>
              </w:rPr>
            </w:pPr>
          </w:p>
        </w:tc>
      </w:tr>
    </w:tbl>
    <w:p w14:paraId="36765F33" w14:textId="77777777" w:rsidR="003F5D95" w:rsidRDefault="003F5D95" w:rsidP="003F5D95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762F0A34" w14:textId="77777777" w:rsidR="003F5D95" w:rsidRDefault="003F5D95" w:rsidP="003F5D95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05A77590" w14:textId="77777777" w:rsidR="003F5D95" w:rsidRDefault="003F5D95" w:rsidP="003F5D95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0455D4C8" w14:textId="77777777" w:rsidR="003F5D95" w:rsidRDefault="003F5D95" w:rsidP="003F5D95">
      <w:pPr>
        <w:spacing w:before="240"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Grafy: Rozložení finančních prostředků k 31.10.2022 dle typu účtů a dle bankovních domů v %:</w:t>
      </w:r>
    </w:p>
    <w:p w14:paraId="6BD0AA5C" w14:textId="77777777" w:rsidR="003F5D95" w:rsidRDefault="003F5D95" w:rsidP="003F5D95">
      <w:pPr>
        <w:pStyle w:val="Mjtext"/>
        <w:spacing w:before="240"/>
        <w:rPr>
          <w:bCs/>
          <w:iCs/>
        </w:rPr>
      </w:pPr>
      <w:r>
        <w:rPr>
          <w:noProof/>
        </w:rPr>
        <w:drawing>
          <wp:inline distT="0" distB="0" distL="0" distR="0" wp14:anchorId="25119136" wp14:editId="2DFC9671">
            <wp:extent cx="5759450" cy="3463925"/>
            <wp:effectExtent l="0" t="0" r="12700" b="3175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74033E46-8E30-1444-CD34-2A540D1A3D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2483FB" w14:textId="77777777" w:rsidR="003F5D95" w:rsidRDefault="003F5D95" w:rsidP="003F5D95">
      <w:pPr>
        <w:pStyle w:val="Mjtext"/>
        <w:spacing w:before="240"/>
        <w:rPr>
          <w:bCs/>
          <w:iCs/>
        </w:rPr>
      </w:pPr>
      <w:r>
        <w:rPr>
          <w:noProof/>
        </w:rPr>
        <w:drawing>
          <wp:inline distT="0" distB="0" distL="0" distR="0" wp14:anchorId="4E242E03" wp14:editId="5D06156F">
            <wp:extent cx="5759450" cy="3411220"/>
            <wp:effectExtent l="0" t="0" r="12700" b="1778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3E4D5AB5-68B5-B7BE-593E-D519309263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E8180F" w14:textId="77777777" w:rsidR="003F5D95" w:rsidRPr="0042568E" w:rsidRDefault="003F5D95" w:rsidP="003F5D95">
      <w:pPr>
        <w:pStyle w:val="Mjtext"/>
        <w:spacing w:before="240"/>
        <w:rPr>
          <w:bCs/>
          <w:iCs/>
        </w:rPr>
      </w:pPr>
      <w:r w:rsidRPr="0042568E">
        <w:rPr>
          <w:bCs/>
          <w:iCs/>
        </w:rPr>
        <w:t xml:space="preserve">Z výše uvedeného </w:t>
      </w:r>
      <w:r>
        <w:rPr>
          <w:bCs/>
          <w:iCs/>
        </w:rPr>
        <w:t>grafu je patrno, že největší podíl úložek (88,3 %) je uloženo u ČNB a tzv. systémově významných institucí, které pro daný rok stanoví ČNB. Zbývající část finančních prostředků (11,7 %) je uložena v rámci diverzifikace mezi 3 další spolupracující bankovní domy (PPF, OB a JT). U Monety kraj aktuálně nemá provedenu žádnou úložku.</w:t>
      </w:r>
    </w:p>
    <w:p w14:paraId="40EFFC86" w14:textId="77777777" w:rsidR="003F5D95" w:rsidRDefault="003F5D95" w:rsidP="003F5D95">
      <w:pPr>
        <w:pStyle w:val="Mjtext"/>
        <w:spacing w:before="240"/>
        <w:rPr>
          <w:bCs/>
          <w:iCs/>
          <w:u w:val="single"/>
        </w:rPr>
      </w:pPr>
    </w:p>
    <w:p w14:paraId="51B76AEF" w14:textId="77777777" w:rsidR="003F5D95" w:rsidRDefault="003F5D95" w:rsidP="003F5D95">
      <w:pPr>
        <w:pStyle w:val="Mjtext"/>
        <w:spacing w:before="240"/>
        <w:rPr>
          <w:bCs/>
          <w:iCs/>
          <w:u w:val="single"/>
        </w:rPr>
      </w:pPr>
    </w:p>
    <w:p w14:paraId="048E2CE4" w14:textId="77777777" w:rsidR="003F5D95" w:rsidRPr="00035FD7" w:rsidRDefault="003F5D95" w:rsidP="003F5D95">
      <w:pPr>
        <w:pStyle w:val="Mjtext"/>
        <w:spacing w:before="240"/>
        <w:rPr>
          <w:b/>
          <w:iCs/>
          <w:sz w:val="17"/>
          <w:szCs w:val="17"/>
          <w:u w:val="single"/>
        </w:rPr>
      </w:pPr>
      <w:r w:rsidRPr="00F2680A">
        <w:rPr>
          <w:bCs/>
          <w:iCs/>
          <w:u w:val="single"/>
        </w:rPr>
        <w:lastRenderedPageBreak/>
        <w:t>Informace k</w:t>
      </w:r>
      <w:r>
        <w:rPr>
          <w:bCs/>
          <w:iCs/>
          <w:u w:val="single"/>
        </w:rPr>
        <w:t> </w:t>
      </w:r>
      <w:r w:rsidRPr="00F2680A">
        <w:rPr>
          <w:bCs/>
          <w:iCs/>
          <w:u w:val="single"/>
        </w:rPr>
        <w:t xml:space="preserve">vývoji </w:t>
      </w:r>
      <w:r>
        <w:rPr>
          <w:bCs/>
          <w:iCs/>
          <w:u w:val="single"/>
        </w:rPr>
        <w:t>pohledávky kraje vůči</w:t>
      </w:r>
      <w:r w:rsidRPr="00F2680A">
        <w:rPr>
          <w:bCs/>
          <w:iCs/>
          <w:u w:val="single"/>
        </w:rPr>
        <w:t xml:space="preserve"> Sberbank CZ, a.s. v</w:t>
      </w:r>
      <w:r>
        <w:rPr>
          <w:bCs/>
          <w:iCs/>
          <w:u w:val="single"/>
        </w:rPr>
        <w:t> </w:t>
      </w:r>
      <w:r w:rsidRPr="00F2680A">
        <w:rPr>
          <w:bCs/>
          <w:iCs/>
          <w:u w:val="single"/>
        </w:rPr>
        <w:t>likvidaci</w:t>
      </w:r>
    </w:p>
    <w:tbl>
      <w:tblPr>
        <w:tblStyle w:val="Mkatabulky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3F5D95" w:rsidRPr="00035FD7" w14:paraId="5C86EF1B" w14:textId="77777777" w:rsidTr="00A673F7">
        <w:tc>
          <w:tcPr>
            <w:tcW w:w="1271" w:type="dxa"/>
          </w:tcPr>
          <w:p w14:paraId="5D5CE70A" w14:textId="77777777" w:rsidR="003F5D95" w:rsidRPr="00BF5BBE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BF5BBE">
              <w:rPr>
                <w:bCs/>
                <w:iCs/>
                <w:sz w:val="16"/>
                <w:szCs w:val="16"/>
              </w:rPr>
              <w:t>24.02.2022</w:t>
            </w:r>
          </w:p>
          <w:p w14:paraId="50185E06" w14:textId="77777777" w:rsidR="003F5D95" w:rsidRPr="00BF5BBE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796" w:type="dxa"/>
          </w:tcPr>
          <w:p w14:paraId="51DBDB87" w14:textId="7D34CA2A" w:rsidR="003F5D95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BF5BBE">
              <w:rPr>
                <w:bCs/>
                <w:iCs/>
                <w:sz w:val="16"/>
                <w:szCs w:val="16"/>
              </w:rPr>
              <w:t>MSK má u SB uloženo 414,4 mil. Kč (350 mil. Kč na spořícím účtu s 31denní výpovědí a 64,4 mil. Kč na</w:t>
            </w:r>
            <w:r w:rsidR="00E018FF">
              <w:rPr>
                <w:bCs/>
                <w:iCs/>
                <w:sz w:val="16"/>
                <w:szCs w:val="16"/>
              </w:rPr>
              <w:t> </w:t>
            </w:r>
            <w:r w:rsidRPr="00BF5BBE">
              <w:rPr>
                <w:bCs/>
                <w:iCs/>
                <w:sz w:val="16"/>
                <w:szCs w:val="16"/>
              </w:rPr>
              <w:t>běžném účtu)</w:t>
            </w:r>
            <w:r>
              <w:rPr>
                <w:bCs/>
                <w:iCs/>
                <w:sz w:val="16"/>
                <w:szCs w:val="16"/>
              </w:rPr>
              <w:t>. MSK vyvedl částku z běžného účtu mimo banku a aktivoval výpověď ze spořícího účtu.</w:t>
            </w:r>
          </w:p>
          <w:p w14:paraId="7A81B197" w14:textId="77777777" w:rsidR="003F5D95" w:rsidRPr="00BF5BBE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</w:p>
        </w:tc>
      </w:tr>
      <w:tr w:rsidR="003F5D95" w:rsidRPr="00035FD7" w14:paraId="05BCC951" w14:textId="77777777" w:rsidTr="00A673F7">
        <w:tc>
          <w:tcPr>
            <w:tcW w:w="1271" w:type="dxa"/>
          </w:tcPr>
          <w:p w14:paraId="3F8FC563" w14:textId="77777777" w:rsidR="003F5D95" w:rsidRPr="00BF5BBE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BF5BBE">
              <w:rPr>
                <w:bCs/>
                <w:iCs/>
                <w:sz w:val="16"/>
                <w:szCs w:val="16"/>
              </w:rPr>
              <w:t>30.04.2022</w:t>
            </w:r>
          </w:p>
        </w:tc>
        <w:tc>
          <w:tcPr>
            <w:tcW w:w="7796" w:type="dxa"/>
          </w:tcPr>
          <w:p w14:paraId="099433FF" w14:textId="77777777" w:rsidR="003F5D95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BF5BBE">
              <w:rPr>
                <w:bCs/>
                <w:iCs/>
                <w:sz w:val="16"/>
                <w:szCs w:val="16"/>
              </w:rPr>
              <w:t>Rozhodnutí ČNB o odnětí bankovní licence nabylo právní moci.</w:t>
            </w:r>
          </w:p>
          <w:p w14:paraId="159B66A0" w14:textId="77777777" w:rsidR="003F5D95" w:rsidRPr="00BF5BBE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</w:p>
        </w:tc>
      </w:tr>
      <w:tr w:rsidR="003F5D95" w:rsidRPr="00035FD7" w14:paraId="2C1E6207" w14:textId="77777777" w:rsidTr="00A673F7">
        <w:tc>
          <w:tcPr>
            <w:tcW w:w="1271" w:type="dxa"/>
          </w:tcPr>
          <w:p w14:paraId="3683DCF4" w14:textId="77777777" w:rsidR="003F5D95" w:rsidRPr="00BF5BBE" w:rsidRDefault="003F5D95" w:rsidP="00A673F7">
            <w:pPr>
              <w:pStyle w:val="Mjtext"/>
              <w:spacing w:before="0" w:after="0"/>
              <w:rPr>
                <w:b/>
                <w:iCs/>
                <w:sz w:val="16"/>
                <w:szCs w:val="16"/>
              </w:rPr>
            </w:pPr>
            <w:r w:rsidRPr="00BF5BBE">
              <w:rPr>
                <w:bCs/>
                <w:iCs/>
                <w:sz w:val="16"/>
                <w:szCs w:val="16"/>
              </w:rPr>
              <w:t>21.06.2022</w:t>
            </w:r>
          </w:p>
        </w:tc>
        <w:tc>
          <w:tcPr>
            <w:tcW w:w="7796" w:type="dxa"/>
          </w:tcPr>
          <w:p w14:paraId="7BC03CC7" w14:textId="77777777" w:rsidR="003F5D95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MSK přihlásil pohledávky v rámci likvidace banky.</w:t>
            </w:r>
            <w:r w:rsidRPr="00BF5BBE">
              <w:rPr>
                <w:bCs/>
                <w:iCs/>
                <w:sz w:val="16"/>
                <w:szCs w:val="16"/>
              </w:rPr>
              <w:t xml:space="preserve"> </w:t>
            </w:r>
          </w:p>
          <w:p w14:paraId="18E88AB8" w14:textId="77777777" w:rsidR="003F5D95" w:rsidRPr="00BF5BBE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</w:p>
        </w:tc>
      </w:tr>
      <w:tr w:rsidR="003F5D95" w:rsidRPr="00035FD7" w14:paraId="024CCCC8" w14:textId="77777777" w:rsidTr="00A673F7">
        <w:tc>
          <w:tcPr>
            <w:tcW w:w="1271" w:type="dxa"/>
          </w:tcPr>
          <w:p w14:paraId="24A36E54" w14:textId="77777777" w:rsidR="003F5D95" w:rsidRPr="00BF5BBE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BF5BBE">
              <w:rPr>
                <w:bCs/>
                <w:iCs/>
                <w:sz w:val="16"/>
                <w:szCs w:val="16"/>
              </w:rPr>
              <w:t>08.08.2022</w:t>
            </w:r>
          </w:p>
          <w:p w14:paraId="2CCC4071" w14:textId="77777777" w:rsidR="003F5D95" w:rsidRPr="00BF5BBE" w:rsidRDefault="003F5D95" w:rsidP="00A673F7">
            <w:pPr>
              <w:pStyle w:val="Mjtext"/>
              <w:spacing w:before="0" w:after="0"/>
              <w:rPr>
                <w:b/>
                <w:iCs/>
                <w:sz w:val="16"/>
                <w:szCs w:val="16"/>
              </w:rPr>
            </w:pPr>
            <w:r w:rsidRPr="00BF5BBE">
              <w:rPr>
                <w:bCs/>
                <w:iCs/>
                <w:sz w:val="16"/>
                <w:szCs w:val="16"/>
              </w:rPr>
              <w:t>RK č. 50/3509</w:t>
            </w:r>
          </w:p>
        </w:tc>
        <w:tc>
          <w:tcPr>
            <w:tcW w:w="7796" w:type="dxa"/>
          </w:tcPr>
          <w:p w14:paraId="32D1042C" w14:textId="249B32CC" w:rsidR="003F5D95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BF5BBE">
              <w:rPr>
                <w:bCs/>
                <w:iCs/>
                <w:sz w:val="16"/>
                <w:szCs w:val="16"/>
              </w:rPr>
              <w:t>RK pověřila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BF5BBE">
              <w:rPr>
                <w:bCs/>
                <w:iCs/>
                <w:sz w:val="16"/>
                <w:szCs w:val="16"/>
              </w:rPr>
              <w:t>náměstka hejtmana Ing. Jaroslava Kaniu zástupcem kraje na schůzích věřitelů (případně na</w:t>
            </w:r>
            <w:r w:rsidR="0080428A">
              <w:rPr>
                <w:bCs/>
                <w:iCs/>
                <w:sz w:val="16"/>
                <w:szCs w:val="16"/>
              </w:rPr>
              <w:t> </w:t>
            </w:r>
            <w:r w:rsidRPr="00BF5BBE">
              <w:rPr>
                <w:bCs/>
                <w:iCs/>
                <w:sz w:val="16"/>
                <w:szCs w:val="16"/>
              </w:rPr>
              <w:t xml:space="preserve">schůzích věřitelského výboru) a ustanovila jeho zástupcem Mgr. Martina Vymětala, LL.M. vedoucího oddělení právního. </w:t>
            </w:r>
          </w:p>
          <w:p w14:paraId="1799CCA6" w14:textId="77777777" w:rsidR="003F5D95" w:rsidRPr="00BF5BBE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</w:p>
        </w:tc>
      </w:tr>
      <w:tr w:rsidR="003F5D95" w:rsidRPr="00035FD7" w14:paraId="01415515" w14:textId="77777777" w:rsidTr="00A673F7">
        <w:tc>
          <w:tcPr>
            <w:tcW w:w="1271" w:type="dxa"/>
          </w:tcPr>
          <w:p w14:paraId="5758CB47" w14:textId="77777777" w:rsidR="003F5D95" w:rsidRPr="00531DA2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531DA2">
              <w:rPr>
                <w:bCs/>
                <w:iCs/>
                <w:sz w:val="16"/>
                <w:szCs w:val="16"/>
              </w:rPr>
              <w:t>06.09.2022</w:t>
            </w:r>
          </w:p>
        </w:tc>
        <w:tc>
          <w:tcPr>
            <w:tcW w:w="7796" w:type="dxa"/>
          </w:tcPr>
          <w:p w14:paraId="047B4C99" w14:textId="77777777" w:rsidR="003F5D95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MSK obdržel od likvidátorky banky oznámení o výši pohledávky v celkové výši 370.540.474,51 Kč (běžný účet: 3.527.118,34 z titulu průběžně připisovaných úroků za 02-07/2022 vč. sankčních úroků a spořící účet: 367.013.356,17 Kč z titulu naběhlých sankčních úroků). Veškeré tyto pohledávky jsou vedeny v rámci účetnictví kraje již na dlouhodobé pohledávce vůči bance.</w:t>
            </w:r>
          </w:p>
          <w:p w14:paraId="09363FFC" w14:textId="77777777" w:rsidR="003F5D95" w:rsidRPr="00BF5BBE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</w:p>
        </w:tc>
      </w:tr>
      <w:tr w:rsidR="003F5D95" w:rsidRPr="00035FD7" w14:paraId="11E77D89" w14:textId="77777777" w:rsidTr="00A673F7">
        <w:tc>
          <w:tcPr>
            <w:tcW w:w="1271" w:type="dxa"/>
          </w:tcPr>
          <w:p w14:paraId="4269B263" w14:textId="77777777" w:rsidR="003F5D95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26.08.2022</w:t>
            </w:r>
          </w:p>
        </w:tc>
        <w:tc>
          <w:tcPr>
            <w:tcW w:w="7796" w:type="dxa"/>
            <w:shd w:val="clear" w:color="auto" w:fill="FFFFFF" w:themeFill="background1"/>
          </w:tcPr>
          <w:p w14:paraId="6BED5CCD" w14:textId="77777777" w:rsidR="003F5D95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  <w:r w:rsidRPr="00FA0EB8">
              <w:rPr>
                <w:color w:val="000000"/>
                <w:sz w:val="16"/>
                <w:szCs w:val="16"/>
              </w:rPr>
              <w:t>ěst</w:t>
            </w:r>
            <w:r>
              <w:rPr>
                <w:color w:val="000000"/>
                <w:sz w:val="16"/>
                <w:szCs w:val="16"/>
              </w:rPr>
              <w:t>ský soud v Praze prohlásil na majetek Sberbank CZ, a.s. v likvidaci konkurz.</w:t>
            </w:r>
          </w:p>
          <w:p w14:paraId="0C0E0BCD" w14:textId="77777777" w:rsidR="003F5D95" w:rsidRPr="00814B54" w:rsidRDefault="003F5D95" w:rsidP="00A673F7">
            <w:pPr>
              <w:pStyle w:val="Mjtext"/>
              <w:spacing w:before="0" w:after="0"/>
              <w:rPr>
                <w:sz w:val="16"/>
                <w:szCs w:val="16"/>
                <w:highlight w:val="yellow"/>
              </w:rPr>
            </w:pPr>
          </w:p>
        </w:tc>
      </w:tr>
      <w:tr w:rsidR="003F5D95" w:rsidRPr="00035FD7" w14:paraId="58A5A6A8" w14:textId="77777777" w:rsidTr="00A673F7">
        <w:tc>
          <w:tcPr>
            <w:tcW w:w="1271" w:type="dxa"/>
          </w:tcPr>
          <w:p w14:paraId="78C79DE0" w14:textId="77777777" w:rsidR="003F5D95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A36296">
              <w:rPr>
                <w:bCs/>
                <w:iCs/>
                <w:sz w:val="16"/>
                <w:szCs w:val="16"/>
              </w:rPr>
              <w:t>26.09.202</w:t>
            </w:r>
            <w:r>
              <w:rPr>
                <w:bCs/>
                <w:iCs/>
                <w:sz w:val="16"/>
                <w:szCs w:val="16"/>
              </w:rPr>
              <w:t>2</w:t>
            </w:r>
          </w:p>
          <w:p w14:paraId="1D00818E" w14:textId="77777777" w:rsidR="003F5D95" w:rsidRPr="00A36296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RK č. 53/3807</w:t>
            </w:r>
          </w:p>
        </w:tc>
        <w:tc>
          <w:tcPr>
            <w:tcW w:w="7796" w:type="dxa"/>
          </w:tcPr>
          <w:p w14:paraId="3776DCB5" w14:textId="77777777" w:rsidR="003F5D95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MSK se připojil k žádosti Kraje Vysočina týkající se vyslovení zákazu hlasování věřitele Garanční systém finančního trhu (dále jen „GSFT“) na schůzi věřitelů z obavy, aby tento přednostní věřitel neovládl věřitelský výbor a z titulu jeho prioritního postavení dle § 374 zákona č. 182/2006 Sb. o úpadku a způsobech jeho řešení (insolvenční zákon). GSFT je uspokojován dle uvedeného zákona z prodeje majetku ve 100 % jako první, dále ve druhé skupině následují fyzické osoby a malé a střední podniky a až v poslední 3.skupině jsou územní samosprávné celky a velké firmy. Zákon pak stanoví, že věřitel následující skupiny může být uspokojen až v případě úplného uspokojení skupiny předcházející.     </w:t>
            </w:r>
          </w:p>
          <w:p w14:paraId="65FDE777" w14:textId="77777777" w:rsidR="003F5D95" w:rsidRPr="00BF5BBE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</w:p>
        </w:tc>
      </w:tr>
      <w:tr w:rsidR="003F5D95" w:rsidRPr="00035FD7" w14:paraId="7551AB62" w14:textId="77777777" w:rsidTr="00A673F7">
        <w:tc>
          <w:tcPr>
            <w:tcW w:w="1271" w:type="dxa"/>
          </w:tcPr>
          <w:p w14:paraId="65F7607B" w14:textId="77777777" w:rsidR="003F5D95" w:rsidRPr="00F20E40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F20E40">
              <w:rPr>
                <w:bCs/>
                <w:iCs/>
                <w:sz w:val="16"/>
                <w:szCs w:val="16"/>
              </w:rPr>
              <w:t>06.10.2022</w:t>
            </w:r>
          </w:p>
        </w:tc>
        <w:tc>
          <w:tcPr>
            <w:tcW w:w="7796" w:type="dxa"/>
          </w:tcPr>
          <w:p w14:paraId="5E3D4CA3" w14:textId="77777777" w:rsidR="003F5D95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Proběhla schůze věřitelů, kde byla ve funkci likvidátorky potvrzena JUDr. Jiřina Lužová (dále jen „IS“), byl stanoven oficiální věřitelský výbor ve složení GSFT, ČNB a firma STEMA-TECH, s.r.o.</w:t>
            </w:r>
          </w:p>
          <w:p w14:paraId="70B1F004" w14:textId="77777777" w:rsidR="003F5D95" w:rsidRPr="00BF5BBE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</w:p>
        </w:tc>
      </w:tr>
      <w:tr w:rsidR="003F5D95" w:rsidRPr="00035FD7" w14:paraId="14FB61E0" w14:textId="77777777" w:rsidTr="00A673F7">
        <w:tc>
          <w:tcPr>
            <w:tcW w:w="1271" w:type="dxa"/>
          </w:tcPr>
          <w:p w14:paraId="5928B806" w14:textId="77777777" w:rsidR="003F5D95" w:rsidRPr="00307B4C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 w:rsidRPr="00307B4C">
              <w:rPr>
                <w:bCs/>
                <w:iCs/>
                <w:sz w:val="16"/>
                <w:szCs w:val="16"/>
              </w:rPr>
              <w:t>14.10.2022</w:t>
            </w:r>
          </w:p>
        </w:tc>
        <w:tc>
          <w:tcPr>
            <w:tcW w:w="7796" w:type="dxa"/>
          </w:tcPr>
          <w:p w14:paraId="0A28ADE7" w14:textId="77777777" w:rsidR="003F5D95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Věřitelský výbor rozhodl, aby IS jednala o uzavření kupní smlouvy o prodeji úvěrového portfolia banky s jediným zájemcem, Českou spořitelnou, a.s.</w:t>
            </w:r>
          </w:p>
          <w:p w14:paraId="55A423B9" w14:textId="77777777" w:rsidR="003F5D95" w:rsidRPr="00307B4C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</w:p>
        </w:tc>
      </w:tr>
      <w:tr w:rsidR="003F5D95" w:rsidRPr="00035FD7" w14:paraId="5B19A802" w14:textId="77777777" w:rsidTr="00A673F7">
        <w:tc>
          <w:tcPr>
            <w:tcW w:w="1271" w:type="dxa"/>
          </w:tcPr>
          <w:p w14:paraId="0AE696E9" w14:textId="77777777" w:rsidR="003F5D95" w:rsidRPr="00307B4C" w:rsidRDefault="003F5D95" w:rsidP="00A673F7">
            <w:pPr>
              <w:pStyle w:val="Mjtext"/>
              <w:spacing w:before="0" w:after="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7.11.2022</w:t>
            </w:r>
          </w:p>
        </w:tc>
        <w:tc>
          <w:tcPr>
            <w:tcW w:w="7796" w:type="dxa"/>
          </w:tcPr>
          <w:p w14:paraId="4B381587" w14:textId="08FE521D" w:rsidR="003F5D95" w:rsidRPr="00A41BFE" w:rsidRDefault="003F5D95" w:rsidP="00A673F7">
            <w:pPr>
              <w:jc w:val="both"/>
              <w:rPr>
                <w:rFonts w:ascii="Tahoma" w:hAnsi="Tahoma" w:cs="Tahoma"/>
                <w:b/>
                <w:bCs/>
                <w:color w:val="262626"/>
                <w:sz w:val="16"/>
                <w:szCs w:val="16"/>
              </w:rPr>
            </w:pPr>
            <w:r w:rsidRPr="00A41BFE">
              <w:rPr>
                <w:rFonts w:ascii="Tahoma" w:hAnsi="Tahoma" w:cs="Tahoma"/>
                <w:b/>
                <w:bCs/>
                <w:color w:val="262626"/>
                <w:sz w:val="16"/>
                <w:szCs w:val="16"/>
              </w:rPr>
              <w:t>7. listopadu 2022 insolvenční správkyně Sberbank CZ JUDr. Jiřina Lužová podepsala s Českou spořitelnou smlouvu o smlouvě budoucí na koupi úvěrového portfolia Sberbank CZ v nominální hodnotě 47,1 m</w:t>
            </w:r>
            <w:r w:rsidR="00A93CDE">
              <w:rPr>
                <w:rFonts w:ascii="Tahoma" w:hAnsi="Tahoma" w:cs="Tahoma"/>
                <w:b/>
                <w:bCs/>
                <w:color w:val="262626"/>
                <w:sz w:val="16"/>
                <w:szCs w:val="16"/>
              </w:rPr>
              <w:t>ld. Kč</w:t>
            </w:r>
            <w:r w:rsidRPr="00A41BFE">
              <w:rPr>
                <w:rFonts w:ascii="Tahoma" w:hAnsi="Tahoma" w:cs="Tahoma"/>
                <w:b/>
                <w:bCs/>
                <w:color w:val="262626"/>
                <w:sz w:val="16"/>
                <w:szCs w:val="16"/>
              </w:rPr>
              <w:t>. </w:t>
            </w:r>
          </w:p>
          <w:p w14:paraId="419EAE51" w14:textId="77777777" w:rsidR="003F5D95" w:rsidRDefault="003F5D95" w:rsidP="00A673F7">
            <w:pPr>
              <w:jc w:val="both"/>
              <w:rPr>
                <w:rFonts w:ascii="Tahoma" w:hAnsi="Tahoma" w:cs="Tahoma"/>
                <w:color w:val="262626"/>
                <w:sz w:val="16"/>
                <w:szCs w:val="16"/>
              </w:rPr>
            </w:pPr>
          </w:p>
          <w:p w14:paraId="7F921DD5" w14:textId="070EA6B7" w:rsidR="003F5D95" w:rsidRDefault="003F5D95" w:rsidP="00A673F7">
            <w:pPr>
              <w:jc w:val="both"/>
              <w:rPr>
                <w:rFonts w:ascii="Tahoma" w:hAnsi="Tahoma" w:cs="Tahoma"/>
                <w:b/>
                <w:bCs/>
                <w:color w:val="262626"/>
                <w:sz w:val="16"/>
                <w:szCs w:val="16"/>
              </w:rPr>
            </w:pPr>
            <w:r>
              <w:rPr>
                <w:rFonts w:ascii="Tahoma" w:hAnsi="Tahoma" w:cs="Tahoma"/>
                <w:color w:val="262626"/>
                <w:sz w:val="16"/>
                <w:szCs w:val="16"/>
              </w:rPr>
              <w:t>Dle sdělení insolvenční správkyně by n</w:t>
            </w:r>
            <w:r w:rsidRPr="00A41BFE">
              <w:rPr>
                <w:rFonts w:ascii="Tahoma" w:hAnsi="Tahoma" w:cs="Tahoma"/>
                <w:color w:val="262626"/>
                <w:sz w:val="16"/>
                <w:szCs w:val="16"/>
              </w:rPr>
              <w:t>abídka České spořitelny společně s dostupnou hotovostí a</w:t>
            </w:r>
            <w:r w:rsidR="00A93CDE">
              <w:rPr>
                <w:rFonts w:ascii="Tahoma" w:hAnsi="Tahoma" w:cs="Tahoma"/>
                <w:color w:val="262626"/>
                <w:sz w:val="16"/>
                <w:szCs w:val="16"/>
              </w:rPr>
              <w:t> </w:t>
            </w:r>
            <w:r w:rsidRPr="00A41BFE">
              <w:rPr>
                <w:rFonts w:ascii="Tahoma" w:hAnsi="Tahoma" w:cs="Tahoma"/>
                <w:color w:val="262626"/>
                <w:sz w:val="16"/>
                <w:szCs w:val="16"/>
              </w:rPr>
              <w:t>předpokládaným výtěžkem ze</w:t>
            </w:r>
            <w:r w:rsidR="00A93CDE">
              <w:rPr>
                <w:rFonts w:ascii="Tahoma" w:hAnsi="Tahoma" w:cs="Tahoma"/>
                <w:color w:val="262626"/>
                <w:sz w:val="16"/>
                <w:szCs w:val="16"/>
              </w:rPr>
              <w:t> </w:t>
            </w:r>
            <w:r w:rsidRPr="00A41BFE">
              <w:rPr>
                <w:rFonts w:ascii="Tahoma" w:hAnsi="Tahoma" w:cs="Tahoma"/>
                <w:color w:val="262626"/>
                <w:sz w:val="16"/>
                <w:szCs w:val="16"/>
              </w:rPr>
              <w:t xml:space="preserve">zpeněžení ostatních aktiv Sberbank CZ měla dostačovat k 100% uspokojení věřitelů v první skupině (GSFT), 100% uspokojení věřitelů v druhé skupině (fyzické osoby a malé a střední firmy) a </w:t>
            </w:r>
            <w:r w:rsidRPr="00A41BFE">
              <w:rPr>
                <w:rFonts w:ascii="Tahoma" w:hAnsi="Tahoma" w:cs="Tahoma"/>
                <w:b/>
                <w:bCs/>
                <w:color w:val="262626"/>
                <w:sz w:val="16"/>
                <w:szCs w:val="16"/>
              </w:rPr>
              <w:t>s velkou pravděpodobností k více než 90% uspokojení věřitelů ve třetí skupině (tj. krajů, měst, obcí a velkých společností).</w:t>
            </w:r>
          </w:p>
          <w:p w14:paraId="238F6E5D" w14:textId="77777777" w:rsidR="003F5D95" w:rsidRDefault="003F5D95" w:rsidP="00A673F7">
            <w:pPr>
              <w:jc w:val="both"/>
              <w:rPr>
                <w:rFonts w:ascii="Tahoma" w:hAnsi="Tahoma" w:cs="Tahoma"/>
                <w:b/>
                <w:bCs/>
                <w:color w:val="262626"/>
                <w:sz w:val="16"/>
                <w:szCs w:val="16"/>
              </w:rPr>
            </w:pPr>
          </w:p>
          <w:p w14:paraId="5089B489" w14:textId="77777777" w:rsidR="003F5D95" w:rsidRPr="00A41BFE" w:rsidRDefault="003F5D95" w:rsidP="00A673F7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262626"/>
                <w:sz w:val="16"/>
                <w:szCs w:val="16"/>
              </w:rPr>
              <w:t>V případě úspěšného prodeje by mělo dojít k vypořádání věřitelů formou částečného rozvrhu od druhé poloviny roku 2023.</w:t>
            </w:r>
          </w:p>
          <w:p w14:paraId="4DDFC1F0" w14:textId="77777777" w:rsidR="003F5D95" w:rsidRDefault="003F5D95" w:rsidP="00A673F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C1FE9AF" w14:textId="25A16F06" w:rsidR="003F5D95" w:rsidRDefault="003F5D95" w:rsidP="00A673F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Smlouvu musí dále ještě schválit ČNB a ÚOHS.</w:t>
            </w:r>
          </w:p>
          <w:p w14:paraId="0F549BB8" w14:textId="77777777" w:rsidR="003F5D95" w:rsidRDefault="003F5D95" w:rsidP="00A673F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BE69DB6" w14:textId="0AC35A95" w:rsidR="003F5D95" w:rsidRPr="00A41BFE" w:rsidRDefault="003F5D95" w:rsidP="00A673F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</w:t>
            </w:r>
            <w:r w:rsidR="005337DE">
              <w:rPr>
                <w:rFonts w:ascii="Tahoma" w:hAnsi="Tahoma" w:cs="Tahoma"/>
                <w:sz w:val="16"/>
                <w:szCs w:val="16"/>
              </w:rPr>
              <w:t>UD</w:t>
            </w:r>
            <w:r>
              <w:rPr>
                <w:rFonts w:ascii="Tahoma" w:hAnsi="Tahoma" w:cs="Tahoma"/>
                <w:sz w:val="16"/>
                <w:szCs w:val="16"/>
              </w:rPr>
              <w:t>r. Lužová současně vyzvala všechny věřitele, aby neblokovali uvedený prodej podáváním odvolání nebo žalobami a vyzvala, aby tato případná podání byla vzata zpět.</w:t>
            </w:r>
          </w:p>
          <w:p w14:paraId="193D2DFB" w14:textId="77777777" w:rsidR="003F5D95" w:rsidRPr="00A41BFE" w:rsidRDefault="003F5D95" w:rsidP="00A673F7">
            <w:pPr>
              <w:pStyle w:val="Mjtext"/>
              <w:spacing w:before="0" w:after="0"/>
              <w:rPr>
                <w:color w:val="000000"/>
                <w:sz w:val="16"/>
                <w:szCs w:val="16"/>
              </w:rPr>
            </w:pPr>
          </w:p>
        </w:tc>
      </w:tr>
    </w:tbl>
    <w:p w14:paraId="024F4CEA" w14:textId="77777777" w:rsidR="003F5D95" w:rsidRDefault="003F5D95" w:rsidP="003F5D95">
      <w:pPr>
        <w:jc w:val="both"/>
        <w:rPr>
          <w:rFonts w:ascii="Tahoma" w:hAnsi="Tahoma" w:cs="Tahoma"/>
          <w:sz w:val="20"/>
          <w:szCs w:val="20"/>
        </w:rPr>
      </w:pPr>
    </w:p>
    <w:p w14:paraId="37466DF9" w14:textId="21473F4E" w:rsidR="003F5D95" w:rsidRDefault="003F5D95" w:rsidP="003F5D95">
      <w:pPr>
        <w:shd w:val="clear" w:color="auto" w:fill="FFFFFF" w:themeFill="background1"/>
        <w:jc w:val="both"/>
        <w:rPr>
          <w:rFonts w:ascii="Tahoma" w:hAnsi="Tahoma" w:cs="Tahoma"/>
          <w:iCs/>
          <w:sz w:val="20"/>
          <w:szCs w:val="20"/>
        </w:rPr>
      </w:pPr>
      <w:r w:rsidRPr="00F425E4">
        <w:rPr>
          <w:rFonts w:ascii="Tahoma" w:hAnsi="Tahoma" w:cs="Tahoma"/>
          <w:sz w:val="20"/>
          <w:szCs w:val="20"/>
        </w:rPr>
        <w:t xml:space="preserve">Současně informujeme, že </w:t>
      </w:r>
      <w:r>
        <w:rPr>
          <w:rFonts w:ascii="Tahoma" w:hAnsi="Tahoma" w:cs="Tahoma"/>
          <w:sz w:val="20"/>
          <w:szCs w:val="20"/>
        </w:rPr>
        <w:t>postup zhodnocování finančních prostředků kraje, který byl uveden v</w:t>
      </w:r>
      <w:r w:rsidR="005337DE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důvodové zprávě materiálu</w:t>
      </w:r>
      <w:r w:rsidRPr="00F425E4">
        <w:rPr>
          <w:rFonts w:ascii="Tahoma" w:hAnsi="Tahoma" w:cs="Tahoma"/>
          <w:sz w:val="20"/>
          <w:szCs w:val="20"/>
        </w:rPr>
        <w:t xml:space="preserve"> </w:t>
      </w:r>
      <w:r w:rsidRPr="00F425E4">
        <w:rPr>
          <w:rFonts w:ascii="Tahoma" w:hAnsi="Tahoma" w:cs="Tahoma"/>
          <w:iCs/>
          <w:sz w:val="20"/>
          <w:szCs w:val="20"/>
        </w:rPr>
        <w:t>z</w:t>
      </w:r>
      <w:r w:rsidR="005337DE">
        <w:rPr>
          <w:rFonts w:ascii="Tahoma" w:hAnsi="Tahoma" w:cs="Tahoma"/>
          <w:iCs/>
          <w:sz w:val="20"/>
          <w:szCs w:val="20"/>
        </w:rPr>
        <w:t>e dne</w:t>
      </w:r>
      <w:r w:rsidRPr="00F425E4">
        <w:rPr>
          <w:rFonts w:ascii="Tahoma" w:hAnsi="Tahoma" w:cs="Tahoma"/>
          <w:iCs/>
          <w:sz w:val="20"/>
          <w:szCs w:val="20"/>
        </w:rPr>
        <w:t> 16.03.2022</w:t>
      </w:r>
      <w:r>
        <w:rPr>
          <w:rFonts w:ascii="Tahoma" w:hAnsi="Tahoma" w:cs="Tahoma"/>
          <w:iCs/>
          <w:sz w:val="20"/>
          <w:szCs w:val="20"/>
        </w:rPr>
        <w:t xml:space="preserve"> (Informace o dopadu kroků ČNB vedoucích odejmutí licence Sberbank CZ, a.s. na kraj)</w:t>
      </w:r>
      <w:r w:rsidRPr="00F425E4">
        <w:rPr>
          <w:rFonts w:ascii="Tahoma" w:hAnsi="Tahoma" w:cs="Tahoma"/>
          <w:iCs/>
          <w:sz w:val="20"/>
          <w:szCs w:val="20"/>
        </w:rPr>
        <w:t>,</w:t>
      </w:r>
      <w:r>
        <w:rPr>
          <w:rFonts w:ascii="Tahoma" w:hAnsi="Tahoma" w:cs="Tahoma"/>
          <w:iCs/>
          <w:sz w:val="20"/>
          <w:szCs w:val="20"/>
        </w:rPr>
        <w:t xml:space="preserve"> byl aktualizován usnesením rady kraje č. 51/3637 ze dne 29.08.2022. Tato </w:t>
      </w:r>
      <w:r w:rsidRPr="00017DBE">
        <w:rPr>
          <w:rFonts w:ascii="Tahoma" w:hAnsi="Tahoma" w:cs="Tahoma"/>
          <w:iCs/>
          <w:sz w:val="20"/>
          <w:szCs w:val="20"/>
        </w:rPr>
        <w:t>pravidla zpřesňují a zobecňují původně stanovené postupy (mj. 14denní úložky pouze u systémově významných institucí, vklady s max. 1denní výpovědí u ostatních spolupracujících bank apod.), tak aby jejich využití mělo dlouhodobější charakter</w:t>
      </w:r>
      <w:r>
        <w:rPr>
          <w:rFonts w:ascii="Tahoma" w:hAnsi="Tahoma" w:cs="Tahoma"/>
          <w:iCs/>
          <w:sz w:val="20"/>
          <w:szCs w:val="20"/>
        </w:rPr>
        <w:t xml:space="preserve"> a v případě potřeby mohou být dále aktualizována</w:t>
      </w:r>
      <w:r w:rsidRPr="00017DBE">
        <w:rPr>
          <w:rFonts w:ascii="Tahoma" w:hAnsi="Tahoma" w:cs="Tahoma"/>
          <w:iCs/>
          <w:sz w:val="20"/>
          <w:szCs w:val="20"/>
        </w:rPr>
        <w:t>.</w:t>
      </w:r>
    </w:p>
    <w:p w14:paraId="23F5AF72" w14:textId="77777777" w:rsidR="003F5D95" w:rsidRDefault="003F5D95" w:rsidP="003F5D95">
      <w:pPr>
        <w:shd w:val="clear" w:color="auto" w:fill="FFFFFF" w:themeFill="background1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</w:t>
      </w:r>
    </w:p>
    <w:p w14:paraId="2358658F" w14:textId="20253373" w:rsidR="003F5D95" w:rsidRPr="00F425E4" w:rsidRDefault="003F5D95" w:rsidP="003F5D95">
      <w:pPr>
        <w:shd w:val="clear" w:color="auto" w:fill="FFFFFF" w:themeFill="background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Přes snížení vkladů kraje u bank, které nejsou dle ČNB systémově významné (PPF, OB, Moneta, JT) se</w:t>
      </w:r>
      <w:r w:rsidR="00AC011D">
        <w:rPr>
          <w:rFonts w:ascii="Tahoma" w:hAnsi="Tahoma" w:cs="Tahoma"/>
          <w:iCs/>
          <w:sz w:val="20"/>
          <w:szCs w:val="20"/>
        </w:rPr>
        <w:t> </w:t>
      </w:r>
      <w:r>
        <w:rPr>
          <w:rFonts w:ascii="Tahoma" w:hAnsi="Tahoma" w:cs="Tahoma"/>
          <w:iCs/>
          <w:sz w:val="20"/>
          <w:szCs w:val="20"/>
        </w:rPr>
        <w:t>díky růstu úrokových sazeb a dennímu řízení cash-</w:t>
      </w:r>
      <w:proofErr w:type="spellStart"/>
      <w:r>
        <w:rPr>
          <w:rFonts w:ascii="Tahoma" w:hAnsi="Tahoma" w:cs="Tahoma"/>
          <w:iCs/>
          <w:sz w:val="20"/>
          <w:szCs w:val="20"/>
        </w:rPr>
        <w:t>flow</w:t>
      </w:r>
      <w:proofErr w:type="spellEnd"/>
      <w:r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iCs/>
          <w:sz w:val="20"/>
          <w:szCs w:val="20"/>
        </w:rPr>
        <w:t>daří</w:t>
      </w:r>
      <w:proofErr w:type="gramEnd"/>
      <w:r>
        <w:rPr>
          <w:rFonts w:ascii="Tahoma" w:hAnsi="Tahoma" w:cs="Tahoma"/>
          <w:iCs/>
          <w:sz w:val="20"/>
          <w:szCs w:val="20"/>
        </w:rPr>
        <w:t xml:space="preserve"> přeplňovat očekávaný příjem z úrokových výnosů. K </w:t>
      </w:r>
      <w:r w:rsidRPr="00672B61">
        <w:rPr>
          <w:rFonts w:ascii="Tahoma" w:hAnsi="Tahoma" w:cs="Tahoma"/>
          <w:iCs/>
          <w:sz w:val="20"/>
          <w:szCs w:val="20"/>
        </w:rPr>
        <w:t>datu 31.10.2022 tak</w:t>
      </w:r>
      <w:r>
        <w:rPr>
          <w:rFonts w:ascii="Tahoma" w:hAnsi="Tahoma" w:cs="Tahoma"/>
          <w:iCs/>
          <w:sz w:val="20"/>
          <w:szCs w:val="20"/>
        </w:rPr>
        <w:t xml:space="preserve"> kraj inkasoval na úrokový příjmech </w:t>
      </w:r>
      <w:r w:rsidRPr="00672B61">
        <w:rPr>
          <w:rFonts w:ascii="Tahoma" w:hAnsi="Tahoma" w:cs="Tahoma"/>
          <w:iCs/>
          <w:sz w:val="20"/>
          <w:szCs w:val="20"/>
        </w:rPr>
        <w:t>částku 185,6 mil. Kč (</w:t>
      </w:r>
      <w:r>
        <w:rPr>
          <w:rFonts w:ascii="Tahoma" w:hAnsi="Tahoma" w:cs="Tahoma"/>
          <w:iCs/>
          <w:sz w:val="20"/>
          <w:szCs w:val="20"/>
        </w:rPr>
        <w:t xml:space="preserve">schválený rozpočet počítal s částkou 25 mil. Kč.).  </w:t>
      </w:r>
    </w:p>
    <w:p w14:paraId="113CDAD2" w14:textId="77777777" w:rsidR="003F5D95" w:rsidRDefault="003F5D95" w:rsidP="003F5D95">
      <w:pPr>
        <w:jc w:val="both"/>
        <w:rPr>
          <w:rFonts w:ascii="Tahoma" w:hAnsi="Tahoma" w:cs="Tahoma"/>
          <w:sz w:val="20"/>
          <w:szCs w:val="20"/>
          <w:highlight w:val="lightGray"/>
          <w:u w:val="single"/>
        </w:rPr>
      </w:pPr>
      <w:r>
        <w:rPr>
          <w:rFonts w:ascii="Tahoma" w:hAnsi="Tahoma" w:cs="Tahoma"/>
          <w:sz w:val="20"/>
          <w:szCs w:val="20"/>
          <w:highlight w:val="lightGray"/>
          <w:u w:val="single"/>
        </w:rPr>
        <w:t xml:space="preserve"> </w:t>
      </w:r>
    </w:p>
    <w:p w14:paraId="66A362C8" w14:textId="77777777" w:rsidR="003F5D95" w:rsidRPr="00F2680A" w:rsidRDefault="003F5D95" w:rsidP="003F5D95">
      <w:pPr>
        <w:pStyle w:val="Mjtext"/>
        <w:spacing w:before="240"/>
        <w:rPr>
          <w:bCs/>
          <w:iCs/>
          <w:u w:val="single"/>
        </w:rPr>
      </w:pPr>
    </w:p>
    <w:p w14:paraId="0BAF24E4" w14:textId="77777777" w:rsidR="003F5D95" w:rsidRDefault="003F5D95" w:rsidP="00527CB9">
      <w:pPr>
        <w:spacing w:before="120" w:after="240"/>
        <w:jc w:val="both"/>
        <w:rPr>
          <w:rFonts w:ascii="Tahoma" w:hAnsi="Tahoma" w:cs="Tahoma"/>
          <w:sz w:val="20"/>
          <w:szCs w:val="20"/>
        </w:rPr>
      </w:pPr>
    </w:p>
    <w:p w14:paraId="53DB3789" w14:textId="77777777" w:rsidR="00CD212D" w:rsidRPr="00CD212D" w:rsidRDefault="00CD212D" w:rsidP="00CD212D">
      <w:pPr>
        <w:pStyle w:val="xl33"/>
        <w:tabs>
          <w:tab w:val="left" w:pos="2160"/>
        </w:tabs>
        <w:spacing w:before="400" w:beforeAutospacing="0" w:after="120" w:afterAutospacing="0"/>
        <w:ind w:left="360"/>
        <w:textAlignment w:val="auto"/>
        <w:rPr>
          <w:rFonts w:cs="Tahoma"/>
          <w:bCs w:val="0"/>
          <w:sz w:val="16"/>
          <w:szCs w:val="16"/>
          <w:u w:val="single"/>
        </w:rPr>
      </w:pPr>
      <w:r w:rsidRPr="00CD212D">
        <w:rPr>
          <w:rFonts w:cs="Tahoma"/>
          <w:bCs w:val="0"/>
          <w:sz w:val="16"/>
          <w:szCs w:val="16"/>
          <w:u w:val="single"/>
        </w:rPr>
        <w:lastRenderedPageBreak/>
        <w:t>Seznam použitých zkratek:</w:t>
      </w:r>
    </w:p>
    <w:p w14:paraId="1BEE671A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a.s.</w:t>
      </w:r>
      <w:r w:rsidRPr="00CD212D">
        <w:rPr>
          <w:rFonts w:cs="Tahoma"/>
          <w:b w:val="0"/>
          <w:sz w:val="18"/>
          <w:szCs w:val="18"/>
        </w:rPr>
        <w:tab/>
        <w:t>akciová společnost</w:t>
      </w:r>
    </w:p>
    <w:p w14:paraId="23F60C3D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ČNB</w:t>
      </w:r>
      <w:r w:rsidRPr="00CD212D">
        <w:rPr>
          <w:rFonts w:cs="Tahoma"/>
          <w:b w:val="0"/>
          <w:sz w:val="18"/>
          <w:szCs w:val="18"/>
        </w:rPr>
        <w:tab/>
        <w:t>Česká národní banka</w:t>
      </w:r>
    </w:p>
    <w:p w14:paraId="3140580D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ČS</w:t>
      </w:r>
      <w:r w:rsidRPr="00CD212D">
        <w:rPr>
          <w:rFonts w:cs="Tahoma"/>
          <w:b w:val="0"/>
          <w:sz w:val="18"/>
          <w:szCs w:val="18"/>
        </w:rPr>
        <w:tab/>
        <w:t>Česká spořitelna, a. s.</w:t>
      </w:r>
    </w:p>
    <w:p w14:paraId="0C7EC70A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ČSOB</w:t>
      </w:r>
      <w:r w:rsidRPr="00CD212D">
        <w:rPr>
          <w:rFonts w:cs="Tahoma"/>
          <w:b w:val="0"/>
          <w:sz w:val="18"/>
          <w:szCs w:val="18"/>
        </w:rPr>
        <w:tab/>
        <w:t>Československá obchodní banka, a. s.</w:t>
      </w:r>
    </w:p>
    <w:p w14:paraId="76A675B7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DPH</w:t>
      </w:r>
      <w:r w:rsidRPr="00CD212D">
        <w:rPr>
          <w:rFonts w:cs="Tahoma"/>
          <w:b w:val="0"/>
          <w:sz w:val="18"/>
          <w:szCs w:val="18"/>
        </w:rPr>
        <w:tab/>
        <w:t>daň z přidané hodnoty</w:t>
      </w:r>
    </w:p>
    <w:p w14:paraId="6AFED853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EIB</w:t>
      </w:r>
      <w:r w:rsidRPr="00CD212D">
        <w:rPr>
          <w:rFonts w:cs="Tahoma"/>
          <w:b w:val="0"/>
          <w:sz w:val="18"/>
          <w:szCs w:val="18"/>
        </w:rPr>
        <w:tab/>
        <w:t>Evropská investiční banka</w:t>
      </w:r>
    </w:p>
    <w:p w14:paraId="4DBDE941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EU</w:t>
      </w:r>
      <w:r w:rsidRPr="00CD212D">
        <w:rPr>
          <w:rFonts w:cs="Tahoma"/>
          <w:b w:val="0"/>
          <w:sz w:val="18"/>
          <w:szCs w:val="18"/>
        </w:rPr>
        <w:tab/>
        <w:t>Evropská unie</w:t>
      </w:r>
    </w:p>
    <w:p w14:paraId="09AA3B42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ICT</w:t>
      </w:r>
      <w:r w:rsidRPr="00CD212D">
        <w:rPr>
          <w:rFonts w:cs="Tahoma"/>
          <w:b w:val="0"/>
          <w:sz w:val="18"/>
          <w:szCs w:val="18"/>
        </w:rPr>
        <w:tab/>
        <w:t>informační a komunikační technologie</w:t>
      </w:r>
    </w:p>
    <w:p w14:paraId="62B001E1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JT</w:t>
      </w:r>
      <w:r w:rsidRPr="00CD212D">
        <w:rPr>
          <w:rFonts w:cs="Tahoma"/>
          <w:b w:val="0"/>
          <w:sz w:val="18"/>
          <w:szCs w:val="18"/>
        </w:rPr>
        <w:tab/>
        <w:t>J&amp;T Banka, a. s.</w:t>
      </w:r>
    </w:p>
    <w:p w14:paraId="154509B4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KB</w:t>
      </w:r>
      <w:r w:rsidRPr="00CD212D">
        <w:rPr>
          <w:rFonts w:cs="Tahoma"/>
          <w:b w:val="0"/>
          <w:sz w:val="18"/>
          <w:szCs w:val="18"/>
        </w:rPr>
        <w:tab/>
        <w:t>Komerční banka, a. s.</w:t>
      </w:r>
    </w:p>
    <w:p w14:paraId="149206A0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MONETA</w:t>
      </w:r>
      <w:r w:rsidRPr="00CD212D">
        <w:rPr>
          <w:rFonts w:cs="Tahoma"/>
          <w:b w:val="0"/>
          <w:sz w:val="18"/>
          <w:szCs w:val="18"/>
        </w:rPr>
        <w:tab/>
      </w:r>
      <w:proofErr w:type="spellStart"/>
      <w:r w:rsidRPr="00CD212D">
        <w:rPr>
          <w:rFonts w:cs="Tahoma"/>
          <w:b w:val="0"/>
          <w:sz w:val="18"/>
          <w:szCs w:val="18"/>
        </w:rPr>
        <w:t>MONETA</w:t>
      </w:r>
      <w:proofErr w:type="spellEnd"/>
      <w:r w:rsidRPr="00CD212D">
        <w:rPr>
          <w:rFonts w:cs="Tahoma"/>
          <w:b w:val="0"/>
          <w:sz w:val="18"/>
          <w:szCs w:val="18"/>
        </w:rPr>
        <w:t xml:space="preserve"> Money Bank, a. s.</w:t>
      </w:r>
    </w:p>
    <w:p w14:paraId="4114DF7F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MSK</w:t>
      </w:r>
      <w:r w:rsidRPr="00CD212D">
        <w:rPr>
          <w:rFonts w:cs="Tahoma"/>
          <w:b w:val="0"/>
          <w:sz w:val="18"/>
          <w:szCs w:val="18"/>
        </w:rPr>
        <w:tab/>
        <w:t>Moravskoslezský kraj</w:t>
      </w:r>
    </w:p>
    <w:p w14:paraId="58CEEDE4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OB</w:t>
      </w:r>
      <w:r w:rsidRPr="00CD212D">
        <w:rPr>
          <w:rFonts w:cs="Tahoma"/>
          <w:b w:val="0"/>
          <w:sz w:val="18"/>
          <w:szCs w:val="18"/>
        </w:rPr>
        <w:tab/>
      </w:r>
      <w:proofErr w:type="spellStart"/>
      <w:r w:rsidRPr="00CD212D">
        <w:rPr>
          <w:rFonts w:cs="Tahoma"/>
          <w:b w:val="0"/>
          <w:sz w:val="18"/>
          <w:szCs w:val="18"/>
        </w:rPr>
        <w:t>Oberbank</w:t>
      </w:r>
      <w:proofErr w:type="spellEnd"/>
      <w:r w:rsidRPr="00CD212D">
        <w:rPr>
          <w:rFonts w:cs="Tahoma"/>
          <w:b w:val="0"/>
          <w:sz w:val="18"/>
          <w:szCs w:val="18"/>
        </w:rPr>
        <w:t xml:space="preserve"> AG pobočka Česká republika</w:t>
      </w:r>
    </w:p>
    <w:p w14:paraId="15892D1B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p. o.</w:t>
      </w:r>
      <w:r w:rsidRPr="00CD212D">
        <w:rPr>
          <w:rFonts w:cs="Tahoma"/>
          <w:b w:val="0"/>
          <w:sz w:val="18"/>
          <w:szCs w:val="18"/>
        </w:rPr>
        <w:tab/>
        <w:t>příspěvková organizace</w:t>
      </w:r>
    </w:p>
    <w:p w14:paraId="4A942027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PPF</w:t>
      </w:r>
      <w:r w:rsidRPr="00CD212D">
        <w:rPr>
          <w:rFonts w:cs="Tahoma"/>
          <w:b w:val="0"/>
          <w:sz w:val="18"/>
          <w:szCs w:val="18"/>
        </w:rPr>
        <w:tab/>
      </w:r>
      <w:proofErr w:type="spellStart"/>
      <w:r w:rsidRPr="00CD212D">
        <w:rPr>
          <w:rFonts w:cs="Tahoma"/>
          <w:b w:val="0"/>
          <w:sz w:val="18"/>
          <w:szCs w:val="18"/>
        </w:rPr>
        <w:t>PPF</w:t>
      </w:r>
      <w:proofErr w:type="spellEnd"/>
      <w:r w:rsidRPr="00CD212D">
        <w:rPr>
          <w:rFonts w:cs="Tahoma"/>
          <w:b w:val="0"/>
          <w:sz w:val="18"/>
          <w:szCs w:val="18"/>
        </w:rPr>
        <w:t xml:space="preserve"> Banka, a. s.</w:t>
      </w:r>
    </w:p>
    <w:p w14:paraId="2FA24C9D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RFB</w:t>
      </w:r>
      <w:r w:rsidRPr="00CD212D">
        <w:rPr>
          <w:rFonts w:cs="Tahoma"/>
          <w:b w:val="0"/>
          <w:sz w:val="18"/>
          <w:szCs w:val="18"/>
        </w:rPr>
        <w:tab/>
        <w:t>Raiffeisenbank, a. s.</w:t>
      </w:r>
    </w:p>
    <w:p w14:paraId="0061F1B7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RK</w:t>
      </w:r>
      <w:r w:rsidRPr="00CD212D">
        <w:rPr>
          <w:rFonts w:cs="Tahoma"/>
          <w:b w:val="0"/>
          <w:sz w:val="18"/>
          <w:szCs w:val="18"/>
        </w:rPr>
        <w:tab/>
        <w:t>rada kraje</w:t>
      </w:r>
    </w:p>
    <w:p w14:paraId="4882A251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SB</w:t>
      </w:r>
      <w:r w:rsidRPr="00CD212D">
        <w:rPr>
          <w:rFonts w:cs="Tahoma"/>
          <w:b w:val="0"/>
          <w:sz w:val="18"/>
          <w:szCs w:val="18"/>
        </w:rPr>
        <w:tab/>
        <w:t>Sberbank CZ, a. s.</w:t>
      </w:r>
    </w:p>
    <w:p w14:paraId="5699D70A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s. r. o.</w:t>
      </w:r>
      <w:r w:rsidRPr="00CD212D">
        <w:rPr>
          <w:rFonts w:cs="Tahoma"/>
          <w:b w:val="0"/>
          <w:sz w:val="18"/>
          <w:szCs w:val="18"/>
        </w:rPr>
        <w:tab/>
        <w:t>společnost s ručením omezeným</w:t>
      </w:r>
    </w:p>
    <w:p w14:paraId="66DB8C26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UCB</w:t>
      </w:r>
      <w:r w:rsidRPr="00CD212D">
        <w:rPr>
          <w:rFonts w:cs="Tahoma"/>
          <w:b w:val="0"/>
          <w:sz w:val="18"/>
          <w:szCs w:val="18"/>
        </w:rPr>
        <w:tab/>
      </w:r>
      <w:proofErr w:type="spellStart"/>
      <w:r w:rsidRPr="00CD212D">
        <w:rPr>
          <w:rFonts w:cs="Tahoma"/>
          <w:b w:val="0"/>
          <w:sz w:val="18"/>
          <w:szCs w:val="18"/>
        </w:rPr>
        <w:t>UniCredit</w:t>
      </w:r>
      <w:proofErr w:type="spellEnd"/>
      <w:r w:rsidRPr="00CD212D">
        <w:rPr>
          <w:rFonts w:cs="Tahoma"/>
          <w:b w:val="0"/>
          <w:sz w:val="18"/>
          <w:szCs w:val="18"/>
        </w:rPr>
        <w:t xml:space="preserve"> Bank Czech Republic and Slovakia, a. s.</w:t>
      </w:r>
    </w:p>
    <w:p w14:paraId="0F9C6EC4" w14:textId="77777777" w:rsidR="00CD212D" w:rsidRPr="00CD212D" w:rsidRDefault="00CD212D" w:rsidP="00CD212D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CD212D">
        <w:rPr>
          <w:rFonts w:cs="Tahoma"/>
          <w:b w:val="0"/>
          <w:sz w:val="18"/>
          <w:szCs w:val="18"/>
        </w:rPr>
        <w:t>ZK</w:t>
      </w:r>
      <w:r w:rsidRPr="00CD212D">
        <w:rPr>
          <w:rFonts w:cs="Tahoma"/>
          <w:b w:val="0"/>
          <w:sz w:val="18"/>
          <w:szCs w:val="18"/>
        </w:rPr>
        <w:tab/>
        <w:t>zastupitelstvo kraje</w:t>
      </w:r>
    </w:p>
    <w:p w14:paraId="7F520A53" w14:textId="77777777" w:rsidR="00CD212D" w:rsidRPr="00CD212D" w:rsidRDefault="00CD212D" w:rsidP="00CD212D">
      <w:pPr>
        <w:pStyle w:val="Mjtext"/>
        <w:spacing w:before="240"/>
        <w:rPr>
          <w:bCs/>
          <w:iCs/>
        </w:rPr>
      </w:pPr>
    </w:p>
    <w:p w14:paraId="479FADCC" w14:textId="77777777" w:rsidR="00CD212D" w:rsidRPr="00CD212D" w:rsidRDefault="00CD212D" w:rsidP="00302761">
      <w:pPr>
        <w:pStyle w:val="Mjtext"/>
        <w:spacing w:before="240"/>
        <w:rPr>
          <w:bCs/>
          <w:iCs/>
          <w:u w:val="single"/>
        </w:rPr>
      </w:pPr>
    </w:p>
    <w:sectPr w:rsidR="00CD212D" w:rsidRPr="00CD212D" w:rsidSect="00D66D4E">
      <w:footerReference w:type="default" r:id="rId12"/>
      <w:head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2391" w14:textId="77777777" w:rsidR="00AC38A2" w:rsidRDefault="00AC38A2" w:rsidP="00107CD8">
      <w:r>
        <w:separator/>
      </w:r>
    </w:p>
  </w:endnote>
  <w:endnote w:type="continuationSeparator" w:id="0">
    <w:p w14:paraId="20AC3D19" w14:textId="77777777" w:rsidR="00AC38A2" w:rsidRDefault="00AC38A2" w:rsidP="00107CD8">
      <w:r>
        <w:continuationSeparator/>
      </w:r>
    </w:p>
  </w:endnote>
  <w:endnote w:type="continuationNotice" w:id="1">
    <w:p w14:paraId="35EA7C00" w14:textId="77777777" w:rsidR="00AC38A2" w:rsidRDefault="00AC3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675841"/>
      <w:docPartObj>
        <w:docPartGallery w:val="Page Numbers (Bottom of Page)"/>
        <w:docPartUnique/>
      </w:docPartObj>
    </w:sdtPr>
    <w:sdtEndPr/>
    <w:sdtContent>
      <w:p w14:paraId="40338705" w14:textId="2128C47B" w:rsidR="00107CD8" w:rsidRDefault="00107C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C459B" w14:textId="77777777" w:rsidR="00107CD8" w:rsidRDefault="00107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BAE8" w14:textId="77777777" w:rsidR="00AC38A2" w:rsidRDefault="00AC38A2" w:rsidP="00107CD8">
      <w:r>
        <w:separator/>
      </w:r>
    </w:p>
  </w:footnote>
  <w:footnote w:type="continuationSeparator" w:id="0">
    <w:p w14:paraId="3BC2DB9C" w14:textId="77777777" w:rsidR="00AC38A2" w:rsidRDefault="00AC38A2" w:rsidP="00107CD8">
      <w:r>
        <w:continuationSeparator/>
      </w:r>
    </w:p>
  </w:footnote>
  <w:footnote w:type="continuationNotice" w:id="1">
    <w:p w14:paraId="04983802" w14:textId="77777777" w:rsidR="00AC38A2" w:rsidRDefault="00AC3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ACF3" w14:textId="6633B062" w:rsidR="000A725A" w:rsidRDefault="00D66D4E">
    <w:pPr>
      <w:pStyle w:val="Zhlav"/>
    </w:pPr>
    <w: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FE0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9A9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EC2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FEC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D4B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345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23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80B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B87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C4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73170"/>
    <w:multiLevelType w:val="hybridMultilevel"/>
    <w:tmpl w:val="246CB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4A6F"/>
    <w:multiLevelType w:val="hybridMultilevel"/>
    <w:tmpl w:val="025CE930"/>
    <w:lvl w:ilvl="0" w:tplc="DB4A292C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7" w:hanging="360"/>
      </w:pPr>
    </w:lvl>
    <w:lvl w:ilvl="2" w:tplc="0405001B" w:tentative="1">
      <w:start w:val="1"/>
      <w:numFmt w:val="lowerRoman"/>
      <w:lvlText w:val="%3."/>
      <w:lvlJc w:val="right"/>
      <w:pPr>
        <w:ind w:left="1777" w:hanging="180"/>
      </w:pPr>
    </w:lvl>
    <w:lvl w:ilvl="3" w:tplc="0405000F" w:tentative="1">
      <w:start w:val="1"/>
      <w:numFmt w:val="decimal"/>
      <w:lvlText w:val="%4."/>
      <w:lvlJc w:val="left"/>
      <w:pPr>
        <w:ind w:left="2497" w:hanging="360"/>
      </w:pPr>
    </w:lvl>
    <w:lvl w:ilvl="4" w:tplc="04050019" w:tentative="1">
      <w:start w:val="1"/>
      <w:numFmt w:val="lowerLetter"/>
      <w:lvlText w:val="%5."/>
      <w:lvlJc w:val="left"/>
      <w:pPr>
        <w:ind w:left="3217" w:hanging="360"/>
      </w:pPr>
    </w:lvl>
    <w:lvl w:ilvl="5" w:tplc="0405001B" w:tentative="1">
      <w:start w:val="1"/>
      <w:numFmt w:val="lowerRoman"/>
      <w:lvlText w:val="%6."/>
      <w:lvlJc w:val="right"/>
      <w:pPr>
        <w:ind w:left="3937" w:hanging="180"/>
      </w:pPr>
    </w:lvl>
    <w:lvl w:ilvl="6" w:tplc="0405000F" w:tentative="1">
      <w:start w:val="1"/>
      <w:numFmt w:val="decimal"/>
      <w:lvlText w:val="%7."/>
      <w:lvlJc w:val="left"/>
      <w:pPr>
        <w:ind w:left="4657" w:hanging="360"/>
      </w:pPr>
    </w:lvl>
    <w:lvl w:ilvl="7" w:tplc="04050019" w:tentative="1">
      <w:start w:val="1"/>
      <w:numFmt w:val="lowerLetter"/>
      <w:lvlText w:val="%8."/>
      <w:lvlJc w:val="left"/>
      <w:pPr>
        <w:ind w:left="5377" w:hanging="360"/>
      </w:pPr>
    </w:lvl>
    <w:lvl w:ilvl="8" w:tplc="040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2" w15:restartNumberingAfterBreak="0">
    <w:nsid w:val="255D2972"/>
    <w:multiLevelType w:val="hybridMultilevel"/>
    <w:tmpl w:val="3CD4E464"/>
    <w:lvl w:ilvl="0" w:tplc="FBA239D0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7" w:hanging="360"/>
      </w:pPr>
    </w:lvl>
    <w:lvl w:ilvl="2" w:tplc="0405001B" w:tentative="1">
      <w:start w:val="1"/>
      <w:numFmt w:val="lowerRoman"/>
      <w:lvlText w:val="%3."/>
      <w:lvlJc w:val="right"/>
      <w:pPr>
        <w:ind w:left="1777" w:hanging="180"/>
      </w:pPr>
    </w:lvl>
    <w:lvl w:ilvl="3" w:tplc="0405000F" w:tentative="1">
      <w:start w:val="1"/>
      <w:numFmt w:val="decimal"/>
      <w:lvlText w:val="%4."/>
      <w:lvlJc w:val="left"/>
      <w:pPr>
        <w:ind w:left="2497" w:hanging="360"/>
      </w:pPr>
    </w:lvl>
    <w:lvl w:ilvl="4" w:tplc="04050019" w:tentative="1">
      <w:start w:val="1"/>
      <w:numFmt w:val="lowerLetter"/>
      <w:lvlText w:val="%5."/>
      <w:lvlJc w:val="left"/>
      <w:pPr>
        <w:ind w:left="3217" w:hanging="360"/>
      </w:pPr>
    </w:lvl>
    <w:lvl w:ilvl="5" w:tplc="0405001B" w:tentative="1">
      <w:start w:val="1"/>
      <w:numFmt w:val="lowerRoman"/>
      <w:lvlText w:val="%6."/>
      <w:lvlJc w:val="right"/>
      <w:pPr>
        <w:ind w:left="3937" w:hanging="180"/>
      </w:pPr>
    </w:lvl>
    <w:lvl w:ilvl="6" w:tplc="0405000F" w:tentative="1">
      <w:start w:val="1"/>
      <w:numFmt w:val="decimal"/>
      <w:lvlText w:val="%7."/>
      <w:lvlJc w:val="left"/>
      <w:pPr>
        <w:ind w:left="4657" w:hanging="360"/>
      </w:pPr>
    </w:lvl>
    <w:lvl w:ilvl="7" w:tplc="04050019" w:tentative="1">
      <w:start w:val="1"/>
      <w:numFmt w:val="lowerLetter"/>
      <w:lvlText w:val="%8."/>
      <w:lvlJc w:val="left"/>
      <w:pPr>
        <w:ind w:left="5377" w:hanging="360"/>
      </w:pPr>
    </w:lvl>
    <w:lvl w:ilvl="8" w:tplc="040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3" w15:restartNumberingAfterBreak="0">
    <w:nsid w:val="27CF786F"/>
    <w:multiLevelType w:val="multilevel"/>
    <w:tmpl w:val="9DA2C280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Styltab"/>
      <w:suff w:val="space"/>
      <w:lvlText w:val="Tabulka %1.%2:"/>
      <w:lvlJc w:val="left"/>
      <w:pPr>
        <w:ind w:left="1277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509E155E"/>
    <w:multiLevelType w:val="hybridMultilevel"/>
    <w:tmpl w:val="E0FCB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1E3F"/>
    <w:multiLevelType w:val="hybridMultilevel"/>
    <w:tmpl w:val="1A082B60"/>
    <w:lvl w:ilvl="0" w:tplc="FCBEAFD6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D7096"/>
    <w:multiLevelType w:val="hybridMultilevel"/>
    <w:tmpl w:val="4F56F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A3C13"/>
    <w:multiLevelType w:val="hybridMultilevel"/>
    <w:tmpl w:val="8B8040FE"/>
    <w:lvl w:ilvl="0" w:tplc="6FC2F61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710D9"/>
    <w:multiLevelType w:val="multilevel"/>
    <w:tmpl w:val="C57811C8"/>
    <w:lvl w:ilvl="0">
      <w:start w:val="1"/>
      <w:numFmt w:val="decimal"/>
      <w:pStyle w:val="Nadpis1"/>
      <w:lvlText w:val="%1"/>
      <w:lvlJc w:val="left"/>
      <w:pPr>
        <w:tabs>
          <w:tab w:val="num" w:pos="2842"/>
        </w:tabs>
        <w:ind w:left="284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36643740">
    <w:abstractNumId w:val="13"/>
  </w:num>
  <w:num w:numId="2" w16cid:durableId="1041132141">
    <w:abstractNumId w:val="18"/>
  </w:num>
  <w:num w:numId="3" w16cid:durableId="370543251">
    <w:abstractNumId w:val="14"/>
  </w:num>
  <w:num w:numId="4" w16cid:durableId="1583948991">
    <w:abstractNumId w:val="16"/>
  </w:num>
  <w:num w:numId="5" w16cid:durableId="433214551">
    <w:abstractNumId w:val="11"/>
  </w:num>
  <w:num w:numId="6" w16cid:durableId="450831701">
    <w:abstractNumId w:val="12"/>
  </w:num>
  <w:num w:numId="7" w16cid:durableId="372114650">
    <w:abstractNumId w:val="10"/>
  </w:num>
  <w:num w:numId="8" w16cid:durableId="842091171">
    <w:abstractNumId w:val="15"/>
  </w:num>
  <w:num w:numId="9" w16cid:durableId="2136823726">
    <w:abstractNumId w:val="17"/>
  </w:num>
  <w:num w:numId="10" w16cid:durableId="1949971979">
    <w:abstractNumId w:val="9"/>
  </w:num>
  <w:num w:numId="11" w16cid:durableId="11492804">
    <w:abstractNumId w:val="8"/>
  </w:num>
  <w:num w:numId="12" w16cid:durableId="284846180">
    <w:abstractNumId w:val="7"/>
  </w:num>
  <w:num w:numId="13" w16cid:durableId="1402630895">
    <w:abstractNumId w:val="6"/>
  </w:num>
  <w:num w:numId="14" w16cid:durableId="392966733">
    <w:abstractNumId w:val="5"/>
  </w:num>
  <w:num w:numId="15" w16cid:durableId="2144538150">
    <w:abstractNumId w:val="4"/>
  </w:num>
  <w:num w:numId="16" w16cid:durableId="1450009368">
    <w:abstractNumId w:val="3"/>
  </w:num>
  <w:num w:numId="17" w16cid:durableId="350423987">
    <w:abstractNumId w:val="2"/>
  </w:num>
  <w:num w:numId="18" w16cid:durableId="1917590525">
    <w:abstractNumId w:val="1"/>
  </w:num>
  <w:num w:numId="19" w16cid:durableId="196919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SortMethod w:val="000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CD"/>
    <w:rsid w:val="00010974"/>
    <w:rsid w:val="00010A97"/>
    <w:rsid w:val="00010ED7"/>
    <w:rsid w:val="0001315D"/>
    <w:rsid w:val="000141B1"/>
    <w:rsid w:val="00017CC1"/>
    <w:rsid w:val="00022032"/>
    <w:rsid w:val="000222FF"/>
    <w:rsid w:val="00024F03"/>
    <w:rsid w:val="00026A02"/>
    <w:rsid w:val="000347A5"/>
    <w:rsid w:val="00035FD7"/>
    <w:rsid w:val="0003756E"/>
    <w:rsid w:val="000442DB"/>
    <w:rsid w:val="00057CF9"/>
    <w:rsid w:val="000606EB"/>
    <w:rsid w:val="000644B6"/>
    <w:rsid w:val="000651F1"/>
    <w:rsid w:val="00065476"/>
    <w:rsid w:val="000708F7"/>
    <w:rsid w:val="000737AB"/>
    <w:rsid w:val="00076886"/>
    <w:rsid w:val="00083947"/>
    <w:rsid w:val="00084076"/>
    <w:rsid w:val="0008615B"/>
    <w:rsid w:val="00094717"/>
    <w:rsid w:val="000A05F4"/>
    <w:rsid w:val="000A3306"/>
    <w:rsid w:val="000A47AB"/>
    <w:rsid w:val="000A6801"/>
    <w:rsid w:val="000A6CCA"/>
    <w:rsid w:val="000A725A"/>
    <w:rsid w:val="000B0BBF"/>
    <w:rsid w:val="000B151D"/>
    <w:rsid w:val="000B2AA9"/>
    <w:rsid w:val="000B39E5"/>
    <w:rsid w:val="000C5D90"/>
    <w:rsid w:val="000D2301"/>
    <w:rsid w:val="000D2DC4"/>
    <w:rsid w:val="000E06A9"/>
    <w:rsid w:val="000E7863"/>
    <w:rsid w:val="000F1985"/>
    <w:rsid w:val="001030EC"/>
    <w:rsid w:val="001058AE"/>
    <w:rsid w:val="00107C40"/>
    <w:rsid w:val="00107CD8"/>
    <w:rsid w:val="001107EB"/>
    <w:rsid w:val="00110C05"/>
    <w:rsid w:val="0011620B"/>
    <w:rsid w:val="001207C5"/>
    <w:rsid w:val="00123BAA"/>
    <w:rsid w:val="00125107"/>
    <w:rsid w:val="0012656E"/>
    <w:rsid w:val="00126F72"/>
    <w:rsid w:val="001328D5"/>
    <w:rsid w:val="00133676"/>
    <w:rsid w:val="00143805"/>
    <w:rsid w:val="00151339"/>
    <w:rsid w:val="001546DF"/>
    <w:rsid w:val="00154DAD"/>
    <w:rsid w:val="0015720C"/>
    <w:rsid w:val="00157318"/>
    <w:rsid w:val="00161C9C"/>
    <w:rsid w:val="001625F1"/>
    <w:rsid w:val="00162C25"/>
    <w:rsid w:val="00164F6D"/>
    <w:rsid w:val="001650E0"/>
    <w:rsid w:val="0016549B"/>
    <w:rsid w:val="00173FA5"/>
    <w:rsid w:val="0017508E"/>
    <w:rsid w:val="0017640D"/>
    <w:rsid w:val="0018359D"/>
    <w:rsid w:val="00184AF6"/>
    <w:rsid w:val="001850AF"/>
    <w:rsid w:val="001862A9"/>
    <w:rsid w:val="00190CD1"/>
    <w:rsid w:val="00191659"/>
    <w:rsid w:val="001A2570"/>
    <w:rsid w:val="001A3C8A"/>
    <w:rsid w:val="001A6DE2"/>
    <w:rsid w:val="001B0006"/>
    <w:rsid w:val="001C7908"/>
    <w:rsid w:val="001E0586"/>
    <w:rsid w:val="001F2C5B"/>
    <w:rsid w:val="001F42EF"/>
    <w:rsid w:val="001F4F6A"/>
    <w:rsid w:val="001F7345"/>
    <w:rsid w:val="00200497"/>
    <w:rsid w:val="00203779"/>
    <w:rsid w:val="00205D31"/>
    <w:rsid w:val="00206A02"/>
    <w:rsid w:val="0020726F"/>
    <w:rsid w:val="00211EF1"/>
    <w:rsid w:val="0021211C"/>
    <w:rsid w:val="0021244D"/>
    <w:rsid w:val="00212FD9"/>
    <w:rsid w:val="002145C9"/>
    <w:rsid w:val="00216A8B"/>
    <w:rsid w:val="00216E15"/>
    <w:rsid w:val="00223209"/>
    <w:rsid w:val="00235D64"/>
    <w:rsid w:val="00241466"/>
    <w:rsid w:val="002415C2"/>
    <w:rsid w:val="002431B8"/>
    <w:rsid w:val="00246D47"/>
    <w:rsid w:val="00246EFA"/>
    <w:rsid w:val="00247437"/>
    <w:rsid w:val="00250544"/>
    <w:rsid w:val="00251837"/>
    <w:rsid w:val="00260951"/>
    <w:rsid w:val="0026535C"/>
    <w:rsid w:val="0026747E"/>
    <w:rsid w:val="00267B11"/>
    <w:rsid w:val="00270ADC"/>
    <w:rsid w:val="00272291"/>
    <w:rsid w:val="00276278"/>
    <w:rsid w:val="00281699"/>
    <w:rsid w:val="00291946"/>
    <w:rsid w:val="002A385F"/>
    <w:rsid w:val="002A3988"/>
    <w:rsid w:val="002A634F"/>
    <w:rsid w:val="002A7A15"/>
    <w:rsid w:val="002B0BDB"/>
    <w:rsid w:val="002B3633"/>
    <w:rsid w:val="002B556A"/>
    <w:rsid w:val="002B60A0"/>
    <w:rsid w:val="002B685D"/>
    <w:rsid w:val="002B77B5"/>
    <w:rsid w:val="002C444C"/>
    <w:rsid w:val="002C6278"/>
    <w:rsid w:val="002C719A"/>
    <w:rsid w:val="002D265B"/>
    <w:rsid w:val="002D7F3E"/>
    <w:rsid w:val="002E129E"/>
    <w:rsid w:val="002E268F"/>
    <w:rsid w:val="002E76A5"/>
    <w:rsid w:val="002F218C"/>
    <w:rsid w:val="002F31AE"/>
    <w:rsid w:val="002F3DA2"/>
    <w:rsid w:val="002F534A"/>
    <w:rsid w:val="002F7B0D"/>
    <w:rsid w:val="003000C4"/>
    <w:rsid w:val="0030090E"/>
    <w:rsid w:val="00302761"/>
    <w:rsid w:val="003051BE"/>
    <w:rsid w:val="00305798"/>
    <w:rsid w:val="003068BD"/>
    <w:rsid w:val="003070CE"/>
    <w:rsid w:val="003170EC"/>
    <w:rsid w:val="00321B61"/>
    <w:rsid w:val="00321D21"/>
    <w:rsid w:val="00323EBC"/>
    <w:rsid w:val="003249CD"/>
    <w:rsid w:val="00324C94"/>
    <w:rsid w:val="00325DB7"/>
    <w:rsid w:val="00333E7E"/>
    <w:rsid w:val="003351B9"/>
    <w:rsid w:val="00345B79"/>
    <w:rsid w:val="003501CD"/>
    <w:rsid w:val="003510C3"/>
    <w:rsid w:val="00355D7A"/>
    <w:rsid w:val="0036397F"/>
    <w:rsid w:val="00363C95"/>
    <w:rsid w:val="00371354"/>
    <w:rsid w:val="003840E5"/>
    <w:rsid w:val="00384AA6"/>
    <w:rsid w:val="00390559"/>
    <w:rsid w:val="003905F4"/>
    <w:rsid w:val="00391B6B"/>
    <w:rsid w:val="00393825"/>
    <w:rsid w:val="003947C2"/>
    <w:rsid w:val="003966FC"/>
    <w:rsid w:val="003A1B18"/>
    <w:rsid w:val="003A21AE"/>
    <w:rsid w:val="003A41AD"/>
    <w:rsid w:val="003A6A72"/>
    <w:rsid w:val="003B0A8E"/>
    <w:rsid w:val="003B18D8"/>
    <w:rsid w:val="003B4889"/>
    <w:rsid w:val="003C0583"/>
    <w:rsid w:val="003C1577"/>
    <w:rsid w:val="003D0196"/>
    <w:rsid w:val="003D03D6"/>
    <w:rsid w:val="003D2083"/>
    <w:rsid w:val="003D5110"/>
    <w:rsid w:val="003E05C1"/>
    <w:rsid w:val="003E4197"/>
    <w:rsid w:val="003E7770"/>
    <w:rsid w:val="003E7DDF"/>
    <w:rsid w:val="003F2557"/>
    <w:rsid w:val="003F2BB8"/>
    <w:rsid w:val="003F369B"/>
    <w:rsid w:val="003F59B2"/>
    <w:rsid w:val="003F5D95"/>
    <w:rsid w:val="003F5FE4"/>
    <w:rsid w:val="00401397"/>
    <w:rsid w:val="00407028"/>
    <w:rsid w:val="00415A23"/>
    <w:rsid w:val="00415E83"/>
    <w:rsid w:val="00423E26"/>
    <w:rsid w:val="00425400"/>
    <w:rsid w:val="004262F0"/>
    <w:rsid w:val="0044110A"/>
    <w:rsid w:val="004447EE"/>
    <w:rsid w:val="00446AFF"/>
    <w:rsid w:val="00452E61"/>
    <w:rsid w:val="004530CE"/>
    <w:rsid w:val="0045531F"/>
    <w:rsid w:val="00460D5F"/>
    <w:rsid w:val="00470BBA"/>
    <w:rsid w:val="00471174"/>
    <w:rsid w:val="00471E23"/>
    <w:rsid w:val="004802A6"/>
    <w:rsid w:val="00481275"/>
    <w:rsid w:val="00490E84"/>
    <w:rsid w:val="00490FBE"/>
    <w:rsid w:val="004936C4"/>
    <w:rsid w:val="00497490"/>
    <w:rsid w:val="004975CD"/>
    <w:rsid w:val="004A26BA"/>
    <w:rsid w:val="004A3025"/>
    <w:rsid w:val="004A4689"/>
    <w:rsid w:val="004A4853"/>
    <w:rsid w:val="004A5C22"/>
    <w:rsid w:val="004A76E3"/>
    <w:rsid w:val="004B4AC1"/>
    <w:rsid w:val="004B5F82"/>
    <w:rsid w:val="004C0EE8"/>
    <w:rsid w:val="004C27E4"/>
    <w:rsid w:val="004D0F97"/>
    <w:rsid w:val="004D3967"/>
    <w:rsid w:val="004D4E11"/>
    <w:rsid w:val="004D5E41"/>
    <w:rsid w:val="004D7ED9"/>
    <w:rsid w:val="004E02D4"/>
    <w:rsid w:val="004E054A"/>
    <w:rsid w:val="004E38FB"/>
    <w:rsid w:val="005004AC"/>
    <w:rsid w:val="00504587"/>
    <w:rsid w:val="00510499"/>
    <w:rsid w:val="00514D15"/>
    <w:rsid w:val="00515326"/>
    <w:rsid w:val="0051709C"/>
    <w:rsid w:val="00522029"/>
    <w:rsid w:val="005254D7"/>
    <w:rsid w:val="00527558"/>
    <w:rsid w:val="00527CB9"/>
    <w:rsid w:val="00530755"/>
    <w:rsid w:val="00532774"/>
    <w:rsid w:val="005337DE"/>
    <w:rsid w:val="00533997"/>
    <w:rsid w:val="0053506B"/>
    <w:rsid w:val="005360B0"/>
    <w:rsid w:val="005416CB"/>
    <w:rsid w:val="00543713"/>
    <w:rsid w:val="00544CA8"/>
    <w:rsid w:val="00547E93"/>
    <w:rsid w:val="00550C19"/>
    <w:rsid w:val="005573E0"/>
    <w:rsid w:val="00557D56"/>
    <w:rsid w:val="00562AE9"/>
    <w:rsid w:val="0057376F"/>
    <w:rsid w:val="0057510B"/>
    <w:rsid w:val="005822D8"/>
    <w:rsid w:val="005840DB"/>
    <w:rsid w:val="00586097"/>
    <w:rsid w:val="00593EAF"/>
    <w:rsid w:val="00597541"/>
    <w:rsid w:val="005A0854"/>
    <w:rsid w:val="005A3E1E"/>
    <w:rsid w:val="005A63E0"/>
    <w:rsid w:val="005B3B03"/>
    <w:rsid w:val="005B685D"/>
    <w:rsid w:val="005C1B79"/>
    <w:rsid w:val="005C233A"/>
    <w:rsid w:val="005C42BF"/>
    <w:rsid w:val="005D1689"/>
    <w:rsid w:val="005D6824"/>
    <w:rsid w:val="005D720F"/>
    <w:rsid w:val="005F1508"/>
    <w:rsid w:val="005F4263"/>
    <w:rsid w:val="005F46CB"/>
    <w:rsid w:val="005F4C7E"/>
    <w:rsid w:val="005F53A1"/>
    <w:rsid w:val="005F5908"/>
    <w:rsid w:val="00610996"/>
    <w:rsid w:val="00615CD2"/>
    <w:rsid w:val="0061717B"/>
    <w:rsid w:val="00617A03"/>
    <w:rsid w:val="00617DD5"/>
    <w:rsid w:val="00620F7D"/>
    <w:rsid w:val="00625B16"/>
    <w:rsid w:val="0063157A"/>
    <w:rsid w:val="006319B6"/>
    <w:rsid w:val="006329EF"/>
    <w:rsid w:val="00641F60"/>
    <w:rsid w:val="00642818"/>
    <w:rsid w:val="00644BA7"/>
    <w:rsid w:val="00650669"/>
    <w:rsid w:val="006525A4"/>
    <w:rsid w:val="00654680"/>
    <w:rsid w:val="006673F7"/>
    <w:rsid w:val="00670297"/>
    <w:rsid w:val="0067135F"/>
    <w:rsid w:val="00671822"/>
    <w:rsid w:val="00674596"/>
    <w:rsid w:val="006805C8"/>
    <w:rsid w:val="00684D19"/>
    <w:rsid w:val="006859C9"/>
    <w:rsid w:val="0068658F"/>
    <w:rsid w:val="006900DF"/>
    <w:rsid w:val="00694930"/>
    <w:rsid w:val="006968D0"/>
    <w:rsid w:val="006975F2"/>
    <w:rsid w:val="006A3390"/>
    <w:rsid w:val="006A688E"/>
    <w:rsid w:val="006A744F"/>
    <w:rsid w:val="006B02D7"/>
    <w:rsid w:val="006B1040"/>
    <w:rsid w:val="006B2EBE"/>
    <w:rsid w:val="006C74C6"/>
    <w:rsid w:val="006E0804"/>
    <w:rsid w:val="006E1B88"/>
    <w:rsid w:val="006E2485"/>
    <w:rsid w:val="006E4C6B"/>
    <w:rsid w:val="006E54B7"/>
    <w:rsid w:val="006F18DF"/>
    <w:rsid w:val="006F1E3D"/>
    <w:rsid w:val="006F54B0"/>
    <w:rsid w:val="00700C29"/>
    <w:rsid w:val="007023A0"/>
    <w:rsid w:val="007045C5"/>
    <w:rsid w:val="0070539B"/>
    <w:rsid w:val="007113DA"/>
    <w:rsid w:val="00714959"/>
    <w:rsid w:val="007208D4"/>
    <w:rsid w:val="00720E27"/>
    <w:rsid w:val="007212EB"/>
    <w:rsid w:val="00721CE1"/>
    <w:rsid w:val="00726609"/>
    <w:rsid w:val="007272C2"/>
    <w:rsid w:val="00727BBA"/>
    <w:rsid w:val="0073155E"/>
    <w:rsid w:val="00731844"/>
    <w:rsid w:val="0073512B"/>
    <w:rsid w:val="00737866"/>
    <w:rsid w:val="007378BB"/>
    <w:rsid w:val="007424F4"/>
    <w:rsid w:val="007439B2"/>
    <w:rsid w:val="00745AC7"/>
    <w:rsid w:val="00754B3E"/>
    <w:rsid w:val="00755CD6"/>
    <w:rsid w:val="00763926"/>
    <w:rsid w:val="0077142B"/>
    <w:rsid w:val="00774802"/>
    <w:rsid w:val="007809D1"/>
    <w:rsid w:val="00784A4E"/>
    <w:rsid w:val="00786DA1"/>
    <w:rsid w:val="00787590"/>
    <w:rsid w:val="00794B3D"/>
    <w:rsid w:val="00794F6D"/>
    <w:rsid w:val="00795323"/>
    <w:rsid w:val="007966BC"/>
    <w:rsid w:val="007A2BCE"/>
    <w:rsid w:val="007A73D1"/>
    <w:rsid w:val="007C018C"/>
    <w:rsid w:val="007C4778"/>
    <w:rsid w:val="007C5452"/>
    <w:rsid w:val="007D53D6"/>
    <w:rsid w:val="007E3A5F"/>
    <w:rsid w:val="007E46CF"/>
    <w:rsid w:val="007E4F2E"/>
    <w:rsid w:val="007E5812"/>
    <w:rsid w:val="007F13A7"/>
    <w:rsid w:val="007F54C7"/>
    <w:rsid w:val="007F5BFA"/>
    <w:rsid w:val="007F5E29"/>
    <w:rsid w:val="008018E3"/>
    <w:rsid w:val="00801D1C"/>
    <w:rsid w:val="0080428A"/>
    <w:rsid w:val="00806BE4"/>
    <w:rsid w:val="00811B4E"/>
    <w:rsid w:val="008155A7"/>
    <w:rsid w:val="00815ABF"/>
    <w:rsid w:val="00816974"/>
    <w:rsid w:val="00833636"/>
    <w:rsid w:val="00835FFE"/>
    <w:rsid w:val="00837EF7"/>
    <w:rsid w:val="00843D26"/>
    <w:rsid w:val="00843D76"/>
    <w:rsid w:val="008450CE"/>
    <w:rsid w:val="008455A4"/>
    <w:rsid w:val="008508C6"/>
    <w:rsid w:val="00852833"/>
    <w:rsid w:val="00852A7C"/>
    <w:rsid w:val="00855013"/>
    <w:rsid w:val="008566C0"/>
    <w:rsid w:val="00866637"/>
    <w:rsid w:val="0087457F"/>
    <w:rsid w:val="00875144"/>
    <w:rsid w:val="00875FAC"/>
    <w:rsid w:val="008777DF"/>
    <w:rsid w:val="00880173"/>
    <w:rsid w:val="00881F7D"/>
    <w:rsid w:val="008833D1"/>
    <w:rsid w:val="0088480C"/>
    <w:rsid w:val="0088482B"/>
    <w:rsid w:val="00885404"/>
    <w:rsid w:val="00885E00"/>
    <w:rsid w:val="008860ED"/>
    <w:rsid w:val="00887094"/>
    <w:rsid w:val="00890109"/>
    <w:rsid w:val="0089621B"/>
    <w:rsid w:val="008A601B"/>
    <w:rsid w:val="008B700C"/>
    <w:rsid w:val="008C1071"/>
    <w:rsid w:val="008C3662"/>
    <w:rsid w:val="008C4131"/>
    <w:rsid w:val="008C7B50"/>
    <w:rsid w:val="008D4334"/>
    <w:rsid w:val="008E06B3"/>
    <w:rsid w:val="008E52A6"/>
    <w:rsid w:val="008F08CC"/>
    <w:rsid w:val="008F21B4"/>
    <w:rsid w:val="008F2564"/>
    <w:rsid w:val="008F5229"/>
    <w:rsid w:val="008F5E91"/>
    <w:rsid w:val="0090744E"/>
    <w:rsid w:val="009177A9"/>
    <w:rsid w:val="00923B80"/>
    <w:rsid w:val="00925F2E"/>
    <w:rsid w:val="00931B03"/>
    <w:rsid w:val="0094008B"/>
    <w:rsid w:val="009404D2"/>
    <w:rsid w:val="00940EE8"/>
    <w:rsid w:val="00944686"/>
    <w:rsid w:val="00944AF0"/>
    <w:rsid w:val="00945530"/>
    <w:rsid w:val="009459D1"/>
    <w:rsid w:val="0095214B"/>
    <w:rsid w:val="0095394D"/>
    <w:rsid w:val="0095443D"/>
    <w:rsid w:val="00955895"/>
    <w:rsid w:val="00955FFE"/>
    <w:rsid w:val="00963A81"/>
    <w:rsid w:val="009730F7"/>
    <w:rsid w:val="00976BA3"/>
    <w:rsid w:val="00981A56"/>
    <w:rsid w:val="00983290"/>
    <w:rsid w:val="00987D00"/>
    <w:rsid w:val="00990267"/>
    <w:rsid w:val="00991BEB"/>
    <w:rsid w:val="00995E84"/>
    <w:rsid w:val="009A533A"/>
    <w:rsid w:val="009A77B9"/>
    <w:rsid w:val="009B1181"/>
    <w:rsid w:val="009B38A4"/>
    <w:rsid w:val="009B65BA"/>
    <w:rsid w:val="009C205D"/>
    <w:rsid w:val="009C282C"/>
    <w:rsid w:val="009D2004"/>
    <w:rsid w:val="009D4B4D"/>
    <w:rsid w:val="009E1F05"/>
    <w:rsid w:val="009E2480"/>
    <w:rsid w:val="009F7EF2"/>
    <w:rsid w:val="00A00930"/>
    <w:rsid w:val="00A029DB"/>
    <w:rsid w:val="00A1047E"/>
    <w:rsid w:val="00A10481"/>
    <w:rsid w:val="00A16A17"/>
    <w:rsid w:val="00A31DAA"/>
    <w:rsid w:val="00A326B7"/>
    <w:rsid w:val="00A32B2B"/>
    <w:rsid w:val="00A424FA"/>
    <w:rsid w:val="00A43EE3"/>
    <w:rsid w:val="00A449A2"/>
    <w:rsid w:val="00A4686D"/>
    <w:rsid w:val="00A509F2"/>
    <w:rsid w:val="00A552E0"/>
    <w:rsid w:val="00A6198F"/>
    <w:rsid w:val="00A64B30"/>
    <w:rsid w:val="00A6549F"/>
    <w:rsid w:val="00A66D6B"/>
    <w:rsid w:val="00A673E0"/>
    <w:rsid w:val="00A71732"/>
    <w:rsid w:val="00A72704"/>
    <w:rsid w:val="00A8158E"/>
    <w:rsid w:val="00A915B0"/>
    <w:rsid w:val="00A928DB"/>
    <w:rsid w:val="00A9330A"/>
    <w:rsid w:val="00A938FB"/>
    <w:rsid w:val="00A93CDE"/>
    <w:rsid w:val="00A95BE5"/>
    <w:rsid w:val="00A96444"/>
    <w:rsid w:val="00A974D9"/>
    <w:rsid w:val="00AA05D0"/>
    <w:rsid w:val="00AA5003"/>
    <w:rsid w:val="00AA531E"/>
    <w:rsid w:val="00AA631D"/>
    <w:rsid w:val="00AA7AC0"/>
    <w:rsid w:val="00AA7BA4"/>
    <w:rsid w:val="00AB53A2"/>
    <w:rsid w:val="00AC011D"/>
    <w:rsid w:val="00AC1B38"/>
    <w:rsid w:val="00AC247D"/>
    <w:rsid w:val="00AC3541"/>
    <w:rsid w:val="00AC38A2"/>
    <w:rsid w:val="00AC5396"/>
    <w:rsid w:val="00AD1889"/>
    <w:rsid w:val="00AD1D8B"/>
    <w:rsid w:val="00AD3BA3"/>
    <w:rsid w:val="00AD7689"/>
    <w:rsid w:val="00AE0E41"/>
    <w:rsid w:val="00AE1D8C"/>
    <w:rsid w:val="00AE41FD"/>
    <w:rsid w:val="00AE6835"/>
    <w:rsid w:val="00AF2774"/>
    <w:rsid w:val="00AF45DB"/>
    <w:rsid w:val="00B05E2D"/>
    <w:rsid w:val="00B103C0"/>
    <w:rsid w:val="00B12229"/>
    <w:rsid w:val="00B16451"/>
    <w:rsid w:val="00B21D65"/>
    <w:rsid w:val="00B2387A"/>
    <w:rsid w:val="00B262F1"/>
    <w:rsid w:val="00B32254"/>
    <w:rsid w:val="00B322ED"/>
    <w:rsid w:val="00B3279E"/>
    <w:rsid w:val="00B3519A"/>
    <w:rsid w:val="00B4045E"/>
    <w:rsid w:val="00B422DB"/>
    <w:rsid w:val="00B431F0"/>
    <w:rsid w:val="00B4577A"/>
    <w:rsid w:val="00B46156"/>
    <w:rsid w:val="00B4672F"/>
    <w:rsid w:val="00B517C4"/>
    <w:rsid w:val="00B54691"/>
    <w:rsid w:val="00B55C08"/>
    <w:rsid w:val="00B575B2"/>
    <w:rsid w:val="00B705BD"/>
    <w:rsid w:val="00B71303"/>
    <w:rsid w:val="00B71CD1"/>
    <w:rsid w:val="00B71D7E"/>
    <w:rsid w:val="00B76704"/>
    <w:rsid w:val="00B76F7F"/>
    <w:rsid w:val="00B807EC"/>
    <w:rsid w:val="00B81056"/>
    <w:rsid w:val="00B82336"/>
    <w:rsid w:val="00B82AA1"/>
    <w:rsid w:val="00B835E8"/>
    <w:rsid w:val="00B910E5"/>
    <w:rsid w:val="00B92772"/>
    <w:rsid w:val="00B92A05"/>
    <w:rsid w:val="00B936CB"/>
    <w:rsid w:val="00B977E8"/>
    <w:rsid w:val="00B97BF9"/>
    <w:rsid w:val="00BA164B"/>
    <w:rsid w:val="00BA514D"/>
    <w:rsid w:val="00BB143C"/>
    <w:rsid w:val="00BB1D61"/>
    <w:rsid w:val="00BB2555"/>
    <w:rsid w:val="00BC39C4"/>
    <w:rsid w:val="00BC571D"/>
    <w:rsid w:val="00BD78D6"/>
    <w:rsid w:val="00BE0676"/>
    <w:rsid w:val="00BE2093"/>
    <w:rsid w:val="00BE5E79"/>
    <w:rsid w:val="00BE64BD"/>
    <w:rsid w:val="00BE7DFB"/>
    <w:rsid w:val="00BF03AD"/>
    <w:rsid w:val="00BF5BBE"/>
    <w:rsid w:val="00C01683"/>
    <w:rsid w:val="00C0282D"/>
    <w:rsid w:val="00C03327"/>
    <w:rsid w:val="00C05CC9"/>
    <w:rsid w:val="00C0707E"/>
    <w:rsid w:val="00C16D99"/>
    <w:rsid w:val="00C21108"/>
    <w:rsid w:val="00C27C74"/>
    <w:rsid w:val="00C34E33"/>
    <w:rsid w:val="00C43633"/>
    <w:rsid w:val="00C47B92"/>
    <w:rsid w:val="00C511C2"/>
    <w:rsid w:val="00C57BB0"/>
    <w:rsid w:val="00C60FD9"/>
    <w:rsid w:val="00C639BF"/>
    <w:rsid w:val="00C71DAB"/>
    <w:rsid w:val="00C73441"/>
    <w:rsid w:val="00C735E3"/>
    <w:rsid w:val="00C7689A"/>
    <w:rsid w:val="00C84BB7"/>
    <w:rsid w:val="00C860E8"/>
    <w:rsid w:val="00C9204D"/>
    <w:rsid w:val="00C926BC"/>
    <w:rsid w:val="00C92EA8"/>
    <w:rsid w:val="00CA2A4C"/>
    <w:rsid w:val="00CA2FBF"/>
    <w:rsid w:val="00CA3248"/>
    <w:rsid w:val="00CA360E"/>
    <w:rsid w:val="00CA5205"/>
    <w:rsid w:val="00CB2A40"/>
    <w:rsid w:val="00CB43DC"/>
    <w:rsid w:val="00CB68DF"/>
    <w:rsid w:val="00CC0DAF"/>
    <w:rsid w:val="00CC22FF"/>
    <w:rsid w:val="00CC2398"/>
    <w:rsid w:val="00CC2DD8"/>
    <w:rsid w:val="00CC3C88"/>
    <w:rsid w:val="00CD11C3"/>
    <w:rsid w:val="00CD212D"/>
    <w:rsid w:val="00CE0124"/>
    <w:rsid w:val="00D0111F"/>
    <w:rsid w:val="00D0271C"/>
    <w:rsid w:val="00D03CD9"/>
    <w:rsid w:val="00D04095"/>
    <w:rsid w:val="00D10499"/>
    <w:rsid w:val="00D1057A"/>
    <w:rsid w:val="00D1286A"/>
    <w:rsid w:val="00D1292D"/>
    <w:rsid w:val="00D2562C"/>
    <w:rsid w:val="00D319FE"/>
    <w:rsid w:val="00D337A4"/>
    <w:rsid w:val="00D342BC"/>
    <w:rsid w:val="00D37217"/>
    <w:rsid w:val="00D404EF"/>
    <w:rsid w:val="00D40D20"/>
    <w:rsid w:val="00D41F46"/>
    <w:rsid w:val="00D43DF5"/>
    <w:rsid w:val="00D612D0"/>
    <w:rsid w:val="00D6348D"/>
    <w:rsid w:val="00D64F36"/>
    <w:rsid w:val="00D66D4E"/>
    <w:rsid w:val="00D70CFB"/>
    <w:rsid w:val="00D73A34"/>
    <w:rsid w:val="00D75078"/>
    <w:rsid w:val="00D752E4"/>
    <w:rsid w:val="00D84578"/>
    <w:rsid w:val="00D8757F"/>
    <w:rsid w:val="00D916C9"/>
    <w:rsid w:val="00D931DC"/>
    <w:rsid w:val="00D96D02"/>
    <w:rsid w:val="00D9781A"/>
    <w:rsid w:val="00D97B18"/>
    <w:rsid w:val="00DB0BF9"/>
    <w:rsid w:val="00DB1410"/>
    <w:rsid w:val="00DB3FE3"/>
    <w:rsid w:val="00DB5BA8"/>
    <w:rsid w:val="00DB7AF0"/>
    <w:rsid w:val="00DC2993"/>
    <w:rsid w:val="00DC346E"/>
    <w:rsid w:val="00DC4801"/>
    <w:rsid w:val="00DC7262"/>
    <w:rsid w:val="00DC74D9"/>
    <w:rsid w:val="00DD4280"/>
    <w:rsid w:val="00DE414C"/>
    <w:rsid w:val="00DF4A6D"/>
    <w:rsid w:val="00E018FF"/>
    <w:rsid w:val="00E0661B"/>
    <w:rsid w:val="00E079AA"/>
    <w:rsid w:val="00E10345"/>
    <w:rsid w:val="00E1634F"/>
    <w:rsid w:val="00E23310"/>
    <w:rsid w:val="00E3032D"/>
    <w:rsid w:val="00E32C15"/>
    <w:rsid w:val="00E40EF0"/>
    <w:rsid w:val="00E411A0"/>
    <w:rsid w:val="00E42CF7"/>
    <w:rsid w:val="00E42E4E"/>
    <w:rsid w:val="00E53D78"/>
    <w:rsid w:val="00E54ABC"/>
    <w:rsid w:val="00E616C5"/>
    <w:rsid w:val="00E66DC7"/>
    <w:rsid w:val="00E67D9B"/>
    <w:rsid w:val="00E711FE"/>
    <w:rsid w:val="00E7229F"/>
    <w:rsid w:val="00E73644"/>
    <w:rsid w:val="00E736FB"/>
    <w:rsid w:val="00E763B9"/>
    <w:rsid w:val="00E80147"/>
    <w:rsid w:val="00E817EF"/>
    <w:rsid w:val="00E85625"/>
    <w:rsid w:val="00E87B62"/>
    <w:rsid w:val="00E91F36"/>
    <w:rsid w:val="00EB108B"/>
    <w:rsid w:val="00EB3CAF"/>
    <w:rsid w:val="00EB4A72"/>
    <w:rsid w:val="00EB639A"/>
    <w:rsid w:val="00EC1779"/>
    <w:rsid w:val="00EC6529"/>
    <w:rsid w:val="00ED2D03"/>
    <w:rsid w:val="00ED2ED2"/>
    <w:rsid w:val="00EE7811"/>
    <w:rsid w:val="00EF285C"/>
    <w:rsid w:val="00EF62F4"/>
    <w:rsid w:val="00EF6DAD"/>
    <w:rsid w:val="00F02FEB"/>
    <w:rsid w:val="00F03BF6"/>
    <w:rsid w:val="00F0508B"/>
    <w:rsid w:val="00F10FB3"/>
    <w:rsid w:val="00F138A6"/>
    <w:rsid w:val="00F16C02"/>
    <w:rsid w:val="00F17478"/>
    <w:rsid w:val="00F23A12"/>
    <w:rsid w:val="00F267CD"/>
    <w:rsid w:val="00F2680A"/>
    <w:rsid w:val="00F2722D"/>
    <w:rsid w:val="00F3021F"/>
    <w:rsid w:val="00F31C88"/>
    <w:rsid w:val="00F33079"/>
    <w:rsid w:val="00F34CE7"/>
    <w:rsid w:val="00F366D5"/>
    <w:rsid w:val="00F3782F"/>
    <w:rsid w:val="00F4411E"/>
    <w:rsid w:val="00F44285"/>
    <w:rsid w:val="00F449BA"/>
    <w:rsid w:val="00F47666"/>
    <w:rsid w:val="00F503D8"/>
    <w:rsid w:val="00F52DDD"/>
    <w:rsid w:val="00F577F8"/>
    <w:rsid w:val="00F6190C"/>
    <w:rsid w:val="00F641D8"/>
    <w:rsid w:val="00F65AC6"/>
    <w:rsid w:val="00F66845"/>
    <w:rsid w:val="00F857A1"/>
    <w:rsid w:val="00F87D58"/>
    <w:rsid w:val="00F93882"/>
    <w:rsid w:val="00F948C7"/>
    <w:rsid w:val="00FA69B4"/>
    <w:rsid w:val="00FA6B22"/>
    <w:rsid w:val="00FA719B"/>
    <w:rsid w:val="00FB3FE5"/>
    <w:rsid w:val="00FB5A23"/>
    <w:rsid w:val="00FB60AD"/>
    <w:rsid w:val="00FB63D7"/>
    <w:rsid w:val="00FC1EC7"/>
    <w:rsid w:val="00FC319B"/>
    <w:rsid w:val="00FC49AA"/>
    <w:rsid w:val="00FD4A3D"/>
    <w:rsid w:val="00FD7F31"/>
    <w:rsid w:val="00FE3D19"/>
    <w:rsid w:val="00FE4294"/>
    <w:rsid w:val="00FE7521"/>
    <w:rsid w:val="00FF21EB"/>
    <w:rsid w:val="00FF3F0F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A74C"/>
  <w15:chartTrackingRefBased/>
  <w15:docId w15:val="{499D74FD-A316-4B31-80C0-4A2C1980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67CD"/>
    <w:pPr>
      <w:keepNext/>
      <w:numPr>
        <w:numId w:val="2"/>
      </w:numPr>
      <w:tabs>
        <w:tab w:val="left" w:pos="561"/>
      </w:tabs>
      <w:spacing w:before="480" w:after="240"/>
      <w:jc w:val="both"/>
      <w:outlineLvl w:val="0"/>
    </w:pPr>
    <w:rPr>
      <w:rFonts w:ascii="Tahoma" w:hAnsi="Tahoma" w:cs="Arial"/>
      <w:b/>
      <w:bCs/>
      <w:kern w:val="32"/>
      <w:sz w:val="27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F267CD"/>
    <w:pPr>
      <w:keepNext/>
      <w:numPr>
        <w:ilvl w:val="1"/>
        <w:numId w:val="2"/>
      </w:numPr>
      <w:tabs>
        <w:tab w:val="left" w:pos="851"/>
      </w:tabs>
      <w:spacing w:before="480" w:after="240"/>
      <w:jc w:val="both"/>
      <w:outlineLvl w:val="1"/>
    </w:pPr>
    <w:rPr>
      <w:rFonts w:ascii="Tahoma" w:hAnsi="Tahoma" w:cs="Tahoma"/>
      <w:b/>
      <w:bCs/>
      <w:iCs/>
    </w:rPr>
  </w:style>
  <w:style w:type="paragraph" w:styleId="Nadpis3">
    <w:name w:val="heading 3"/>
    <w:basedOn w:val="Normln"/>
    <w:next w:val="Normln"/>
    <w:link w:val="Nadpis3Char"/>
    <w:autoRedefine/>
    <w:qFormat/>
    <w:rsid w:val="00F857A1"/>
    <w:pPr>
      <w:tabs>
        <w:tab w:val="left" w:pos="851"/>
      </w:tabs>
      <w:spacing w:before="360" w:after="120"/>
      <w:jc w:val="both"/>
      <w:outlineLvl w:val="2"/>
    </w:pPr>
    <w:rPr>
      <w:rFonts w:ascii="Tahoma" w:hAnsi="Tahoma" w:cs="Tahoma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F267CD"/>
    <w:pPr>
      <w:keepNext/>
      <w:numPr>
        <w:ilvl w:val="3"/>
        <w:numId w:val="2"/>
      </w:numPr>
      <w:spacing w:before="240" w:after="12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267CD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F267C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267CD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267C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267C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67CD"/>
    <w:rPr>
      <w:rFonts w:ascii="Tahoma" w:eastAsia="Times New Roman" w:hAnsi="Tahoma" w:cs="Arial"/>
      <w:b/>
      <w:bCs/>
      <w:kern w:val="32"/>
      <w:sz w:val="27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267CD"/>
    <w:rPr>
      <w:rFonts w:ascii="Tahoma" w:eastAsia="Times New Roman" w:hAnsi="Tahoma" w:cs="Tahoma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857A1"/>
    <w:rPr>
      <w:rFonts w:ascii="Tahoma" w:eastAsia="Times New Roman" w:hAnsi="Tahoma" w:cs="Tahoma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F267CD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267CD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267C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267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267C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267CD"/>
    <w:rPr>
      <w:rFonts w:ascii="Arial" w:eastAsia="Times New Roman" w:hAnsi="Arial" w:cs="Arial"/>
      <w:lang w:eastAsia="cs-CZ"/>
    </w:rPr>
  </w:style>
  <w:style w:type="paragraph" w:customStyle="1" w:styleId="Styltab">
    <w:name w:val="Styl tab."/>
    <w:basedOn w:val="Normln"/>
    <w:next w:val="Normln"/>
    <w:link w:val="StyltabChar"/>
    <w:autoRedefine/>
    <w:qFormat/>
    <w:rsid w:val="003249CD"/>
    <w:pPr>
      <w:keepNext/>
      <w:numPr>
        <w:ilvl w:val="1"/>
        <w:numId w:val="1"/>
      </w:numPr>
      <w:tabs>
        <w:tab w:val="right" w:pos="9072"/>
      </w:tabs>
      <w:spacing w:before="120"/>
      <w:ind w:left="0"/>
      <w:jc w:val="both"/>
      <w:outlineLvl w:val="1"/>
    </w:pPr>
    <w:rPr>
      <w:rFonts w:ascii="Tahoma" w:hAnsi="Tahoma" w:cs="Tahoma"/>
      <w:sz w:val="20"/>
      <w:szCs w:val="20"/>
    </w:rPr>
  </w:style>
  <w:style w:type="character" w:customStyle="1" w:styleId="StyltabChar">
    <w:name w:val="Styl tab. Char"/>
    <w:basedOn w:val="Standardnpsmoodstavce"/>
    <w:link w:val="Styltab"/>
    <w:rsid w:val="003249CD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Mjtext">
    <w:name w:val="Můj text"/>
    <w:basedOn w:val="Normln"/>
    <w:link w:val="MjtextChar"/>
    <w:rsid w:val="00F267CD"/>
    <w:pPr>
      <w:spacing w:before="120" w:after="240"/>
      <w:jc w:val="both"/>
    </w:pPr>
    <w:rPr>
      <w:rFonts w:ascii="Tahoma" w:hAnsi="Tahoma" w:cs="Tahoma"/>
      <w:sz w:val="20"/>
    </w:rPr>
  </w:style>
  <w:style w:type="character" w:customStyle="1" w:styleId="MjtextChar">
    <w:name w:val="Můj text Char"/>
    <w:basedOn w:val="Standardnpsmoodstavce"/>
    <w:link w:val="Mjtext"/>
    <w:rsid w:val="00F267CD"/>
    <w:rPr>
      <w:rFonts w:ascii="Tahoma" w:eastAsia="Times New Roman" w:hAnsi="Tahoma" w:cs="Tahoma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F2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4294"/>
    <w:pPr>
      <w:ind w:left="720"/>
      <w:contextualSpacing/>
    </w:pPr>
  </w:style>
  <w:style w:type="paragraph" w:customStyle="1" w:styleId="xmsonormal">
    <w:name w:val="x_msonormal"/>
    <w:basedOn w:val="Normln"/>
    <w:rsid w:val="00991BEB"/>
    <w:rPr>
      <w:rFonts w:ascii="Calibri" w:eastAsiaTheme="minorHAns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07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C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7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C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270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2704"/>
    <w:rPr>
      <w:b/>
      <w:bCs/>
    </w:rPr>
  </w:style>
  <w:style w:type="paragraph" w:styleId="Normlnweb">
    <w:name w:val="Normal (Web)"/>
    <w:basedOn w:val="Normln"/>
    <w:uiPriority w:val="99"/>
    <w:unhideWhenUsed/>
    <w:rsid w:val="00A72704"/>
    <w:pPr>
      <w:spacing w:before="100" w:beforeAutospacing="1" w:after="100" w:afterAutospacing="1"/>
    </w:pPr>
  </w:style>
  <w:style w:type="paragraph" w:customStyle="1" w:styleId="xl33">
    <w:name w:val="xl33"/>
    <w:basedOn w:val="Normln"/>
    <w:rsid w:val="00CD212D"/>
    <w:pPr>
      <w:spacing w:before="100" w:beforeAutospacing="1" w:after="100" w:afterAutospacing="1"/>
      <w:jc w:val="both"/>
      <w:textAlignment w:val="top"/>
    </w:pPr>
    <w:rPr>
      <w:rFonts w:ascii="Tahoma" w:hAnsi="Tahoma"/>
      <w:b/>
      <w:bCs/>
      <w:sz w:val="28"/>
      <w:szCs w:val="28"/>
    </w:rPr>
  </w:style>
  <w:style w:type="character" w:styleId="Zdraznnjemn">
    <w:name w:val="Subtle Emphasis"/>
    <w:aliases w:val="Graf"/>
    <w:basedOn w:val="StyltabChar"/>
    <w:uiPriority w:val="19"/>
    <w:qFormat/>
    <w:rsid w:val="00BE5E79"/>
    <w:rPr>
      <w:rFonts w:ascii="Tahoma" w:eastAsia="Times New Roman" w:hAnsi="Tahoma" w:cs="Tahoma"/>
      <w:b/>
      <w:bCs/>
      <w:i w:val="0"/>
      <w:iCs/>
      <w:color w:val="404040" w:themeColor="text1" w:themeTint="BF"/>
      <w:sz w:val="20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2/10_2022/2022_10_31_Stavy%20&#250;&#269;t&#367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2/10_2022/2022_10_31_Stavy%20&#250;&#269;t&#36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 sz="1200" b="1" i="0" u="none" strike="noStrike" baseline="0">
                <a:solidFill>
                  <a:srgbClr val="333333"/>
                </a:solidFill>
                <a:latin typeface="Calibri"/>
                <a:cs typeface="Calibri"/>
              </a:rPr>
              <a:t>Rozložení finančních prostředků k 31.10.2022 dle typů účtů v %</a:t>
            </a: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 sz="1400" b="0" i="0" u="none" strike="noStrike" baseline="0">
              <a:solidFill>
                <a:srgbClr val="333333"/>
              </a:solidFill>
              <a:latin typeface="Calibri"/>
              <a:cs typeface="Calibri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 sz="1400" b="0" i="0" u="none" strike="noStrike" baseline="0">
              <a:solidFill>
                <a:srgbClr val="333333"/>
              </a:solidFill>
              <a:latin typeface="Calibri"/>
              <a:cs typeface="Calibri"/>
            </a:endParaRPr>
          </a:p>
        </c:rich>
      </c:tx>
      <c:layout>
        <c:manualLayout>
          <c:xMode val="edge"/>
          <c:yMode val="edge"/>
          <c:x val="0.12905728845636302"/>
          <c:y val="2.56645279560036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168055894421648"/>
          <c:y val="0.25574950621070464"/>
          <c:w val="0.3121360228377828"/>
          <c:h val="0.6284450930051949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1C-445E-9A1A-45EEC55C6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1C-445E-9A1A-45EEC55C69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1C-445E-9A1A-45EEC55C69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A1C-445E-9A1A-45EEC55C69C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A1C-445E-9A1A-45EEC55C69C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A1C-445E-9A1A-45EEC55C69C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A1C-445E-9A1A-45EEC55C69C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A1C-445E-9A1A-45EEC55C69C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A1C-445E-9A1A-45EEC55C69C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A1C-445E-9A1A-45EEC55C69CF}"/>
              </c:ext>
            </c:extLst>
          </c:dPt>
          <c:dLbls>
            <c:dLbl>
              <c:idx val="0"/>
              <c:layout>
                <c:manualLayout>
                  <c:x val="2.9622233391038817E-2"/>
                  <c:y val="-7.328925865398901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1C-445E-9A1A-45EEC55C69CF}"/>
                </c:ext>
              </c:extLst>
            </c:dLbl>
            <c:dLbl>
              <c:idx val="1"/>
              <c:layout>
                <c:manualLayout>
                  <c:x val="2.4110645743749978E-2"/>
                  <c:y val="-3.897340662605856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1C-445E-9A1A-45EEC55C69CF}"/>
                </c:ext>
              </c:extLst>
            </c:dLbl>
            <c:dLbl>
              <c:idx val="2"/>
              <c:layout>
                <c:manualLayout>
                  <c:x val="0.10401980603488394"/>
                  <c:y val="1.14297033625513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1C-445E-9A1A-45EEC55C69CF}"/>
                </c:ext>
              </c:extLst>
            </c:dLbl>
            <c:dLbl>
              <c:idx val="3"/>
              <c:layout>
                <c:manualLayout>
                  <c:x val="2.0715772230598836E-2"/>
                  <c:y val="5.732852968850591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1C-445E-9A1A-45EEC55C69CF}"/>
                </c:ext>
              </c:extLst>
            </c:dLbl>
            <c:dLbl>
              <c:idx val="4"/>
              <c:layout>
                <c:manualLayout>
                  <c:x val="-4.9312112581671973E-2"/>
                  <c:y val="9.10362501857079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1C-445E-9A1A-45EEC55C69CF}"/>
                </c:ext>
              </c:extLst>
            </c:dLbl>
            <c:dLbl>
              <c:idx val="5"/>
              <c:layout>
                <c:manualLayout>
                  <c:x val="-7.0837698479179478E-2"/>
                  <c:y val="8.54875451889257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A1C-445E-9A1A-45EEC55C69CF}"/>
                </c:ext>
              </c:extLst>
            </c:dLbl>
            <c:dLbl>
              <c:idx val="6"/>
              <c:layout>
                <c:manualLayout>
                  <c:x val="-8.6654827721002955E-2"/>
                  <c:y val="-5.336403704253949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A1C-445E-9A1A-45EEC55C69CF}"/>
                </c:ext>
              </c:extLst>
            </c:dLbl>
            <c:dLbl>
              <c:idx val="7"/>
              <c:layout>
                <c:manualLayout>
                  <c:x val="-3.2145045699074851E-2"/>
                  <c:y val="-1.554474322785123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A1C-445E-9A1A-45EEC55C69CF}"/>
                </c:ext>
              </c:extLst>
            </c:dLbl>
            <c:dLbl>
              <c:idx val="8"/>
              <c:layout>
                <c:manualLayout>
                  <c:x val="-2.0031336272365408E-2"/>
                  <c:y val="-4.250385899214827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A1C-445E-9A1A-45EEC55C69CF}"/>
                </c:ext>
              </c:extLst>
            </c:dLbl>
            <c:dLbl>
              <c:idx val="9"/>
              <c:layout>
                <c:manualLayout>
                  <c:x val="-3.0206139126226314E-2"/>
                  <c:y val="-0.1031550537314911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A1C-445E-9A1A-45EEC55C69CF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A1C-445E-9A1A-45EEC55C69C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grafy'!$B$6:$B$15</c:f>
              <c:strCache>
                <c:ptCount val="10"/>
                <c:pt idx="0">
                  <c:v>účty peněžních fondů</c:v>
                </c:pt>
                <c:pt idx="1">
                  <c:v>zhodnoc.  účty s výpovědní lhůtou  </c:v>
                </c:pt>
                <c:pt idx="2">
                  <c:v>zhodnoc.  účty bez výpov. lhůty</c:v>
                </c:pt>
                <c:pt idx="3">
                  <c:v>virtuální účty </c:v>
                </c:pt>
                <c:pt idx="4">
                  <c:v>zhodnocovací cash-poolingové účty</c:v>
                </c:pt>
                <c:pt idx="5">
                  <c:v>účty školských prostředků</c:v>
                </c:pt>
                <c:pt idx="6">
                  <c:v>účty dotací pro soc. služby</c:v>
                </c:pt>
                <c:pt idx="7">
                  <c:v>provozní účty</c:v>
                </c:pt>
                <c:pt idx="8">
                  <c:v>projektové účty</c:v>
                </c:pt>
                <c:pt idx="9">
                  <c:v>devizové účty</c:v>
                </c:pt>
              </c:strCache>
            </c:strRef>
          </c:cat>
          <c:val>
            <c:numRef>
              <c:f>'data pro grafy'!$C$6:$C$15</c:f>
              <c:numCache>
                <c:formatCode>0.0</c:formatCode>
                <c:ptCount val="10"/>
                <c:pt idx="0">
                  <c:v>23.182516437229012</c:v>
                </c:pt>
                <c:pt idx="1">
                  <c:v>4.8275834628093284</c:v>
                </c:pt>
                <c:pt idx="2">
                  <c:v>10.287284205024216</c:v>
                </c:pt>
                <c:pt idx="3">
                  <c:v>25.988490974790221</c:v>
                </c:pt>
                <c:pt idx="4">
                  <c:v>3.9106515388378837</c:v>
                </c:pt>
                <c:pt idx="5">
                  <c:v>0.72443084097880794</c:v>
                </c:pt>
                <c:pt idx="6">
                  <c:v>4.6863772605907732</c:v>
                </c:pt>
                <c:pt idx="7">
                  <c:v>12.289983336676185</c:v>
                </c:pt>
                <c:pt idx="8">
                  <c:v>14.055227615899565</c:v>
                </c:pt>
                <c:pt idx="9">
                  <c:v>4.7454327164018748E-2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DA1C-445E-9A1A-45EEC55C69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 sz="1200" b="1" i="0" u="none" strike="noStrike" baseline="0">
                <a:solidFill>
                  <a:srgbClr val="333333"/>
                </a:solidFill>
                <a:latin typeface="Calibri"/>
                <a:cs typeface="Calibri"/>
              </a:rPr>
              <a:t>Rozložení finančních prostředků k 31.10.2022 dle bankovních domů v %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 sz="900" b="0" i="0" u="none" strike="noStrike" baseline="0">
                <a:solidFill>
                  <a:srgbClr val="333333"/>
                </a:solidFill>
                <a:latin typeface="Calibri"/>
                <a:cs typeface="Calibri"/>
              </a:rPr>
              <a:t>(pozn.:SVI=systémově významná instituce dle ČNB)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 sz="900" b="0" i="0" u="none" strike="noStrike" baseline="0">
              <a:solidFill>
                <a:srgbClr val="333333"/>
              </a:solidFill>
              <a:latin typeface="Calibri"/>
              <a:cs typeface="Calibri"/>
            </a:endParaRPr>
          </a:p>
        </c:rich>
      </c:tx>
      <c:layout>
        <c:manualLayout>
          <c:xMode val="edge"/>
          <c:yMode val="edge"/>
          <c:x val="0.11112675689518965"/>
          <c:y val="2.23380491437081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34339938570832"/>
          <c:y val="0.22967258296346846"/>
          <c:w val="0.33019503220225449"/>
          <c:h val="0.572457817948958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36E-42B7-868B-71C1F15047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36E-42B7-868B-71C1F15047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36E-42B7-868B-71C1F15047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36E-42B7-868B-71C1F150479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36E-42B7-868B-71C1F150479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36E-42B7-868B-71C1F150479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36E-42B7-868B-71C1F150479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36E-42B7-868B-71C1F150479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36E-42B7-868B-71C1F150479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36E-42B7-868B-71C1F150479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D36E-42B7-868B-71C1F1504791}"/>
              </c:ext>
            </c:extLst>
          </c:dPt>
          <c:dLbls>
            <c:dLbl>
              <c:idx val="0"/>
              <c:layout>
                <c:manualLayout>
                  <c:x val="1.9742901455499812E-2"/>
                  <c:y val="-4.117952881789056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6E-42B7-868B-71C1F1504791}"/>
                </c:ext>
              </c:extLst>
            </c:dLbl>
            <c:dLbl>
              <c:idx val="1"/>
              <c:layout>
                <c:manualLayout>
                  <c:x val="5.7106597470770702E-2"/>
                  <c:y val="-4.771489894698414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6E-42B7-868B-71C1F1504791}"/>
                </c:ext>
              </c:extLst>
            </c:dLbl>
            <c:dLbl>
              <c:idx val="2"/>
              <c:layout>
                <c:manualLayout>
                  <c:x val="5.4004414220949724E-2"/>
                  <c:y val="7.201646556770331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6E-42B7-868B-71C1F1504791}"/>
                </c:ext>
              </c:extLst>
            </c:dLbl>
            <c:dLbl>
              <c:idx val="3"/>
              <c:layout>
                <c:manualLayout>
                  <c:x val="8.6430744452397987E-3"/>
                  <c:y val="6.299464365515344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6E-42B7-868B-71C1F1504791}"/>
                </c:ext>
              </c:extLst>
            </c:dLbl>
            <c:dLbl>
              <c:idx val="4"/>
              <c:layout>
                <c:manualLayout>
                  <c:x val="-4.3216416129801954E-2"/>
                  <c:y val="0.1384922927799491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36E-42B7-868B-71C1F1504791}"/>
                </c:ext>
              </c:extLst>
            </c:dLbl>
            <c:dLbl>
              <c:idx val="5"/>
              <c:layout>
                <c:manualLayout>
                  <c:x val="1.8204485802910966E-2"/>
                  <c:y val="2.845723421262989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36E-42B7-868B-71C1F1504791}"/>
                </c:ext>
              </c:extLst>
            </c:dLbl>
            <c:dLbl>
              <c:idx val="6"/>
              <c:layout>
                <c:manualLayout>
                  <c:x val="-8.8230732522071795E-3"/>
                  <c:y val="-2.155831240519407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36E-42B7-868B-71C1F1504791}"/>
                </c:ext>
              </c:extLst>
            </c:dLbl>
            <c:dLbl>
              <c:idx val="7"/>
              <c:layout>
                <c:manualLayout>
                  <c:x val="-1.5533136482939667E-2"/>
                  <c:y val="-5.284087690477421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36E-42B7-868B-71C1F1504791}"/>
                </c:ext>
              </c:extLst>
            </c:dLbl>
            <c:dLbl>
              <c:idx val="8"/>
              <c:layout>
                <c:manualLayout>
                  <c:x val="-0.10496942853734192"/>
                  <c:y val="-9.726014464019452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36E-42B7-868B-71C1F1504791}"/>
                </c:ext>
              </c:extLst>
            </c:dLbl>
            <c:dLbl>
              <c:idx val="9"/>
              <c:layout>
                <c:manualLayout>
                  <c:x val="-3.3128131710808882E-2"/>
                  <c:y val="-0.1319382918861760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36E-42B7-868B-71C1F1504791}"/>
                </c:ext>
              </c:extLst>
            </c:dLbl>
            <c:dLbl>
              <c:idx val="10"/>
              <c:layout>
                <c:manualLayout>
                  <c:x val="-8.2075578620854212E-2"/>
                  <c:y val="-6.194024308112565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36E-42B7-868B-71C1F150479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grafy'!$B$21:$B$31</c:f>
              <c:strCache>
                <c:ptCount val="11"/>
                <c:pt idx="0">
                  <c:v>ČNB</c:v>
                </c:pt>
                <c:pt idx="1">
                  <c:v>ČS -SVI</c:v>
                </c:pt>
                <c:pt idx="2">
                  <c:v>ČSOB- SVI</c:v>
                </c:pt>
                <c:pt idx="3">
                  <c:v>JT</c:v>
                </c:pt>
                <c:pt idx="4">
                  <c:v>KB - SVI</c:v>
                </c:pt>
                <c:pt idx="5">
                  <c:v>MONETA</c:v>
                </c:pt>
                <c:pt idx="6">
                  <c:v>OB</c:v>
                </c:pt>
                <c:pt idx="7">
                  <c:v>PPF</c:v>
                </c:pt>
                <c:pt idx="8">
                  <c:v>RFB - SVI</c:v>
                </c:pt>
                <c:pt idx="10">
                  <c:v>UCB - SVI</c:v>
                </c:pt>
              </c:strCache>
            </c:strRef>
          </c:cat>
          <c:val>
            <c:numRef>
              <c:f>'data pro grafy'!$C$21:$C$31</c:f>
              <c:numCache>
                <c:formatCode>0.0</c:formatCode>
                <c:ptCount val="11"/>
                <c:pt idx="0">
                  <c:v>6.4464219622483627</c:v>
                </c:pt>
                <c:pt idx="1">
                  <c:v>34.70221907535845</c:v>
                </c:pt>
                <c:pt idx="2">
                  <c:v>10.499975862124455</c:v>
                </c:pt>
                <c:pt idx="3">
                  <c:v>3.2183834060151586</c:v>
                </c:pt>
                <c:pt idx="4">
                  <c:v>4.8645865181919117</c:v>
                </c:pt>
                <c:pt idx="5">
                  <c:v>0</c:v>
                </c:pt>
                <c:pt idx="6">
                  <c:v>1.6510306872857763</c:v>
                </c:pt>
                <c:pt idx="7">
                  <c:v>6.7521683858198029</c:v>
                </c:pt>
                <c:pt idx="8">
                  <c:v>3.3181532916016283</c:v>
                </c:pt>
                <c:pt idx="10">
                  <c:v>28.547060811354456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D36E-42B7-868B-71C1F1504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BA6C4C7FA934495C34874A5521E3A" ma:contentTypeVersion="10" ma:contentTypeDescription="Vytvoří nový dokument" ma:contentTypeScope="" ma:versionID="2596d1dfe91a4374242bf3739649898e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de4ec438ab144d6df6d516406a3878f7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5A426-648C-4CC1-8EAA-DA3D6A54D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2F01-9FE4-4231-A158-6B5E45E0C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56129-1600-46A6-9C25-4D4445FBCF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1294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Metelková Petra</dc:creator>
  <cp:keywords/>
  <dc:description/>
  <cp:lastModifiedBy>Klučková Pavla</cp:lastModifiedBy>
  <cp:revision>72</cp:revision>
  <cp:lastPrinted>2022-05-18T13:07:00Z</cp:lastPrinted>
  <dcterms:created xsi:type="dcterms:W3CDTF">2022-08-17T07:46:00Z</dcterms:created>
  <dcterms:modified xsi:type="dcterms:W3CDTF">2022-11-16T08:56:00Z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2022-03-01T11:18:07Z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6390bad4-dae1-4869-b8f9-993e5fbc7c7d</vt:lpwstr>
  </property>
  <property fmtid="{D5CDD505-2E9C-101B-9397-08002B2CF9AE}" pid="9" name="MSIP_Label_63ff9749-f68b-40ec-aa05-229831920469_ContentBits">
    <vt:lpwstr>2</vt:lpwstr>
  </property>
</Properties>
</file>