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B32" w14:textId="2BB93DA8" w:rsidR="009D5878" w:rsidRPr="004F2398" w:rsidRDefault="009D5878" w:rsidP="009D5878">
      <w:pPr>
        <w:spacing w:before="120" w:after="0" w:line="240" w:lineRule="auto"/>
        <w:jc w:val="center"/>
        <w:outlineLvl w:val="0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4F2398">
        <w:rPr>
          <w:rFonts w:ascii="Tahoma" w:eastAsia="Times New Roman" w:hAnsi="Tahoma" w:cs="Tahoma"/>
          <w:b/>
          <w:sz w:val="28"/>
          <w:szCs w:val="28"/>
          <w:lang w:eastAsia="cs-CZ"/>
        </w:rPr>
        <w:t>Smlouva o zřízení Zástavního práva k účtu</w:t>
      </w:r>
    </w:p>
    <w:p w14:paraId="57F272D5" w14:textId="358A68A3" w:rsidR="0053141C" w:rsidRPr="004F2398" w:rsidRDefault="0053141C" w:rsidP="00A1573C">
      <w:pPr>
        <w:spacing w:before="480" w:after="240" w:line="240" w:lineRule="auto"/>
        <w:ind w:left="397"/>
        <w:jc w:val="center"/>
        <w:outlineLvl w:val="0"/>
        <w:rPr>
          <w:rFonts w:ascii="Tahoma" w:eastAsia="Times New Roman" w:hAnsi="Tahoma" w:cs="Tahoma"/>
          <w:b/>
          <w:lang w:eastAsia="cs-CZ"/>
        </w:rPr>
      </w:pPr>
      <w:r w:rsidRPr="004F2398">
        <w:rPr>
          <w:rFonts w:ascii="Tahoma" w:eastAsia="Times New Roman" w:hAnsi="Tahoma" w:cs="Tahoma"/>
          <w:b/>
          <w:lang w:eastAsia="cs-CZ"/>
        </w:rPr>
        <w:t>Smluvní strany</w:t>
      </w:r>
    </w:p>
    <w:p w14:paraId="097ABFA5" w14:textId="4DC69FEF" w:rsidR="009D5878" w:rsidRPr="004F2398" w:rsidRDefault="009D5878" w:rsidP="002000A4">
      <w:pPr>
        <w:spacing w:before="240" w:after="120" w:line="240" w:lineRule="auto"/>
        <w:ind w:left="397"/>
        <w:outlineLvl w:val="0"/>
        <w:rPr>
          <w:rFonts w:ascii="Tahoma" w:eastAsia="Times New Roman" w:hAnsi="Tahoma" w:cs="Tahoma"/>
          <w:b/>
          <w:lang w:eastAsia="cs-CZ"/>
        </w:rPr>
      </w:pPr>
      <w:r w:rsidRPr="004F2398">
        <w:rPr>
          <w:rFonts w:ascii="Tahoma" w:eastAsia="Times New Roman" w:hAnsi="Tahoma" w:cs="Tahoma"/>
          <w:b/>
          <w:lang w:eastAsia="cs-CZ"/>
        </w:rPr>
        <w:t>Moravskoslezský kraj</w:t>
      </w:r>
    </w:p>
    <w:p w14:paraId="4516E300" w14:textId="77777777" w:rsidR="009D5878" w:rsidRPr="004F2398" w:rsidRDefault="009D5878" w:rsidP="009D5878">
      <w:pPr>
        <w:tabs>
          <w:tab w:val="num" w:pos="397"/>
          <w:tab w:val="left" w:pos="3119"/>
        </w:tabs>
        <w:spacing w:after="0" w:line="240" w:lineRule="auto"/>
        <w:ind w:firstLine="357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>Sídlo:</w:t>
      </w:r>
      <w:r w:rsidRPr="004F2398">
        <w:rPr>
          <w:rFonts w:ascii="Tahoma" w:eastAsia="Times New Roman" w:hAnsi="Tahoma" w:cs="Tahoma"/>
          <w:lang w:eastAsia="cs-CZ"/>
        </w:rPr>
        <w:tab/>
        <w:t>28. října 117, 702 18 Ostrava</w:t>
      </w:r>
    </w:p>
    <w:p w14:paraId="1A0F4A79" w14:textId="77777777" w:rsidR="009D5878" w:rsidRPr="004F2398" w:rsidRDefault="009D5878" w:rsidP="009D5878">
      <w:pPr>
        <w:tabs>
          <w:tab w:val="left" w:pos="3119"/>
        </w:tabs>
        <w:spacing w:after="0" w:line="240" w:lineRule="auto"/>
        <w:ind w:firstLine="357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>Zastoupen:</w:t>
      </w:r>
    </w:p>
    <w:p w14:paraId="57A8C4C5" w14:textId="77777777" w:rsidR="009D5878" w:rsidRPr="004F2398" w:rsidRDefault="009D5878" w:rsidP="009D5878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Tahoma" w:eastAsia="Times New Roman" w:hAnsi="Tahoma" w:cs="Tahoma"/>
          <w:lang w:eastAsia="cs-CZ"/>
        </w:rPr>
      </w:pPr>
    </w:p>
    <w:p w14:paraId="009197FB" w14:textId="77777777" w:rsidR="009D5878" w:rsidRPr="004F2398" w:rsidRDefault="009D5878" w:rsidP="009D5878">
      <w:pPr>
        <w:tabs>
          <w:tab w:val="left" w:pos="3119"/>
        </w:tabs>
        <w:spacing w:after="0" w:line="240" w:lineRule="auto"/>
        <w:ind w:firstLine="357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>IČO:</w:t>
      </w:r>
      <w:r w:rsidRPr="004F2398">
        <w:rPr>
          <w:rFonts w:ascii="Tahoma" w:eastAsia="Times New Roman" w:hAnsi="Tahoma" w:cs="Tahoma"/>
          <w:lang w:eastAsia="cs-CZ"/>
        </w:rPr>
        <w:tab/>
        <w:t>70890692</w:t>
      </w:r>
    </w:p>
    <w:p w14:paraId="208A7C33" w14:textId="060C5F3F" w:rsidR="009D5878" w:rsidRPr="004F2398" w:rsidRDefault="009D5878" w:rsidP="009D587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>(dále jen „MSK“)</w:t>
      </w:r>
    </w:p>
    <w:p w14:paraId="05D94E8C" w14:textId="77777777" w:rsidR="009D5878" w:rsidRPr="004F2398" w:rsidRDefault="009D5878" w:rsidP="00A1573C">
      <w:pPr>
        <w:tabs>
          <w:tab w:val="left" w:pos="3119"/>
        </w:tabs>
        <w:spacing w:before="240" w:after="240" w:line="240" w:lineRule="auto"/>
        <w:ind w:firstLine="357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>a</w:t>
      </w:r>
    </w:p>
    <w:p w14:paraId="23381835" w14:textId="77777777" w:rsidR="002000A4" w:rsidRPr="004F2398" w:rsidRDefault="002000A4" w:rsidP="002000A4">
      <w:pPr>
        <w:tabs>
          <w:tab w:val="left" w:pos="3119"/>
        </w:tabs>
        <w:spacing w:after="0" w:line="240" w:lineRule="auto"/>
        <w:ind w:firstLine="357"/>
        <w:rPr>
          <w:rFonts w:ascii="Tahoma" w:eastAsia="Times New Roman" w:hAnsi="Tahoma" w:cs="Tahoma"/>
          <w:b/>
          <w:lang w:eastAsia="cs-CZ"/>
        </w:rPr>
      </w:pPr>
      <w:r w:rsidRPr="004F2398">
        <w:rPr>
          <w:rFonts w:ascii="Tahoma" w:eastAsia="Times New Roman" w:hAnsi="Tahoma" w:cs="Tahoma"/>
          <w:b/>
          <w:lang w:eastAsia="cs-CZ"/>
        </w:rPr>
        <w:t xml:space="preserve">Urban Development </w:t>
      </w:r>
      <w:proofErr w:type="spellStart"/>
      <w:r w:rsidRPr="004F2398">
        <w:rPr>
          <w:rFonts w:ascii="Tahoma" w:eastAsia="Times New Roman" w:hAnsi="Tahoma" w:cs="Tahoma"/>
          <w:b/>
          <w:lang w:eastAsia="cs-CZ"/>
        </w:rPr>
        <w:t>Fund</w:t>
      </w:r>
      <w:proofErr w:type="spellEnd"/>
      <w:r w:rsidRPr="004F2398">
        <w:rPr>
          <w:rFonts w:ascii="Tahoma" w:eastAsia="Times New Roman" w:hAnsi="Tahoma" w:cs="Tahoma"/>
          <w:b/>
          <w:lang w:eastAsia="cs-CZ"/>
        </w:rPr>
        <w:t xml:space="preserve"> MS s.r.o.</w:t>
      </w:r>
    </w:p>
    <w:p w14:paraId="745BF1FB" w14:textId="4605F4AC" w:rsidR="009D5878" w:rsidRPr="004F2398" w:rsidRDefault="009D5878" w:rsidP="002000A4">
      <w:pPr>
        <w:tabs>
          <w:tab w:val="left" w:pos="3119"/>
        </w:tabs>
        <w:spacing w:after="0" w:line="240" w:lineRule="auto"/>
        <w:ind w:firstLine="357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 xml:space="preserve">Se sídlem: </w:t>
      </w:r>
      <w:r w:rsidRPr="004F2398">
        <w:rPr>
          <w:rFonts w:ascii="Tahoma" w:eastAsia="Times New Roman" w:hAnsi="Tahoma" w:cs="Tahoma"/>
          <w:lang w:eastAsia="cs-CZ"/>
        </w:rPr>
        <w:tab/>
      </w:r>
      <w:r w:rsidR="002000A4" w:rsidRPr="004F2398">
        <w:rPr>
          <w:rFonts w:ascii="Tahoma" w:eastAsia="Times New Roman" w:hAnsi="Tahoma" w:cs="Tahoma"/>
          <w:lang w:eastAsia="cs-CZ"/>
        </w:rPr>
        <w:t>Stodolní 1428/9, Moravská Ostrava, 702 00 Ostrava</w:t>
      </w:r>
    </w:p>
    <w:p w14:paraId="065F2D3D" w14:textId="5F9057A2" w:rsidR="009D5878" w:rsidRPr="004F2398" w:rsidRDefault="009D5878" w:rsidP="009D5878">
      <w:pPr>
        <w:tabs>
          <w:tab w:val="left" w:pos="3119"/>
        </w:tabs>
        <w:spacing w:after="0" w:line="240" w:lineRule="auto"/>
        <w:ind w:firstLine="357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>Zastoupena:</w:t>
      </w:r>
      <w:r w:rsidRPr="004F2398">
        <w:rPr>
          <w:rFonts w:ascii="Tahoma" w:eastAsia="Times New Roman" w:hAnsi="Tahoma" w:cs="Tahoma"/>
          <w:lang w:eastAsia="cs-CZ"/>
        </w:rPr>
        <w:tab/>
      </w:r>
      <w:r w:rsidR="002000A4" w:rsidRPr="004F2398">
        <w:rPr>
          <w:rFonts w:ascii="Tahoma" w:eastAsia="Times New Roman" w:hAnsi="Tahoma" w:cs="Tahoma"/>
          <w:lang w:eastAsia="cs-CZ"/>
        </w:rPr>
        <w:t>Daniel</w:t>
      </w:r>
      <w:r w:rsidR="00A1573C" w:rsidRPr="004F2398">
        <w:rPr>
          <w:rFonts w:ascii="Tahoma" w:eastAsia="Times New Roman" w:hAnsi="Tahoma" w:cs="Tahoma"/>
          <w:lang w:eastAsia="cs-CZ"/>
        </w:rPr>
        <w:t>em</w:t>
      </w:r>
      <w:r w:rsidR="002000A4" w:rsidRPr="004F2398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2000A4" w:rsidRPr="004F2398">
        <w:rPr>
          <w:rFonts w:ascii="Tahoma" w:eastAsia="Times New Roman" w:hAnsi="Tahoma" w:cs="Tahoma"/>
          <w:lang w:eastAsia="cs-CZ"/>
        </w:rPr>
        <w:t>Foltýnkem</w:t>
      </w:r>
      <w:proofErr w:type="spellEnd"/>
      <w:r w:rsidR="002000A4" w:rsidRPr="004F2398">
        <w:rPr>
          <w:rFonts w:ascii="Tahoma" w:eastAsia="Times New Roman" w:hAnsi="Tahoma" w:cs="Tahoma"/>
          <w:lang w:eastAsia="cs-CZ"/>
        </w:rPr>
        <w:t>, jednatelem</w:t>
      </w:r>
    </w:p>
    <w:p w14:paraId="0C5724CD" w14:textId="14F05617" w:rsidR="009D5878" w:rsidRPr="004F2398" w:rsidRDefault="009D5878" w:rsidP="009D5878">
      <w:pPr>
        <w:tabs>
          <w:tab w:val="left" w:pos="3119"/>
        </w:tabs>
        <w:spacing w:after="0" w:line="240" w:lineRule="auto"/>
        <w:ind w:firstLine="357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 xml:space="preserve">IČO: </w:t>
      </w:r>
      <w:r w:rsidRPr="004F2398">
        <w:rPr>
          <w:rFonts w:ascii="Tahoma" w:eastAsia="Times New Roman" w:hAnsi="Tahoma" w:cs="Tahoma"/>
          <w:lang w:eastAsia="cs-CZ"/>
        </w:rPr>
        <w:tab/>
      </w:r>
      <w:r w:rsidR="002000A4" w:rsidRPr="004F2398">
        <w:rPr>
          <w:rFonts w:ascii="Tahoma" w:eastAsia="Times New Roman" w:hAnsi="Tahoma" w:cs="Tahoma"/>
          <w:lang w:eastAsia="cs-CZ"/>
        </w:rPr>
        <w:t>24747874</w:t>
      </w:r>
    </w:p>
    <w:p w14:paraId="5EAFAC78" w14:textId="31F4ACC2" w:rsidR="009D5878" w:rsidRPr="004F2398" w:rsidRDefault="009D5878" w:rsidP="009D5878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 xml:space="preserve">Zapsána v obchodním rejstříku vedeném </w:t>
      </w:r>
      <w:r w:rsidR="002000A4" w:rsidRPr="004F2398">
        <w:rPr>
          <w:rFonts w:ascii="Tahoma" w:eastAsia="Times New Roman" w:hAnsi="Tahoma" w:cs="Tahoma"/>
          <w:lang w:eastAsia="cs-CZ"/>
        </w:rPr>
        <w:t>Krajským</w:t>
      </w:r>
      <w:r w:rsidRPr="004F2398">
        <w:rPr>
          <w:rFonts w:ascii="Tahoma" w:eastAsia="Times New Roman" w:hAnsi="Tahoma" w:cs="Tahoma"/>
          <w:lang w:eastAsia="cs-CZ"/>
        </w:rPr>
        <w:t xml:space="preserve"> soudem v </w:t>
      </w:r>
      <w:r w:rsidR="002000A4" w:rsidRPr="004F2398">
        <w:rPr>
          <w:rFonts w:ascii="Tahoma" w:eastAsia="Times New Roman" w:hAnsi="Tahoma" w:cs="Tahoma"/>
          <w:lang w:eastAsia="cs-CZ"/>
        </w:rPr>
        <w:t>Ostravě</w:t>
      </w:r>
      <w:r w:rsidRPr="004F2398">
        <w:rPr>
          <w:rFonts w:ascii="Tahoma" w:eastAsia="Times New Roman" w:hAnsi="Tahoma" w:cs="Tahoma"/>
          <w:lang w:eastAsia="cs-CZ"/>
        </w:rPr>
        <w:t xml:space="preserve">, </w:t>
      </w:r>
      <w:proofErr w:type="spellStart"/>
      <w:r w:rsidRPr="004F2398">
        <w:rPr>
          <w:rFonts w:ascii="Tahoma" w:eastAsia="Times New Roman" w:hAnsi="Tahoma" w:cs="Tahoma"/>
          <w:lang w:eastAsia="cs-CZ"/>
        </w:rPr>
        <w:t>sp</w:t>
      </w:r>
      <w:proofErr w:type="spellEnd"/>
      <w:r w:rsidRPr="004F2398">
        <w:rPr>
          <w:rFonts w:ascii="Tahoma" w:eastAsia="Times New Roman" w:hAnsi="Tahoma" w:cs="Tahoma"/>
          <w:lang w:eastAsia="cs-CZ"/>
        </w:rPr>
        <w:t xml:space="preserve">. zn. </w:t>
      </w:r>
      <w:r w:rsidR="002000A4" w:rsidRPr="004F2398">
        <w:rPr>
          <w:rFonts w:ascii="Tahoma" w:eastAsia="Times New Roman" w:hAnsi="Tahoma" w:cs="Tahoma"/>
          <w:lang w:eastAsia="cs-CZ"/>
        </w:rPr>
        <w:t>C 78127</w:t>
      </w:r>
    </w:p>
    <w:p w14:paraId="147864B1" w14:textId="342AA927" w:rsidR="009D5878" w:rsidRPr="004F2398" w:rsidRDefault="009D5878" w:rsidP="009D5878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4F2398">
        <w:rPr>
          <w:rFonts w:ascii="Tahoma" w:eastAsia="Times New Roman" w:hAnsi="Tahoma" w:cs="Tahoma"/>
          <w:lang w:eastAsia="cs-CZ"/>
        </w:rPr>
        <w:t>(dále jen „FRM“)</w:t>
      </w:r>
    </w:p>
    <w:p w14:paraId="003D369B" w14:textId="77777777" w:rsidR="009D5878" w:rsidRPr="004F2398" w:rsidRDefault="009D5878" w:rsidP="009D5878">
      <w:pPr>
        <w:widowControl w:val="0"/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lang w:eastAsia="cs-CZ" w:bidi="cs-CZ"/>
        </w:rPr>
      </w:pPr>
    </w:p>
    <w:p w14:paraId="2F1060E6" w14:textId="77777777" w:rsidR="009D5878" w:rsidRPr="004F2398" w:rsidRDefault="009D5878" w:rsidP="009D5878">
      <w:pPr>
        <w:widowControl w:val="0"/>
        <w:spacing w:after="268" w:line="244" w:lineRule="exact"/>
        <w:jc w:val="both"/>
        <w:rPr>
          <w:rFonts w:ascii="Tahoma" w:eastAsia="Times New Roman" w:hAnsi="Tahoma" w:cs="Tahoma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VZHLEDEM K TOMU, ŽE:</w:t>
      </w:r>
    </w:p>
    <w:p w14:paraId="2262179F" w14:textId="448E4407" w:rsidR="009D5878" w:rsidRPr="004F2398" w:rsidRDefault="009D5878" w:rsidP="0013475B">
      <w:pPr>
        <w:widowControl w:val="0"/>
        <w:spacing w:after="120" w:line="302" w:lineRule="exact"/>
        <w:jc w:val="both"/>
        <w:rPr>
          <w:rFonts w:ascii="Tahoma" w:eastAsia="Times New Roman" w:hAnsi="Tahoma" w:cs="Tahoma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Evropská investiční banka se sídlem 100 </w:t>
      </w:r>
      <w:r w:rsidRPr="004F2398">
        <w:rPr>
          <w:rFonts w:ascii="Tahoma" w:eastAsia="Times New Roman" w:hAnsi="Tahoma" w:cs="Tahoma"/>
          <w:color w:val="000000"/>
          <w:lang w:val="en-US" w:bidi="en-US"/>
        </w:rPr>
        <w:t xml:space="preserve">boulevard Konrad Adenauer, Luxembourg, L-2950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Lucembursko (dále jen </w:t>
      </w:r>
      <w:r w:rsidR="00B643E2">
        <w:rPr>
          <w:rFonts w:ascii="Tahoma" w:eastAsia="Times New Roman" w:hAnsi="Tahoma" w:cs="Tahoma"/>
          <w:color w:val="000000"/>
          <w:lang w:eastAsia="cs-CZ" w:bidi="cs-CZ"/>
        </w:rPr>
        <w:t>„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EIB“) a FRM uzavřeli dne 29. března 2012 Operační smlouvu v rámci realizace nástroje finančního inženýrství v souladu s čl. 44 písm. b) Nařízení Rady (ES) č.</w:t>
      </w:r>
      <w:r w:rsidR="00B643E2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1083/2006, v rámci provádění Operačního programu EFRR pro období </w:t>
      </w:r>
      <w:r w:rsidR="00B643E2" w:rsidRPr="004F2398">
        <w:rPr>
          <w:rFonts w:ascii="Tahoma" w:eastAsia="Times New Roman" w:hAnsi="Tahoma" w:cs="Tahoma"/>
          <w:color w:val="000000"/>
          <w:lang w:eastAsia="cs-CZ" w:bidi="cs-CZ"/>
        </w:rPr>
        <w:t>2007–2013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pro region </w:t>
      </w:r>
      <w:proofErr w:type="spellStart"/>
      <w:r w:rsidRPr="004F2398">
        <w:rPr>
          <w:rFonts w:ascii="Tahoma" w:eastAsia="Times New Roman" w:hAnsi="Tahoma" w:cs="Tahoma"/>
          <w:color w:val="000000"/>
          <w:lang w:eastAsia="cs-CZ" w:bidi="cs-CZ"/>
        </w:rPr>
        <w:t>Moravskoslezsko</w:t>
      </w:r>
      <w:proofErr w:type="spellEnd"/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(dále jen „Původní operační smlouva</w:t>
      </w:r>
      <w:r w:rsidR="000B640D" w:rsidRPr="004F2398">
        <w:rPr>
          <w:rFonts w:ascii="Tahoma" w:eastAsia="Times New Roman" w:hAnsi="Tahoma" w:cs="Tahoma"/>
          <w:color w:val="000000"/>
          <w:lang w:eastAsia="cs-CZ" w:bidi="cs-CZ"/>
        </w:rPr>
        <w:t>“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).</w:t>
      </w:r>
    </w:p>
    <w:p w14:paraId="2830EDDA" w14:textId="7C8FB584" w:rsidR="009D5878" w:rsidRPr="004F2398" w:rsidRDefault="009D5878" w:rsidP="0013475B">
      <w:pPr>
        <w:widowControl w:val="0"/>
        <w:spacing w:after="120" w:line="302" w:lineRule="exact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Na základě tzv. TRANSFER </w:t>
      </w:r>
      <w:r w:rsidRPr="004F2398">
        <w:rPr>
          <w:rFonts w:ascii="Tahoma" w:eastAsia="Times New Roman" w:hAnsi="Tahoma" w:cs="Tahoma"/>
          <w:color w:val="000000"/>
          <w:lang w:val="en-US" w:bidi="en-US"/>
        </w:rPr>
        <w:t xml:space="preserve">AGREEMENT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ze dne 20. prosince 2013, uzavřené mezi EIB, </w:t>
      </w:r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Regionální radou regionu soudržnosti </w:t>
      </w:r>
      <w:proofErr w:type="spellStart"/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>Moravskoslezsko</w:t>
      </w:r>
      <w:proofErr w:type="spellEnd"/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, se sídlem Na Jízdárně 2824, Moravská Ostrava a Přívoz, 702 00 Ostrava, Česká republiky (dále jen „RR MS“)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a FRM, přešla k 1. </w:t>
      </w:r>
      <w:r w:rsidR="002000A4" w:rsidRPr="004F2398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1.</w:t>
      </w:r>
      <w:r w:rsidR="002000A4" w:rsidRPr="004F2398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2014 veškerá práva a povinnosti vyplývající pro EIB z Původní operační smlouvy a ostatních smluv uzavřených na jejím základě na RR MS. Původní operační smlouva byla nahrazena Operační smlouvou ze dne </w:t>
      </w:r>
      <w:r w:rsidR="002000A4" w:rsidRPr="00D414C3">
        <w:rPr>
          <w:rFonts w:ascii="Tahoma" w:eastAsia="Times New Roman" w:hAnsi="Tahoma" w:cs="Tahoma"/>
          <w:color w:val="000000"/>
          <w:lang w:eastAsia="cs-CZ" w:bidi="cs-CZ"/>
        </w:rPr>
        <w:t>21. 7. 2014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uzavřenou mezi RR MS a FRM</w:t>
      </w:r>
      <w:r w:rsidR="0013475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(dále jen „Operační smlouva“)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.</w:t>
      </w:r>
    </w:p>
    <w:p w14:paraId="145898C8" w14:textId="74B0754A" w:rsidR="003C1A54" w:rsidRPr="004F2398" w:rsidRDefault="00D54B76" w:rsidP="0013475B">
      <w:pPr>
        <w:widowControl w:val="0"/>
        <w:spacing w:after="120" w:line="302" w:lineRule="exact"/>
        <w:jc w:val="both"/>
        <w:rPr>
          <w:rFonts w:ascii="Tahoma" w:eastAsia="Times New Roman" w:hAnsi="Tahoma" w:cs="Tahoma"/>
          <w:lang w:eastAsia="cs-CZ" w:bidi="cs-CZ"/>
        </w:rPr>
      </w:pPr>
      <w:r w:rsidRPr="004F2398">
        <w:rPr>
          <w:rFonts w:ascii="Tahoma" w:eastAsia="Times New Roman" w:hAnsi="Tahoma" w:cs="Tahoma"/>
          <w:lang w:eastAsia="cs-CZ" w:bidi="cs-CZ"/>
        </w:rPr>
        <w:t xml:space="preserve">Dne 27. 6. 2017 uzavřel </w:t>
      </w:r>
      <w:r w:rsidR="007A7B42" w:rsidRPr="004F2398">
        <w:rPr>
          <w:rFonts w:ascii="Tahoma" w:eastAsia="Times New Roman" w:hAnsi="Tahoma" w:cs="Tahoma"/>
          <w:lang w:eastAsia="cs-CZ" w:bidi="cs-CZ"/>
        </w:rPr>
        <w:t>MSK s</w:t>
      </w:r>
      <w:r w:rsidR="001C6A7D" w:rsidRPr="004F2398">
        <w:rPr>
          <w:rFonts w:ascii="Tahoma" w:eastAsia="Times New Roman" w:hAnsi="Tahoma" w:cs="Tahoma"/>
          <w:lang w:eastAsia="cs-CZ" w:bidi="cs-CZ"/>
        </w:rPr>
        <w:t xml:space="preserve"> </w:t>
      </w:r>
      <w:r w:rsidR="007A7B42" w:rsidRPr="004F2398">
        <w:rPr>
          <w:rFonts w:ascii="Tahoma" w:eastAsia="Times New Roman" w:hAnsi="Tahoma" w:cs="Tahoma"/>
          <w:lang w:eastAsia="cs-CZ" w:bidi="cs-CZ"/>
        </w:rPr>
        <w:t xml:space="preserve">RR MS </w:t>
      </w:r>
      <w:r w:rsidRPr="004F2398">
        <w:rPr>
          <w:rFonts w:ascii="Tahoma" w:eastAsia="Times New Roman" w:hAnsi="Tahoma" w:cs="Tahoma"/>
          <w:lang w:eastAsia="cs-CZ" w:bidi="cs-CZ"/>
        </w:rPr>
        <w:t xml:space="preserve">Smlouvu o převodu Finančního nástroje JESSICA, </w:t>
      </w:r>
      <w:r w:rsidR="00822793" w:rsidRPr="004F2398">
        <w:rPr>
          <w:rFonts w:ascii="Tahoma" w:eastAsia="Times New Roman" w:hAnsi="Tahoma" w:cs="Tahoma"/>
          <w:lang w:eastAsia="cs-CZ" w:bidi="cs-CZ"/>
        </w:rPr>
        <w:t xml:space="preserve">na </w:t>
      </w:r>
      <w:proofErr w:type="gramStart"/>
      <w:r w:rsidR="00822793" w:rsidRPr="004F2398">
        <w:rPr>
          <w:rFonts w:ascii="Tahoma" w:eastAsia="Times New Roman" w:hAnsi="Tahoma" w:cs="Tahoma"/>
          <w:lang w:eastAsia="cs-CZ" w:bidi="cs-CZ"/>
        </w:rPr>
        <w:t>základě</w:t>
      </w:r>
      <w:proofErr w:type="gramEnd"/>
      <w:r w:rsidR="00822793" w:rsidRPr="004F2398">
        <w:rPr>
          <w:rFonts w:ascii="Tahoma" w:eastAsia="Times New Roman" w:hAnsi="Tahoma" w:cs="Tahoma"/>
          <w:lang w:eastAsia="cs-CZ" w:bidi="cs-CZ"/>
        </w:rPr>
        <w:t xml:space="preserve"> které došlo mimo jiné k</w:t>
      </w:r>
      <w:r w:rsidR="004B5402" w:rsidRPr="004F2398">
        <w:rPr>
          <w:rFonts w:ascii="Tahoma" w:eastAsia="Times New Roman" w:hAnsi="Tahoma" w:cs="Tahoma"/>
          <w:lang w:eastAsia="cs-CZ" w:bidi="cs-CZ"/>
        </w:rPr>
        <w:t> postoupení Operační smlouvy</w:t>
      </w:r>
      <w:r w:rsidR="003C1A54" w:rsidRPr="004F2398">
        <w:rPr>
          <w:rFonts w:ascii="Tahoma" w:eastAsia="Times New Roman" w:hAnsi="Tahoma" w:cs="Tahoma"/>
          <w:lang w:eastAsia="cs-CZ" w:bidi="cs-CZ"/>
        </w:rPr>
        <w:t xml:space="preserve">, a to včetně ostatních s nimi souvisejících smluvních ujednání, z RR MS na MSK, kdy se MSK namísto RR MS </w:t>
      </w:r>
      <w:r w:rsidR="004039E7" w:rsidRPr="004F2398">
        <w:rPr>
          <w:rFonts w:ascii="Tahoma" w:eastAsia="Times New Roman" w:hAnsi="Tahoma" w:cs="Tahoma"/>
          <w:lang w:eastAsia="cs-CZ" w:bidi="cs-CZ"/>
        </w:rPr>
        <w:t xml:space="preserve">stalo </w:t>
      </w:r>
      <w:r w:rsidR="003C1A54" w:rsidRPr="004F2398">
        <w:rPr>
          <w:rFonts w:ascii="Tahoma" w:eastAsia="Times New Roman" w:hAnsi="Tahoma" w:cs="Tahoma"/>
          <w:lang w:eastAsia="cs-CZ" w:bidi="cs-CZ"/>
        </w:rPr>
        <w:t>smluvní stranou</w:t>
      </w:r>
      <w:r w:rsidR="004039E7" w:rsidRPr="004F2398">
        <w:rPr>
          <w:rFonts w:ascii="Tahoma" w:eastAsia="Times New Roman" w:hAnsi="Tahoma" w:cs="Tahoma"/>
          <w:lang w:eastAsia="cs-CZ" w:bidi="cs-CZ"/>
        </w:rPr>
        <w:t>.</w:t>
      </w:r>
    </w:p>
    <w:p w14:paraId="2EE5A0CD" w14:textId="239387FD" w:rsidR="004F2398" w:rsidRPr="00615792" w:rsidRDefault="004039E7" w:rsidP="0013475B">
      <w:pPr>
        <w:widowControl w:val="0"/>
        <w:spacing w:after="120" w:line="302" w:lineRule="exact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V souvislosti s převodem Finančního nástroje JESSICA a p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rostřednictvím Operační smlouvy a v souladu s jejími podmínkami se </w:t>
      </w:r>
      <w:r w:rsidR="00E505B1">
        <w:rPr>
          <w:rFonts w:ascii="Tahoma" w:eastAsia="Times New Roman" w:hAnsi="Tahoma" w:cs="Tahoma"/>
          <w:color w:val="000000"/>
          <w:lang w:eastAsia="cs-CZ" w:bidi="cs-CZ"/>
        </w:rPr>
        <w:t>výše uvedeným převodem</w:t>
      </w:r>
      <w:r w:rsidR="00574EDC">
        <w:rPr>
          <w:rFonts w:ascii="Tahoma" w:eastAsia="Times New Roman" w:hAnsi="Tahoma" w:cs="Tahoma"/>
          <w:color w:val="000000"/>
          <w:lang w:eastAsia="cs-CZ" w:bidi="cs-CZ"/>
        </w:rPr>
        <w:t xml:space="preserve"> stal MSK majitelem poskytnuté půjčky, kterou se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FRM zavázal investovat příslušnou peněžní částku svým jménem na účet </w:t>
      </w:r>
      <w:r w:rsidR="001C6A7D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do Způsobilých městských projektů a poskytnout </w:t>
      </w:r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další služby řízení investic; půjčka </w:t>
      </w:r>
      <w:r w:rsidR="004F2398">
        <w:rPr>
          <w:rFonts w:ascii="Tahoma" w:eastAsia="Times New Roman" w:hAnsi="Tahoma" w:cs="Tahoma"/>
          <w:color w:val="000000"/>
          <w:lang w:eastAsia="cs-CZ" w:bidi="cs-CZ"/>
        </w:rPr>
        <w:t>byla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vedena na Výplatním účtu a platby z investic </w:t>
      </w:r>
      <w:r w:rsidR="004F2398">
        <w:rPr>
          <w:rFonts w:ascii="Tahoma" w:eastAsia="Times New Roman" w:hAnsi="Tahoma" w:cs="Tahoma"/>
          <w:color w:val="000000"/>
          <w:lang w:eastAsia="cs-CZ" w:bidi="cs-CZ"/>
        </w:rPr>
        <w:t>byly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vedeny na Rezervním účtu, přičemž oba účty </w:t>
      </w:r>
      <w:r w:rsidR="004F2398">
        <w:rPr>
          <w:rFonts w:ascii="Tahoma" w:eastAsia="Times New Roman" w:hAnsi="Tahoma" w:cs="Tahoma"/>
          <w:color w:val="000000"/>
          <w:lang w:eastAsia="cs-CZ" w:bidi="cs-CZ"/>
        </w:rPr>
        <w:t>byly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vedeny na jméno FRM v Kč u </w:t>
      </w:r>
      <w:r w:rsidR="009D5878" w:rsidRPr="00D414C3">
        <w:rPr>
          <w:rFonts w:ascii="Tahoma" w:eastAsia="Times New Roman" w:hAnsi="Tahoma" w:cs="Tahoma"/>
          <w:color w:val="000000"/>
          <w:lang w:val="en-US" w:bidi="en-US"/>
        </w:rPr>
        <w:t xml:space="preserve">Sberbank </w:t>
      </w:r>
      <w:r w:rsidR="009D5878" w:rsidRPr="00D414C3">
        <w:rPr>
          <w:rFonts w:ascii="Tahoma" w:eastAsia="Times New Roman" w:hAnsi="Tahoma" w:cs="Tahoma"/>
          <w:color w:val="000000"/>
          <w:lang w:eastAsia="cs-CZ" w:bidi="cs-CZ"/>
        </w:rPr>
        <w:t xml:space="preserve">CZ, a. s., se sídlem Na Pankráci 1724/129, </w:t>
      </w:r>
      <w:r w:rsidR="009D5878" w:rsidRPr="00D414C3">
        <w:rPr>
          <w:rFonts w:ascii="Tahoma" w:eastAsia="Times New Roman" w:hAnsi="Tahoma" w:cs="Tahoma"/>
          <w:color w:val="000000"/>
          <w:lang w:eastAsia="cs-CZ" w:bidi="cs-CZ"/>
        </w:rPr>
        <w:lastRenderedPageBreak/>
        <w:t xml:space="preserve">140 00 Praha - Nusle, Česká republika, IČO: 250 83 325, zapsaná v obchodním rejstříku vedeném Městským soudem v Praze, oddíl B, vložka 4353 (dále jen </w:t>
      </w:r>
      <w:r w:rsidR="009D5878" w:rsidRPr="00D414C3">
        <w:rPr>
          <w:rFonts w:ascii="Tahoma" w:eastAsia="Times New Roman" w:hAnsi="Tahoma" w:cs="Tahoma"/>
          <w:color w:val="000000"/>
          <w:lang w:val="en-US" w:bidi="en-US"/>
        </w:rPr>
        <w:t xml:space="preserve">„Sberbank </w:t>
      </w:r>
      <w:r w:rsidR="009D5878" w:rsidRPr="00D414C3">
        <w:rPr>
          <w:rFonts w:ascii="Tahoma" w:eastAsia="Times New Roman" w:hAnsi="Tahoma" w:cs="Tahoma"/>
          <w:color w:val="000000"/>
          <w:lang w:eastAsia="cs-CZ" w:bidi="cs-CZ"/>
        </w:rPr>
        <w:t>CZ“).</w:t>
      </w:r>
    </w:p>
    <w:p w14:paraId="643E7C8F" w14:textId="1D4982DF" w:rsidR="004F2398" w:rsidRPr="004F2398" w:rsidRDefault="004F2398" w:rsidP="004F2398">
      <w:pPr>
        <w:widowControl w:val="0"/>
        <w:spacing w:after="120" w:line="302" w:lineRule="exact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Česká národní banka odebrala Sberbank CZ bankovní licenci a rozhodnutí nabylo právní moci 30. dubna 2022. Od tohoto dne tak nesmí Sberbank CZ přijímat vklady, poskytovat úvěry a vykonávat další činnosti s výjimkou těch, které jsou nezbytné k vypořádání jejích pohledávek a závazků.</w:t>
      </w:r>
    </w:p>
    <w:p w14:paraId="282E58A4" w14:textId="683F33FD" w:rsidR="004F2398" w:rsidRPr="004F2398" w:rsidRDefault="004F2398" w:rsidP="004F2398">
      <w:pPr>
        <w:widowControl w:val="0"/>
        <w:spacing w:after="120" w:line="302" w:lineRule="exact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FRM zřídil nový Rezervní účet u Národní rozvojové banky, a.s., se sídlem na ulici Jeruzalémská 964/4, 110 00 Praha 1, IČO: 44848943</w:t>
      </w:r>
      <w:r w:rsidR="00B643E2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B643E2" w:rsidRPr="004F2398">
        <w:rPr>
          <w:rFonts w:ascii="Tahoma" w:eastAsia="Times New Roman" w:hAnsi="Tahoma" w:cs="Tahoma"/>
          <w:color w:val="000000"/>
          <w:lang w:eastAsia="cs-CZ" w:bidi="cs-CZ"/>
        </w:rPr>
        <w:t>(dále</w:t>
      </w:r>
      <w:r w:rsidR="00B643E2">
        <w:rPr>
          <w:rFonts w:ascii="Tahoma" w:eastAsia="Times New Roman" w:hAnsi="Tahoma" w:cs="Tahoma"/>
          <w:color w:val="000000"/>
          <w:lang w:eastAsia="cs-CZ" w:bidi="cs-CZ"/>
        </w:rPr>
        <w:t xml:space="preserve"> jen</w:t>
      </w:r>
      <w:r w:rsidR="00B643E2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B643E2">
        <w:rPr>
          <w:rFonts w:ascii="Tahoma" w:eastAsia="Times New Roman" w:hAnsi="Tahoma" w:cs="Tahoma"/>
          <w:color w:val="000000"/>
          <w:lang w:eastAsia="cs-CZ" w:bidi="cs-CZ"/>
        </w:rPr>
        <w:t>„</w:t>
      </w:r>
      <w:r w:rsidR="00B643E2" w:rsidRPr="004F2398">
        <w:rPr>
          <w:rFonts w:ascii="Tahoma" w:eastAsia="Times New Roman" w:hAnsi="Tahoma" w:cs="Tahoma"/>
          <w:color w:val="000000"/>
          <w:lang w:eastAsia="cs-CZ" w:bidi="cs-CZ"/>
        </w:rPr>
        <w:t>NRB</w:t>
      </w:r>
      <w:r w:rsidR="00B643E2">
        <w:rPr>
          <w:rFonts w:ascii="Tahoma" w:eastAsia="Times New Roman" w:hAnsi="Tahoma" w:cs="Tahoma"/>
          <w:color w:val="000000"/>
          <w:lang w:eastAsia="cs-CZ" w:bidi="cs-CZ"/>
        </w:rPr>
        <w:t>“</w:t>
      </w:r>
      <w:r w:rsidR="00B643E2" w:rsidRPr="004F2398">
        <w:rPr>
          <w:rFonts w:ascii="Tahoma" w:eastAsia="Times New Roman" w:hAnsi="Tahoma" w:cs="Tahoma"/>
          <w:color w:val="000000"/>
          <w:lang w:eastAsia="cs-CZ" w:bidi="cs-CZ"/>
        </w:rPr>
        <w:t>)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.</w:t>
      </w:r>
    </w:p>
    <w:p w14:paraId="3C6254D2" w14:textId="3E08058F" w:rsidR="009D5878" w:rsidRPr="004F2398" w:rsidRDefault="009D5878" w:rsidP="0013475B">
      <w:pPr>
        <w:widowControl w:val="0"/>
        <w:spacing w:after="120" w:line="302" w:lineRule="exact"/>
        <w:jc w:val="both"/>
        <w:rPr>
          <w:rFonts w:ascii="Tahoma" w:eastAsia="Times New Roman" w:hAnsi="Tahoma" w:cs="Tahoma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Prostřednictvím Operační smlouvy a v souladu s podmínkami v ní stanovenými MS</w:t>
      </w:r>
      <w:r w:rsidR="001C6A7D" w:rsidRPr="004F2398">
        <w:rPr>
          <w:rFonts w:ascii="Tahoma" w:eastAsia="Times New Roman" w:hAnsi="Tahoma" w:cs="Tahoma"/>
          <w:color w:val="000000"/>
          <w:lang w:eastAsia="cs-CZ" w:bidi="cs-CZ"/>
        </w:rPr>
        <w:t>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uplatňuje pohledávky vůči FRM na splácení půjčky a ostatní platby peněžních částek.</w:t>
      </w:r>
    </w:p>
    <w:p w14:paraId="1122B5FB" w14:textId="5BBA5DB4" w:rsidR="009D5878" w:rsidRPr="004F2398" w:rsidRDefault="00B643E2" w:rsidP="0013475B">
      <w:pPr>
        <w:widowControl w:val="0"/>
        <w:spacing w:after="120" w:line="302" w:lineRule="exact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Tímto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>, v souladu s § 1309 a násl. zákona č. 89/2012 Sb., občanský zákoník</w:t>
      </w:r>
      <w:r w:rsidR="001C6A7D" w:rsidRPr="004F2398">
        <w:rPr>
          <w:rFonts w:ascii="Tahoma" w:eastAsia="Times New Roman" w:hAnsi="Tahoma" w:cs="Tahoma"/>
          <w:color w:val="000000"/>
          <w:lang w:eastAsia="cs-CZ" w:bidi="cs-CZ"/>
        </w:rPr>
        <w:t>, ve znění pozdějších předpisů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a s použitím pojmů definovaných a používaných v Operační smlouvě uzavírají následující Smlouvu o zřízení zástavního práva k účtu (</w:t>
      </w:r>
      <w:r w:rsidR="009D5878" w:rsidRPr="00D414C3">
        <w:rPr>
          <w:rFonts w:ascii="Tahoma" w:eastAsia="Times New Roman" w:hAnsi="Tahoma" w:cs="Tahoma"/>
          <w:color w:val="000000"/>
          <w:lang w:eastAsia="cs-CZ" w:bidi="cs-CZ"/>
        </w:rPr>
        <w:t>dále jen „Smlouva</w:t>
      </w:r>
      <w:r w:rsidR="001C6A7D" w:rsidRPr="00D414C3">
        <w:rPr>
          <w:rFonts w:ascii="Tahoma" w:eastAsia="Times New Roman" w:hAnsi="Tahoma" w:cs="Tahoma"/>
          <w:color w:val="000000"/>
          <w:lang w:eastAsia="cs-CZ" w:bidi="cs-CZ"/>
        </w:rPr>
        <w:t>“</w:t>
      </w:r>
      <w:r w:rsidR="009D5878" w:rsidRPr="00D414C3">
        <w:rPr>
          <w:rFonts w:ascii="Tahoma" w:eastAsia="Times New Roman" w:hAnsi="Tahoma" w:cs="Tahoma"/>
          <w:color w:val="000000"/>
          <w:lang w:eastAsia="cs-CZ" w:bidi="cs-CZ"/>
        </w:rPr>
        <w:t>):</w:t>
      </w:r>
    </w:p>
    <w:p w14:paraId="2509EFCE" w14:textId="72C6628B" w:rsidR="009D5878" w:rsidRPr="004F2398" w:rsidRDefault="009D5878" w:rsidP="00A1573C">
      <w:pPr>
        <w:pStyle w:val="Heading10"/>
        <w:shd w:val="clear" w:color="auto" w:fill="auto"/>
        <w:spacing w:before="480" w:after="240" w:line="264" w:lineRule="exact"/>
        <w:rPr>
          <w:rFonts w:ascii="Tahoma" w:eastAsia="Times New Roman" w:hAnsi="Tahoma" w:cs="Tahoma"/>
          <w:color w:val="000000"/>
          <w:lang w:eastAsia="cs-CZ" w:bidi="cs-CZ"/>
        </w:rPr>
      </w:pPr>
      <w:bookmarkStart w:id="0" w:name="bookmark1"/>
      <w:r w:rsidRPr="004F2398">
        <w:rPr>
          <w:rFonts w:ascii="Tahoma" w:eastAsia="Times New Roman" w:hAnsi="Tahoma" w:cs="Tahoma"/>
          <w:color w:val="000000"/>
          <w:lang w:eastAsia="cs-CZ" w:bidi="cs-CZ"/>
        </w:rPr>
        <w:t>I.</w:t>
      </w:r>
      <w:bookmarkEnd w:id="0"/>
      <w:r w:rsidR="00A1573C" w:rsidRPr="004F2398">
        <w:rPr>
          <w:rFonts w:ascii="Tahoma" w:eastAsia="Times New Roman" w:hAnsi="Tahoma" w:cs="Tahoma"/>
          <w:color w:val="000000"/>
          <w:lang w:eastAsia="cs-CZ" w:bidi="cs-CZ"/>
        </w:rPr>
        <w:br/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Záruka, zajištění pohledávky, zřízení zástavy (Zástavní právo k účtu)</w:t>
      </w:r>
    </w:p>
    <w:p w14:paraId="324AA103" w14:textId="77023C12" w:rsidR="009D5878" w:rsidRPr="004F2398" w:rsidRDefault="009D5878" w:rsidP="0056628B">
      <w:pPr>
        <w:widowControl w:val="0"/>
        <w:numPr>
          <w:ilvl w:val="0"/>
          <w:numId w:val="4"/>
        </w:numPr>
        <w:tabs>
          <w:tab w:val="left" w:pos="540"/>
        </w:tabs>
        <w:spacing w:before="120" w:after="60" w:line="264" w:lineRule="exact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 souladu s Operační smlouvou má FRM otevřen následující bankovní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účet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u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>NRB</w:t>
      </w:r>
      <w:r w:rsidR="004F2398" w:rsidRPr="00D414C3" w:rsidDel="004F2398">
        <w:rPr>
          <w:rFonts w:ascii="Tahoma" w:eastAsia="Times New Roman" w:hAnsi="Tahoma" w:cs="Tahoma"/>
          <w:color w:val="000000"/>
          <w:lang w:val="en-US" w:bidi="en-US"/>
        </w:rPr>
        <w:t xml:space="preserve">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(dále </w:t>
      </w:r>
      <w:proofErr w:type="gramStart"/>
      <w:r w:rsidRPr="004F2398">
        <w:rPr>
          <w:rFonts w:ascii="Tahoma" w:eastAsia="Times New Roman" w:hAnsi="Tahoma" w:cs="Tahoma"/>
          <w:color w:val="000000"/>
          <w:lang w:eastAsia="cs-CZ" w:bidi="cs-CZ"/>
        </w:rPr>
        <w:t>jen ,,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>Účet</w:t>
      </w:r>
      <w:proofErr w:type="gramEnd"/>
      <w:r w:rsidRPr="004F2398">
        <w:rPr>
          <w:rFonts w:ascii="Tahoma" w:eastAsia="Times New Roman" w:hAnsi="Tahoma" w:cs="Tahoma"/>
          <w:color w:val="000000"/>
          <w:lang w:eastAsia="cs-CZ" w:bidi="cs-CZ"/>
        </w:rPr>
        <w:t>“):</w:t>
      </w:r>
    </w:p>
    <w:p w14:paraId="1C1EA882" w14:textId="5CC42926" w:rsidR="009D5878" w:rsidRPr="004F2398" w:rsidRDefault="009D5878" w:rsidP="004F2398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Rezervní účet č. </w:t>
      </w:r>
      <w:r w:rsidR="004F2398" w:rsidRPr="00D414C3">
        <w:rPr>
          <w:rStyle w:val="Bodytext2Italic"/>
          <w:rFonts w:ascii="Tahoma" w:eastAsiaTheme="minorHAnsi" w:hAnsi="Tahoma" w:cs="Tahoma"/>
          <w:i w:val="0"/>
        </w:rPr>
        <w:t>279200105/4300</w:t>
      </w:r>
    </w:p>
    <w:p w14:paraId="5F333B0C" w14:textId="6476986C" w:rsidR="009D5878" w:rsidRPr="004F2398" w:rsidRDefault="009D5878" w:rsidP="00463185">
      <w:pPr>
        <w:pStyle w:val="Bodytext20"/>
        <w:shd w:val="clear" w:color="auto" w:fill="auto"/>
        <w:spacing w:before="120" w:after="120" w:line="264" w:lineRule="exact"/>
        <w:ind w:left="357" w:firstLine="0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Prostřednictvím příslušných smluv o bankovních účtech uzavřených mezi FRM 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a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a v souladu s jejich podmínkami FRM může a bude moci uplatňovat vůči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NRB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pohledávky na výplatu kladných zůstatků na Účt</w:t>
      </w:r>
      <w:r w:rsidR="006D580C">
        <w:rPr>
          <w:rFonts w:ascii="Tahoma" w:eastAsia="Times New Roman" w:hAnsi="Tahoma" w:cs="Tahoma"/>
          <w:color w:val="000000"/>
          <w:lang w:eastAsia="cs-CZ" w:bidi="cs-CZ"/>
        </w:rPr>
        <w:t>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, zatímco se kladné zůstatky čas od času mění, včetně všech vedlejších práv (všechny takové současné a budoucí pohledávky jsou zde dále nazývány společně jako „Pohledávky FRM z účt</w:t>
      </w:r>
      <w:r w:rsidR="006D580C">
        <w:rPr>
          <w:rFonts w:ascii="Tahoma" w:eastAsia="Times New Roman" w:hAnsi="Tahoma" w:cs="Tahoma"/>
          <w:color w:val="000000"/>
          <w:lang w:eastAsia="cs-CZ" w:bidi="cs-CZ"/>
        </w:rPr>
        <w:t>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“).</w:t>
      </w:r>
    </w:p>
    <w:p w14:paraId="4B6D2190" w14:textId="47FBFB5C" w:rsidR="009D5878" w:rsidRPr="004F2398" w:rsidRDefault="009D5878" w:rsidP="00A1573C">
      <w:pPr>
        <w:widowControl w:val="0"/>
        <w:numPr>
          <w:ilvl w:val="0"/>
          <w:numId w:val="4"/>
        </w:numPr>
        <w:tabs>
          <w:tab w:val="left" w:pos="540"/>
        </w:tabs>
        <w:spacing w:before="120" w:after="60" w:line="264" w:lineRule="exact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Prostřednictvím Operační smlouvy a v souladu s jejími podmínkami může </w:t>
      </w:r>
      <w:r w:rsidR="006A0C87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vůči FRM uplatňovat pohledávky, které vzniknou po dobu účinnosti Operační smlouvy, na splacení půjčky a úroků z půjčky a na ostatní platby a peněžní částky, včetně zejména výplat (i) kladných zůstatků na účtech, (</w:t>
      </w:r>
      <w:proofErr w:type="spellStart"/>
      <w:r w:rsidRPr="004F2398">
        <w:rPr>
          <w:rFonts w:ascii="Tahoma" w:eastAsia="Times New Roman" w:hAnsi="Tahoma" w:cs="Tahoma"/>
          <w:color w:val="000000"/>
          <w:lang w:eastAsia="cs-CZ" w:bidi="cs-CZ"/>
        </w:rPr>
        <w:t>ii</w:t>
      </w:r>
      <w:proofErr w:type="spellEnd"/>
      <w:r w:rsidRPr="004F2398">
        <w:rPr>
          <w:rFonts w:ascii="Tahoma" w:eastAsia="Times New Roman" w:hAnsi="Tahoma" w:cs="Tahoma"/>
          <w:color w:val="000000"/>
          <w:lang w:eastAsia="cs-CZ" w:bidi="cs-CZ"/>
        </w:rPr>
        <w:t>) náhrady škod způsobených porušením závazků ze strany FRM, (</w:t>
      </w:r>
      <w:proofErr w:type="spellStart"/>
      <w:r w:rsidRPr="004F2398">
        <w:rPr>
          <w:rFonts w:ascii="Tahoma" w:eastAsia="Times New Roman" w:hAnsi="Tahoma" w:cs="Tahoma"/>
          <w:color w:val="000000"/>
          <w:lang w:eastAsia="cs-CZ" w:bidi="cs-CZ"/>
        </w:rPr>
        <w:t>iii</w:t>
      </w:r>
      <w:proofErr w:type="spellEnd"/>
      <w:r w:rsidRPr="004F2398">
        <w:rPr>
          <w:rFonts w:ascii="Tahoma" w:eastAsia="Times New Roman" w:hAnsi="Tahoma" w:cs="Tahoma"/>
          <w:color w:val="000000"/>
          <w:lang w:eastAsia="cs-CZ" w:bidi="cs-CZ"/>
        </w:rPr>
        <w:t>) úroky z prodlení a (</w:t>
      </w:r>
      <w:proofErr w:type="spellStart"/>
      <w:r w:rsidRPr="004F2398">
        <w:rPr>
          <w:rFonts w:ascii="Tahoma" w:eastAsia="Times New Roman" w:hAnsi="Tahoma" w:cs="Tahoma"/>
          <w:color w:val="000000"/>
          <w:lang w:eastAsia="cs-CZ" w:bidi="cs-CZ"/>
        </w:rPr>
        <w:t>iv</w:t>
      </w:r>
      <w:proofErr w:type="spellEnd"/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) pokuty, včetně všech vedlejších práv (všechny takové současné, budoucí a podmíněné pohledávky jsou dále společně nazývány jako „Pohledávky </w:t>
      </w:r>
      <w:r w:rsidR="003C5BF8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 Operační smlouvy</w:t>
      </w:r>
      <w:r w:rsidR="003C5BF8" w:rsidRPr="004F2398">
        <w:rPr>
          <w:rFonts w:ascii="Tahoma" w:eastAsia="Times New Roman" w:hAnsi="Tahoma" w:cs="Tahoma"/>
          <w:color w:val="000000"/>
          <w:lang w:eastAsia="cs-CZ" w:bidi="cs-CZ"/>
        </w:rPr>
        <w:t>“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).</w:t>
      </w:r>
    </w:p>
    <w:p w14:paraId="34AD61DD" w14:textId="34C266B0" w:rsidR="009D5878" w:rsidRPr="004F2398" w:rsidRDefault="009D5878" w:rsidP="00A1573C">
      <w:pPr>
        <w:widowControl w:val="0"/>
        <w:numPr>
          <w:ilvl w:val="0"/>
          <w:numId w:val="4"/>
        </w:numPr>
        <w:tabs>
          <w:tab w:val="left" w:pos="540"/>
        </w:tabs>
        <w:spacing w:before="120" w:after="60" w:line="264" w:lineRule="exact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FRM tímto zastavuje Pohledávky FRM z účt</w:t>
      </w:r>
      <w:r w:rsidR="006D580C">
        <w:rPr>
          <w:rFonts w:ascii="Tahoma" w:eastAsia="Times New Roman" w:hAnsi="Tahoma" w:cs="Tahoma"/>
          <w:color w:val="000000"/>
          <w:lang w:eastAsia="cs-CZ" w:bidi="cs-CZ"/>
        </w:rPr>
        <w:t>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ve prospěch </w:t>
      </w:r>
      <w:r w:rsidR="003C5BF8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na zajištění Pohledávek </w:t>
      </w:r>
      <w:r w:rsidR="003C5BF8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 Operační smlouvy a </w:t>
      </w:r>
      <w:r w:rsidR="003C5BF8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tuto zástavu přijímá (dále jen „Zástavní právo k účtu“).</w:t>
      </w:r>
    </w:p>
    <w:p w14:paraId="05172F0E" w14:textId="3A6C8C07" w:rsidR="009D5878" w:rsidRPr="004F2398" w:rsidRDefault="009D5878" w:rsidP="00A1573C">
      <w:pPr>
        <w:pStyle w:val="Heading10"/>
        <w:shd w:val="clear" w:color="auto" w:fill="auto"/>
        <w:spacing w:before="480" w:after="240" w:line="264" w:lineRule="exact"/>
        <w:rPr>
          <w:rFonts w:ascii="Tahoma" w:eastAsia="Times New Roman" w:hAnsi="Tahoma" w:cs="Tahoma"/>
          <w:color w:val="000000"/>
          <w:lang w:eastAsia="cs-CZ" w:bidi="cs-CZ"/>
        </w:rPr>
      </w:pPr>
      <w:bookmarkStart w:id="1" w:name="bookmark2"/>
      <w:r w:rsidRPr="004F2398">
        <w:rPr>
          <w:rFonts w:ascii="Tahoma" w:eastAsia="Times New Roman" w:hAnsi="Tahoma" w:cs="Tahoma"/>
          <w:color w:val="000000"/>
          <w:lang w:eastAsia="cs-CZ" w:bidi="cs-CZ"/>
        </w:rPr>
        <w:t>II.</w:t>
      </w:r>
      <w:bookmarkStart w:id="2" w:name="bookmark3"/>
      <w:bookmarkEnd w:id="1"/>
      <w:r w:rsidR="00A1573C" w:rsidRPr="004F2398">
        <w:rPr>
          <w:rFonts w:ascii="Tahoma" w:eastAsia="Times New Roman" w:hAnsi="Tahoma" w:cs="Tahoma"/>
          <w:color w:val="000000"/>
          <w:lang w:eastAsia="cs-CZ" w:bidi="cs-CZ"/>
        </w:rPr>
        <w:br/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Prohlášení a záruky, závazky</w:t>
      </w:r>
      <w:bookmarkEnd w:id="2"/>
    </w:p>
    <w:p w14:paraId="6574F24B" w14:textId="738D150D" w:rsidR="009D5878" w:rsidRPr="004F2398" w:rsidRDefault="009D5878" w:rsidP="00A1573C">
      <w:pPr>
        <w:widowControl w:val="0"/>
        <w:numPr>
          <w:ilvl w:val="0"/>
          <w:numId w:val="9"/>
        </w:numPr>
        <w:tabs>
          <w:tab w:val="left" w:pos="540"/>
        </w:tabs>
        <w:spacing w:before="120" w:after="60" w:line="264" w:lineRule="exact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FRM tímto prohlašuje a zaručuje </w:t>
      </w:r>
      <w:r w:rsidR="00E91AC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následující:</w:t>
      </w:r>
    </w:p>
    <w:p w14:paraId="528008A7" w14:textId="20EA46A8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Pohledávky FRM z účt</w:t>
      </w:r>
      <w:r w:rsidR="006D580C">
        <w:rPr>
          <w:rFonts w:ascii="Tahoma" w:eastAsia="Times New Roman" w:hAnsi="Tahoma" w:cs="Tahoma"/>
          <w:color w:val="000000"/>
          <w:lang w:eastAsia="cs-CZ" w:bidi="cs-CZ"/>
        </w:rPr>
        <w:t>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nejsou zatíženy žádným zástavním právem nebo právy třetích stran.</w:t>
      </w:r>
    </w:p>
    <w:p w14:paraId="14D8CD9B" w14:textId="054953A3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Uvedení v platnost a plnění Smlouvy není v rozporu s žádným závazkem FRM.</w:t>
      </w:r>
    </w:p>
    <w:p w14:paraId="5C546C1A" w14:textId="2B8EE7A5" w:rsidR="009D5878" w:rsidRPr="004F2398" w:rsidRDefault="009D5878" w:rsidP="00A1573C">
      <w:pPr>
        <w:widowControl w:val="0"/>
        <w:numPr>
          <w:ilvl w:val="0"/>
          <w:numId w:val="9"/>
        </w:numPr>
        <w:tabs>
          <w:tab w:val="left" w:pos="540"/>
        </w:tabs>
        <w:spacing w:before="120" w:after="60" w:line="264" w:lineRule="exact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FRM se tímto zavazuje vůči </w:t>
      </w:r>
      <w:r w:rsidR="001F397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k následujícímu:</w:t>
      </w:r>
    </w:p>
    <w:p w14:paraId="2DC41583" w14:textId="07C6EB10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Uvědomí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o zřízení Zástavního práva k účtu ve </w:t>
      </w:r>
      <w:r w:rsidRPr="00C93354">
        <w:rPr>
          <w:rFonts w:ascii="Tahoma" w:eastAsia="Times New Roman" w:hAnsi="Tahoma" w:cs="Tahoma"/>
          <w:color w:val="000000"/>
          <w:lang w:eastAsia="cs-CZ" w:bidi="cs-CZ"/>
        </w:rPr>
        <w:t>formě listiny připojené v příloze,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zajistí, aby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NRB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potvrdila zřízení Zástavního práva k účtu tím, že podepíše oznámení a </w:t>
      </w:r>
      <w:proofErr w:type="gramStart"/>
      <w:r w:rsidRPr="004F2398">
        <w:rPr>
          <w:rFonts w:ascii="Tahoma" w:eastAsia="Times New Roman" w:hAnsi="Tahoma" w:cs="Tahoma"/>
          <w:color w:val="000000"/>
          <w:lang w:eastAsia="cs-CZ" w:bidi="cs-CZ"/>
        </w:rPr>
        <w:lastRenderedPageBreak/>
        <w:t>doručí</w:t>
      </w:r>
      <w:proofErr w:type="gramEnd"/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podepsané oznámení </w:t>
      </w:r>
      <w:r w:rsidR="001F397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do 15 dnů od uzavření Smlouvy.</w:t>
      </w:r>
    </w:p>
    <w:p w14:paraId="567A03ED" w14:textId="6531785C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S výjimkou tohoto Zástavního práva k účtu se </w:t>
      </w:r>
      <w:proofErr w:type="gramStart"/>
      <w:r w:rsidRPr="004F2398">
        <w:rPr>
          <w:rFonts w:ascii="Tahoma" w:eastAsia="Times New Roman" w:hAnsi="Tahoma" w:cs="Tahoma"/>
          <w:color w:val="000000"/>
          <w:lang w:eastAsia="cs-CZ" w:bidi="cs-CZ"/>
        </w:rPr>
        <w:t>zdrží</w:t>
      </w:r>
      <w:proofErr w:type="gramEnd"/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zřízení zástavní práva nebo jiného práva třetích stran v souvislosti s Pohledávkami FRM z účt</w:t>
      </w:r>
      <w:r w:rsidR="006D580C">
        <w:rPr>
          <w:rFonts w:ascii="Tahoma" w:eastAsia="Times New Roman" w:hAnsi="Tahoma" w:cs="Tahoma"/>
          <w:color w:val="000000"/>
          <w:lang w:eastAsia="cs-CZ" w:bidi="cs-CZ"/>
        </w:rPr>
        <w:t>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.</w:t>
      </w:r>
    </w:p>
    <w:p w14:paraId="21F583ED" w14:textId="372B00B5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Bude řádně plnit své povinnosti </w:t>
      </w:r>
      <w:r w:rsidR="005A73CB">
        <w:rPr>
          <w:rFonts w:ascii="Tahoma" w:eastAsia="Times New Roman" w:hAnsi="Tahoma" w:cs="Tahoma"/>
          <w:color w:val="000000"/>
          <w:lang w:eastAsia="cs-CZ" w:bidi="cs-CZ"/>
        </w:rPr>
        <w:t xml:space="preserve">vůči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NRB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a </w:t>
      </w:r>
      <w:proofErr w:type="gramStart"/>
      <w:r w:rsidRPr="004F2398">
        <w:rPr>
          <w:rFonts w:ascii="Tahoma" w:eastAsia="Times New Roman" w:hAnsi="Tahoma" w:cs="Tahoma"/>
          <w:color w:val="000000"/>
          <w:lang w:eastAsia="cs-CZ" w:bidi="cs-CZ"/>
        </w:rPr>
        <w:t>zdrží</w:t>
      </w:r>
      <w:proofErr w:type="gramEnd"/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se jednání, které by mohlo </w:t>
      </w:r>
      <w:r w:rsidR="004F2398" w:rsidRPr="004F2398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opravňovat k uzavření jakéhokoliv účtu.</w:t>
      </w:r>
    </w:p>
    <w:p w14:paraId="62D2D2FE" w14:textId="5F65CD4D" w:rsidR="009D5878" w:rsidRPr="006D580C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6D580C">
        <w:rPr>
          <w:rFonts w:ascii="Tahoma" w:eastAsia="Times New Roman" w:hAnsi="Tahoma" w:cs="Tahoma"/>
          <w:color w:val="000000"/>
          <w:lang w:eastAsia="cs-CZ" w:bidi="cs-CZ"/>
        </w:rPr>
        <w:t xml:space="preserve">Zřídí ve prospěch </w:t>
      </w:r>
      <w:r w:rsidR="001F3975" w:rsidRPr="006D580C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6D580C">
        <w:rPr>
          <w:rFonts w:ascii="Tahoma" w:eastAsia="Times New Roman" w:hAnsi="Tahoma" w:cs="Tahoma"/>
          <w:color w:val="000000"/>
          <w:lang w:eastAsia="cs-CZ" w:bidi="cs-CZ"/>
        </w:rPr>
        <w:t xml:space="preserve"> právo na elektronický přístup k výpisům z 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Ú</w:t>
      </w:r>
      <w:r w:rsidRPr="006D580C">
        <w:rPr>
          <w:rFonts w:ascii="Tahoma" w:eastAsia="Times New Roman" w:hAnsi="Tahoma" w:cs="Tahoma"/>
          <w:color w:val="000000"/>
          <w:lang w:eastAsia="cs-CZ" w:bidi="cs-CZ"/>
        </w:rPr>
        <w:t>čtu a podpisová práva, která umožní realizaci Zástavního práva k účtu a bude tato práva udržovat v platnosti po celou dobu platnosti Operační smlouvy.</w:t>
      </w:r>
    </w:p>
    <w:p w14:paraId="4CF54772" w14:textId="5F81F0E4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Bude ihned informovat </w:t>
      </w:r>
      <w:r w:rsidR="001F397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o všech okolnostech týkajících se 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Účtu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, které by mohly mít negativní dopad na Zástavní právo k účtu.</w:t>
      </w:r>
    </w:p>
    <w:p w14:paraId="78C2ACD6" w14:textId="11D42D6F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Učiní veškerá opatření, která od něj mohou být spravedlivě požadována na ochranu Zástavního práva k účtu a práva </w:t>
      </w:r>
      <w:r w:rsidR="001F397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realizovat Zástavní právo k účtu proti pohledávkám jakýchkoli třetích stran.</w:t>
      </w:r>
    </w:p>
    <w:p w14:paraId="334D2A00" w14:textId="6FF9EFBE" w:rsidR="009D5878" w:rsidRPr="004F2398" w:rsidRDefault="009D5878" w:rsidP="00A1573C">
      <w:pPr>
        <w:pStyle w:val="Heading10"/>
        <w:shd w:val="clear" w:color="auto" w:fill="auto"/>
        <w:spacing w:before="480" w:after="240" w:line="264" w:lineRule="exact"/>
        <w:rPr>
          <w:rFonts w:ascii="Tahoma" w:eastAsia="Times New Roman" w:hAnsi="Tahoma" w:cs="Tahoma"/>
          <w:color w:val="000000"/>
          <w:lang w:eastAsia="cs-CZ" w:bidi="cs-CZ"/>
        </w:rPr>
      </w:pPr>
      <w:bookmarkStart w:id="3" w:name="bookmark4"/>
      <w:r w:rsidRPr="004F2398">
        <w:rPr>
          <w:rFonts w:ascii="Tahoma" w:eastAsia="Times New Roman" w:hAnsi="Tahoma" w:cs="Tahoma"/>
          <w:color w:val="000000"/>
          <w:lang w:val="en-US" w:bidi="en-US"/>
        </w:rPr>
        <w:t>I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II.</w:t>
      </w:r>
      <w:bookmarkStart w:id="4" w:name="bookmark5"/>
      <w:bookmarkEnd w:id="3"/>
      <w:r w:rsidR="00A1573C" w:rsidRPr="004F2398">
        <w:rPr>
          <w:rFonts w:ascii="Tahoma" w:eastAsia="Times New Roman" w:hAnsi="Tahoma" w:cs="Tahoma"/>
          <w:color w:val="000000"/>
          <w:lang w:eastAsia="cs-CZ" w:bidi="cs-CZ"/>
        </w:rPr>
        <w:br/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Realizace Zástavního práva k účtu</w:t>
      </w:r>
      <w:bookmarkEnd w:id="4"/>
    </w:p>
    <w:p w14:paraId="32511240" w14:textId="48770E7D" w:rsidR="009D5878" w:rsidRPr="004F2398" w:rsidRDefault="009D5878" w:rsidP="00A1573C">
      <w:pPr>
        <w:widowControl w:val="0"/>
        <w:numPr>
          <w:ilvl w:val="0"/>
          <w:numId w:val="10"/>
        </w:numPr>
        <w:tabs>
          <w:tab w:val="left" w:pos="540"/>
        </w:tabs>
        <w:spacing w:before="120" w:after="0" w:line="264" w:lineRule="exact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Vždy když a v rozsahu, v němž FRM řádně nesplní požadavky </w:t>
      </w:r>
      <w:r w:rsidR="001F397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vyplývající z Operační smlouvy:</w:t>
      </w:r>
    </w:p>
    <w:p w14:paraId="6B35E954" w14:textId="4B92BB67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FRM může použít kladný </w:t>
      </w:r>
      <w:r w:rsidRPr="006D580C">
        <w:rPr>
          <w:rFonts w:ascii="Tahoma" w:eastAsia="Times New Roman" w:hAnsi="Tahoma" w:cs="Tahoma"/>
          <w:color w:val="000000"/>
          <w:lang w:eastAsia="cs-CZ" w:bidi="cs-CZ"/>
        </w:rPr>
        <w:t xml:space="preserve">zůstatek na účtech pouze na základě předchozího písemného souhlasu od </w:t>
      </w:r>
      <w:r w:rsidR="004F2398" w:rsidRPr="006D580C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6D580C">
        <w:rPr>
          <w:rFonts w:ascii="Tahoma" w:eastAsia="Times New Roman" w:hAnsi="Tahoma" w:cs="Tahoma"/>
          <w:color w:val="000000"/>
          <w:lang w:eastAsia="cs-CZ" w:bidi="cs-CZ"/>
        </w:rPr>
        <w:t>. To platí pro jakékoliv použití kladného zůstatku, bez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ohledu na to, zde je vytvořen na základě nových nebo předchozích příkazů nebo jiného disponování s účtem ze strany FRM</w:t>
      </w:r>
      <w:r w:rsidR="002C223A">
        <w:rPr>
          <w:rFonts w:ascii="Tahoma" w:eastAsia="Times New Roman" w:hAnsi="Tahoma" w:cs="Tahoma"/>
          <w:color w:val="000000"/>
          <w:lang w:eastAsia="cs-CZ" w:bidi="cs-CZ"/>
        </w:rPr>
        <w:t>, s výjimkou příkazů ve prospěch účtu MSK 2112514953/2700.</w:t>
      </w:r>
    </w:p>
    <w:p w14:paraId="0E4531AE" w14:textId="0696B50F" w:rsidR="009D5878" w:rsidRPr="004F2398" w:rsidRDefault="009D5878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Pokud dojde k takovému případu, FRM se zavazuje tuto skutečnost okamžitě oznámit </w:t>
      </w:r>
      <w:r w:rsidR="004F2398" w:rsidRPr="004F2398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a doručit důkaz o něm </w:t>
      </w:r>
      <w:r w:rsidR="0035133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ihned poté; právo </w:t>
      </w:r>
      <w:r w:rsidR="0035133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na oznámení takové skutečnosti </w:t>
      </w:r>
      <w:r w:rsidR="004F2398" w:rsidRPr="004F2398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je tím nedotčeno.</w:t>
      </w:r>
    </w:p>
    <w:p w14:paraId="0F8FA4EC" w14:textId="5EACB5A6" w:rsidR="009D5878" w:rsidRPr="004F2398" w:rsidRDefault="00351335" w:rsidP="00A1573C">
      <w:pPr>
        <w:widowControl w:val="0"/>
        <w:numPr>
          <w:ilvl w:val="0"/>
          <w:numId w:val="2"/>
        </w:numPr>
        <w:tabs>
          <w:tab w:val="left" w:pos="1101"/>
        </w:tabs>
        <w:spacing w:after="0" w:line="264" w:lineRule="exact"/>
        <w:ind w:left="714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má právo použít kladný zůstatek na 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Účtu</w:t>
      </w:r>
      <w:r w:rsidR="00D9057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>na uspokojení jednotlivých Pohledávek MS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K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 Operační smlouvy a činit tak opakovaně, dokud nebude pohledávka plně uspokojena.</w:t>
      </w:r>
    </w:p>
    <w:p w14:paraId="14B6BADE" w14:textId="778B8E6A" w:rsidR="009D5878" w:rsidRPr="004F2398" w:rsidRDefault="009D5878" w:rsidP="00A1573C">
      <w:pPr>
        <w:widowControl w:val="0"/>
        <w:numPr>
          <w:ilvl w:val="0"/>
          <w:numId w:val="10"/>
        </w:numPr>
        <w:tabs>
          <w:tab w:val="left" w:pos="540"/>
        </w:tabs>
        <w:spacing w:before="120" w:after="0" w:line="264" w:lineRule="exact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FRM se zavazuje n</w:t>
      </w:r>
      <w:r w:rsidRPr="004F2398">
        <w:rPr>
          <w:rFonts w:ascii="Tahoma" w:hAnsi="Tahoma" w:cs="Tahoma"/>
        </w:rPr>
        <w:t>ah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radit </w:t>
      </w:r>
      <w:r w:rsidR="0035133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veškeré náklady a výdaje vynaložené </w:t>
      </w:r>
      <w:r w:rsidR="0035133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v souvislosti s realizací Zástavního práva k účtu nebo se zachováním práv vyplývajících ze Smlouvy. Na žádost FRM se </w:t>
      </w:r>
      <w:r w:rsidR="0035133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zavazuje učinit veškeré kroky, které od ní FRM může důvodně požadovat k tomu, aby prokázala vypršení Zástavního práva k účtu poté, co budou kompletně a definitivně splněny Pohledávky </w:t>
      </w:r>
      <w:r w:rsidR="00351335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 Operační smlouvy.</w:t>
      </w:r>
    </w:p>
    <w:p w14:paraId="3FFCACAD" w14:textId="7D89D391" w:rsidR="009D5878" w:rsidRPr="004F2398" w:rsidRDefault="009D5878" w:rsidP="00A1573C">
      <w:pPr>
        <w:pStyle w:val="Heading10"/>
        <w:shd w:val="clear" w:color="auto" w:fill="auto"/>
        <w:spacing w:before="480" w:after="240" w:line="264" w:lineRule="exact"/>
        <w:rPr>
          <w:rFonts w:ascii="Tahoma" w:eastAsia="Times New Roman" w:hAnsi="Tahoma" w:cs="Tahoma"/>
          <w:color w:val="000000"/>
          <w:lang w:eastAsia="cs-CZ" w:bidi="cs-CZ"/>
        </w:rPr>
      </w:pPr>
      <w:bookmarkStart w:id="5" w:name="bookmark6"/>
      <w:r w:rsidRPr="004F2398">
        <w:rPr>
          <w:rFonts w:ascii="Tahoma" w:eastAsia="Times New Roman" w:hAnsi="Tahoma" w:cs="Tahoma"/>
          <w:color w:val="000000"/>
          <w:lang w:eastAsia="cs-CZ" w:bidi="cs-CZ"/>
        </w:rPr>
        <w:t>IV.</w:t>
      </w:r>
      <w:bookmarkEnd w:id="5"/>
      <w:r w:rsidR="00A1573C" w:rsidRPr="004F2398">
        <w:rPr>
          <w:rFonts w:ascii="Tahoma" w:eastAsia="Times New Roman" w:hAnsi="Tahoma" w:cs="Tahoma"/>
          <w:color w:val="000000"/>
          <w:lang w:eastAsia="cs-CZ" w:bidi="cs-CZ"/>
        </w:rPr>
        <w:br/>
      </w:r>
      <w:r w:rsidR="003636DE" w:rsidRPr="004F2398">
        <w:rPr>
          <w:rFonts w:ascii="Tahoma" w:eastAsia="Times New Roman" w:hAnsi="Tahoma" w:cs="Tahoma"/>
          <w:color w:val="000000"/>
          <w:lang w:eastAsia="cs-CZ" w:bidi="cs-CZ"/>
        </w:rPr>
        <w:t>Závěrečná ustanovení</w:t>
      </w:r>
    </w:p>
    <w:p w14:paraId="29FB415F" w14:textId="027DA0E1" w:rsidR="00C4018B" w:rsidRPr="004F2398" w:rsidRDefault="00C4018B" w:rsidP="00C4018B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hAnsi="Tahoma" w:cs="Tahoma"/>
        </w:rPr>
        <w:t>FRM není oprávněn</w:t>
      </w:r>
      <w:r w:rsidR="00840D29" w:rsidRPr="004F2398">
        <w:rPr>
          <w:rFonts w:ascii="Tahoma" w:hAnsi="Tahoma" w:cs="Tahoma"/>
        </w:rPr>
        <w:t>o</w:t>
      </w:r>
      <w:r w:rsidRPr="004F2398">
        <w:rPr>
          <w:rFonts w:ascii="Tahoma" w:hAnsi="Tahoma" w:cs="Tahoma"/>
        </w:rPr>
        <w:t xml:space="preserve"> tuto Smlouvu vypovědět ani od ní odstoupit. </w:t>
      </w:r>
    </w:p>
    <w:p w14:paraId="5B793041" w14:textId="4C959186" w:rsidR="009D5878" w:rsidRPr="004F2398" w:rsidRDefault="009D5878" w:rsidP="002C508F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Tato Smlouva a veškeré mimosmluvní závazky zní vyplývající nebo s ní spojené se řídí českým právním řádem.</w:t>
      </w:r>
    </w:p>
    <w:p w14:paraId="72D56A7D" w14:textId="1E76B9C5" w:rsidR="008E66CD" w:rsidRPr="004F2398" w:rsidRDefault="00351335" w:rsidP="002C508F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Tato 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Smlouva nabývá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platnosti 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>okamžikem podpisu oběma smluvními stranami</w:t>
      </w:r>
      <w:r w:rsidR="00A8259F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a </w:t>
      </w:r>
      <w:r w:rsidR="00A8259F" w:rsidRPr="004F2398">
        <w:rPr>
          <w:rFonts w:ascii="Tahoma" w:hAnsi="Tahoma" w:cs="Tahoma"/>
          <w:lang w:eastAsia="ar-SA"/>
        </w:rPr>
        <w:t xml:space="preserve">účinnosti </w:t>
      </w:r>
      <w:r w:rsidR="008E66CD" w:rsidRPr="004F2398">
        <w:rPr>
          <w:rFonts w:ascii="Tahoma" w:hAnsi="Tahoma" w:cs="Tahoma"/>
          <w:lang w:eastAsia="ar-SA"/>
        </w:rPr>
        <w:t xml:space="preserve">uveřejněním v registru smluv dle </w:t>
      </w:r>
      <w:r w:rsidR="00A8259F" w:rsidRPr="004F2398">
        <w:rPr>
          <w:rFonts w:ascii="Tahoma" w:hAnsi="Tahoma" w:cs="Tahoma"/>
          <w:lang w:eastAsia="ar-SA"/>
        </w:rPr>
        <w:t>zákon</w:t>
      </w:r>
      <w:r w:rsidR="008E66CD" w:rsidRPr="004F2398">
        <w:rPr>
          <w:rFonts w:ascii="Tahoma" w:hAnsi="Tahoma" w:cs="Tahoma"/>
          <w:lang w:eastAsia="ar-SA"/>
        </w:rPr>
        <w:t>a</w:t>
      </w:r>
      <w:r w:rsidR="00A8259F" w:rsidRPr="004F2398">
        <w:rPr>
          <w:rFonts w:ascii="Tahoma" w:hAnsi="Tahoma" w:cs="Tahoma"/>
          <w:lang w:eastAsia="ar-SA"/>
        </w:rPr>
        <w:t xml:space="preserve"> č. 340/2015 Sb., o zvláštních podmínkách účinnosti některých smluv, uveřejňování těchto smluv a o registru smluv (zákon o registru smluv), ve znění pozdějších předpisů (dále jen „zákon o registru smluv“)</w:t>
      </w:r>
      <w:r w:rsidR="009D5878" w:rsidRPr="004F2398">
        <w:rPr>
          <w:rFonts w:ascii="Tahoma" w:eastAsia="Times New Roman" w:hAnsi="Tahoma" w:cs="Tahoma"/>
          <w:color w:val="000000"/>
          <w:lang w:eastAsia="cs-CZ" w:bidi="cs-CZ"/>
        </w:rPr>
        <w:t>.</w:t>
      </w:r>
      <w:r w:rsidR="000D70C5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Uveřejnění v registru smluv provede MSK.</w:t>
      </w:r>
    </w:p>
    <w:p w14:paraId="4765BE3A" w14:textId="77777777" w:rsidR="00153746" w:rsidRPr="004F2398" w:rsidRDefault="009D5878" w:rsidP="002C508F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Jakékoliv změny této </w:t>
      </w:r>
      <w:r w:rsidR="0009309D" w:rsidRPr="004F2398">
        <w:rPr>
          <w:rFonts w:ascii="Tahoma" w:eastAsia="Times New Roman" w:hAnsi="Tahoma" w:cs="Tahoma"/>
          <w:color w:val="000000"/>
          <w:lang w:eastAsia="cs-CZ" w:bidi="cs-CZ"/>
        </w:rPr>
        <w:t>S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mlouvy lze činit pouze písemnými dodatky uzavřenými oběma stranami.</w:t>
      </w:r>
    </w:p>
    <w:p w14:paraId="67EC17F5" w14:textId="736A4E70" w:rsidR="009D5878" w:rsidRPr="004F2398" w:rsidRDefault="009D5878" w:rsidP="002C508F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lastRenderedPageBreak/>
        <w:t xml:space="preserve">Smlouva byla vyhotovena ve třech stejnopisech, z nichž každá smluvní strana </w:t>
      </w:r>
      <w:r w:rsidRPr="004F2398">
        <w:rPr>
          <w:rFonts w:ascii="Tahoma" w:eastAsia="Times New Roman" w:hAnsi="Tahoma" w:cs="Tahoma"/>
          <w:color w:val="000000"/>
          <w:lang w:val="en-US" w:bidi="en-US"/>
        </w:rPr>
        <w:t xml:space="preserve">a </w:t>
      </w:r>
      <w:r w:rsidR="004F2398" w:rsidRPr="004F2398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proofErr w:type="gramStart"/>
      <w:r w:rsidRPr="004F2398">
        <w:rPr>
          <w:rFonts w:ascii="Tahoma" w:eastAsia="Times New Roman" w:hAnsi="Tahoma" w:cs="Tahoma"/>
          <w:color w:val="000000"/>
          <w:lang w:eastAsia="cs-CZ" w:bidi="cs-CZ"/>
        </w:rPr>
        <w:t>obdrží</w:t>
      </w:r>
      <w:proofErr w:type="gramEnd"/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jeden stejnopis.</w:t>
      </w:r>
    </w:p>
    <w:p w14:paraId="6700EAEB" w14:textId="2B86622E" w:rsidR="00BF3F37" w:rsidRPr="004F2398" w:rsidRDefault="00BF3F37" w:rsidP="00107564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hAnsi="Tahoma" w:cs="Tahoma"/>
        </w:rPr>
        <w:t xml:space="preserve">Nedílnou součástí Smlouvy je příloha </w:t>
      </w:r>
      <w:r w:rsidR="00D354EE" w:rsidRPr="004F2398">
        <w:rPr>
          <w:rFonts w:ascii="Tahoma" w:eastAsia="Times New Roman" w:hAnsi="Tahoma" w:cs="Tahoma"/>
          <w:color w:val="000000"/>
          <w:lang w:eastAsia="cs-CZ" w:bidi="cs-CZ"/>
        </w:rPr>
        <w:t>Oznámení o zástavním právu k účtu.</w:t>
      </w:r>
    </w:p>
    <w:p w14:paraId="5D7145F7" w14:textId="50A97622" w:rsidR="003636DE" w:rsidRPr="004F2398" w:rsidRDefault="003636DE" w:rsidP="004F2398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hAnsi="Tahoma" w:cs="Tahoma"/>
        </w:rPr>
        <w:t>Bude-li některé ujednání Smlouvy shledáno neplatným či nevymahatelným a takové ujednání je oddělitelné od ostatního obsahu Smlouvy, bude neplatné jen takové ujednání, pokud lze předpokládat, že by Smlouva byla uzavřena i bez něj; takové neplatné či nevymahatelné ujednání smluvní strany nahradí jiným ujednáním s účinky maximálně se blížícími záměru sledovanému původním ujednáním.</w:t>
      </w:r>
    </w:p>
    <w:p w14:paraId="4E199BE0" w14:textId="28FA63B6" w:rsidR="00260D1E" w:rsidRPr="004F2398" w:rsidRDefault="00260D1E" w:rsidP="00107564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lang w:eastAsia="cs-CZ"/>
        </w:rPr>
        <w:t>Osobní údaje obsažené v Smlouvě budou MSK zpracovávány pouze pro účely plnění práv a povinností vyplývajících ze Smlouvy; k jiným účelům nebudou tyto osobní údaje MSK použity. MSK při zpracovávání osobních údajů dodržuje platné právní předpisy. Podrobné informace o ochraně osobních údajů jsou uvedeny na oficiálních webových stránkách Moravskoslezského kraje</w:t>
      </w:r>
      <w:r w:rsidRPr="004F2398">
        <w:rPr>
          <w:rFonts w:ascii="Tahoma" w:hAnsi="Tahoma" w:cs="Tahoma"/>
        </w:rPr>
        <w:t xml:space="preserve"> </w:t>
      </w:r>
      <w:hyperlink r:id="rId7" w:history="1">
        <w:r w:rsidRPr="004F2398">
          <w:rPr>
            <w:rStyle w:val="Hypertextovodkaz"/>
            <w:rFonts w:ascii="Tahoma" w:hAnsi="Tahoma" w:cs="Tahoma"/>
          </w:rPr>
          <w:t>www.msk.cz</w:t>
        </w:r>
      </w:hyperlink>
      <w:r w:rsidRPr="004F2398">
        <w:rPr>
          <w:rFonts w:ascii="Tahoma" w:hAnsi="Tahoma" w:cs="Tahoma"/>
        </w:rPr>
        <w:t>.</w:t>
      </w:r>
    </w:p>
    <w:p w14:paraId="349A4D21" w14:textId="77777777" w:rsidR="00D354EE" w:rsidRPr="004F2398" w:rsidRDefault="00A02E6B" w:rsidP="002C508F">
      <w:pPr>
        <w:numPr>
          <w:ilvl w:val="0"/>
          <w:numId w:val="5"/>
        </w:numPr>
        <w:tabs>
          <w:tab w:val="num" w:pos="397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F2398">
        <w:rPr>
          <w:rFonts w:ascii="Tahoma" w:hAnsi="Tahoma" w:cs="Tahoma"/>
        </w:rPr>
        <w:t xml:space="preserve">Doložka platnosti právního jednání dle § 23 zákona č. 129/2000 Sb., o krajích (krajské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zřízení</w:t>
      </w:r>
      <w:r w:rsidRPr="004F2398">
        <w:rPr>
          <w:rFonts w:ascii="Tahoma" w:hAnsi="Tahoma" w:cs="Tahoma"/>
        </w:rPr>
        <w:t xml:space="preserve">), ve znění pozdějších předpisů: </w:t>
      </w:r>
    </w:p>
    <w:p w14:paraId="0F21B244" w14:textId="27E91A15" w:rsidR="00A02E6B" w:rsidRPr="004F2398" w:rsidRDefault="00A02E6B" w:rsidP="00D354EE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F2398">
        <w:rPr>
          <w:rFonts w:ascii="Tahoma" w:hAnsi="Tahoma" w:cs="Tahoma"/>
        </w:rPr>
        <w:t xml:space="preserve">K uzavření </w:t>
      </w:r>
      <w:r w:rsidR="002C508F" w:rsidRPr="004F2398">
        <w:rPr>
          <w:rFonts w:ascii="Tahoma" w:hAnsi="Tahoma" w:cs="Tahoma"/>
        </w:rPr>
        <w:t>Smlouvy</w:t>
      </w:r>
      <w:r w:rsidRPr="004F2398">
        <w:rPr>
          <w:rFonts w:ascii="Tahoma" w:hAnsi="Tahoma" w:cs="Tahoma"/>
        </w:rPr>
        <w:t xml:space="preserve"> má </w:t>
      </w:r>
      <w:r w:rsidR="002C508F" w:rsidRPr="004F2398">
        <w:rPr>
          <w:rFonts w:ascii="Tahoma" w:hAnsi="Tahoma" w:cs="Tahoma"/>
        </w:rPr>
        <w:t xml:space="preserve">MSK </w:t>
      </w:r>
      <w:r w:rsidRPr="004F2398">
        <w:rPr>
          <w:rFonts w:ascii="Tahoma" w:hAnsi="Tahoma" w:cs="Tahoma"/>
        </w:rPr>
        <w:t>souhlas rady kraje udělený usnesením č. ……………………… ze dne …………………………</w:t>
      </w:r>
    </w:p>
    <w:tbl>
      <w:tblPr>
        <w:tblW w:w="0" w:type="auto"/>
        <w:tblInd w:w="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448"/>
        <w:gridCol w:w="3244"/>
      </w:tblGrid>
      <w:tr w:rsidR="00454F54" w:rsidRPr="004F2398" w14:paraId="04A9DED3" w14:textId="77777777" w:rsidTr="006D4D5A">
        <w:tc>
          <w:tcPr>
            <w:tcW w:w="3040" w:type="dxa"/>
            <w:hideMark/>
          </w:tcPr>
          <w:p w14:paraId="1D341E19" w14:textId="77777777" w:rsidR="00454F54" w:rsidRPr="004F2398" w:rsidRDefault="00454F54" w:rsidP="006D4D5A">
            <w:pPr>
              <w:pStyle w:val="Zhlav"/>
              <w:tabs>
                <w:tab w:val="left" w:pos="708"/>
              </w:tabs>
              <w:spacing w:before="600" w:after="960"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F2398">
              <w:rPr>
                <w:rFonts w:ascii="Tahoma" w:hAnsi="Tahoma" w:cs="Tahoma"/>
                <w:sz w:val="22"/>
                <w:szCs w:val="22"/>
                <w:lang w:eastAsia="en-US"/>
              </w:rPr>
              <w:t>V Ostravě dne ………………</w:t>
            </w:r>
          </w:p>
        </w:tc>
        <w:tc>
          <w:tcPr>
            <w:tcW w:w="2448" w:type="dxa"/>
          </w:tcPr>
          <w:p w14:paraId="7373764D" w14:textId="77777777" w:rsidR="00454F54" w:rsidRPr="004F2398" w:rsidRDefault="00454F54" w:rsidP="006D4D5A">
            <w:pPr>
              <w:spacing w:before="600" w:after="960" w:line="276" w:lineRule="auto"/>
              <w:rPr>
                <w:rFonts w:ascii="Tahoma" w:hAnsi="Tahoma" w:cs="Tahoma"/>
              </w:rPr>
            </w:pPr>
          </w:p>
        </w:tc>
        <w:tc>
          <w:tcPr>
            <w:tcW w:w="3244" w:type="dxa"/>
            <w:hideMark/>
          </w:tcPr>
          <w:p w14:paraId="2F8E6448" w14:textId="77777777" w:rsidR="00454F54" w:rsidRPr="004F2398" w:rsidRDefault="00454F54" w:rsidP="006D4D5A">
            <w:pPr>
              <w:spacing w:before="600" w:after="960" w:line="276" w:lineRule="auto"/>
              <w:rPr>
                <w:rFonts w:ascii="Tahoma" w:hAnsi="Tahoma" w:cs="Tahoma"/>
              </w:rPr>
            </w:pPr>
            <w:r w:rsidRPr="004F2398">
              <w:rPr>
                <w:rFonts w:ascii="Tahoma" w:hAnsi="Tahoma" w:cs="Tahoma"/>
              </w:rPr>
              <w:t>V …………………. dne ………</w:t>
            </w:r>
            <w:proofErr w:type="gramStart"/>
            <w:r w:rsidRPr="004F2398">
              <w:rPr>
                <w:rFonts w:ascii="Tahoma" w:hAnsi="Tahoma" w:cs="Tahoma"/>
              </w:rPr>
              <w:t>…….</w:t>
            </w:r>
            <w:proofErr w:type="gramEnd"/>
            <w:r w:rsidRPr="004F2398">
              <w:rPr>
                <w:rFonts w:ascii="Tahoma" w:hAnsi="Tahoma" w:cs="Tahoma"/>
              </w:rPr>
              <w:t>.</w:t>
            </w:r>
          </w:p>
        </w:tc>
      </w:tr>
      <w:tr w:rsidR="00454F54" w:rsidRPr="004F2398" w14:paraId="3A2A3C40" w14:textId="77777777" w:rsidTr="006D4D5A"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5EEC4" w14:textId="67576807" w:rsidR="00454F54" w:rsidRPr="004F2398" w:rsidRDefault="00454F54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4F2398">
              <w:rPr>
                <w:rFonts w:ascii="Tahoma" w:hAnsi="Tahoma" w:cs="Tahoma"/>
              </w:rPr>
              <w:t>za MSK</w:t>
            </w:r>
          </w:p>
          <w:p w14:paraId="41358BD3" w14:textId="77777777" w:rsidR="00454F54" w:rsidRPr="004F2398" w:rsidRDefault="00454F54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48" w:type="dxa"/>
          </w:tcPr>
          <w:p w14:paraId="3E420774" w14:textId="77777777" w:rsidR="00454F54" w:rsidRPr="004F2398" w:rsidRDefault="00454F54" w:rsidP="006D4D5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4B2E7" w14:textId="4C2767BC" w:rsidR="00454F54" w:rsidRPr="004F2398" w:rsidRDefault="00454F54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4F2398">
              <w:rPr>
                <w:rFonts w:ascii="Tahoma" w:hAnsi="Tahoma" w:cs="Tahoma"/>
              </w:rPr>
              <w:t>za FRM</w:t>
            </w:r>
          </w:p>
          <w:p w14:paraId="48EFFF84" w14:textId="77777777" w:rsidR="00454F54" w:rsidRPr="004F2398" w:rsidRDefault="00454F54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B7C3DA9" w14:textId="467A181F" w:rsidR="009D5878" w:rsidRPr="004F2398" w:rsidRDefault="009D5878">
      <w:pPr>
        <w:rPr>
          <w:rFonts w:ascii="Tahoma" w:hAnsi="Tahoma" w:cs="Tahoma"/>
        </w:rPr>
      </w:pPr>
      <w:r w:rsidRPr="004F2398">
        <w:rPr>
          <w:rFonts w:ascii="Tahoma" w:hAnsi="Tahoma" w:cs="Tahoma"/>
        </w:rPr>
        <w:br w:type="page"/>
      </w:r>
    </w:p>
    <w:p w14:paraId="01B6057A" w14:textId="77777777" w:rsidR="009D5878" w:rsidRPr="004F2398" w:rsidRDefault="009D5878" w:rsidP="00454F54">
      <w:pPr>
        <w:spacing w:before="120" w:after="0" w:line="240" w:lineRule="auto"/>
        <w:jc w:val="center"/>
        <w:outlineLvl w:val="0"/>
        <w:rPr>
          <w:rFonts w:ascii="Tahoma" w:hAnsi="Tahoma" w:cs="Tahoma"/>
        </w:rPr>
      </w:pPr>
      <w:bookmarkStart w:id="6" w:name="bookmark7"/>
      <w:r w:rsidRPr="004F2398">
        <w:rPr>
          <w:rFonts w:ascii="Tahoma" w:eastAsia="Times New Roman" w:hAnsi="Tahoma" w:cs="Tahoma"/>
          <w:b/>
          <w:sz w:val="28"/>
          <w:szCs w:val="28"/>
          <w:lang w:eastAsia="cs-CZ"/>
        </w:rPr>
        <w:lastRenderedPageBreak/>
        <w:t>Oznámení o zástavním právu k účtu</w:t>
      </w:r>
      <w:bookmarkEnd w:id="6"/>
    </w:p>
    <w:p w14:paraId="06BAF3EB" w14:textId="77777777" w:rsidR="009D5878" w:rsidRPr="004F2398" w:rsidRDefault="009D5878" w:rsidP="009D5878">
      <w:pPr>
        <w:pStyle w:val="Bodytext20"/>
        <w:shd w:val="clear" w:color="auto" w:fill="auto"/>
        <w:spacing w:before="0" w:after="244"/>
        <w:ind w:firstLine="0"/>
        <w:rPr>
          <w:rFonts w:ascii="Tahoma" w:hAnsi="Tahoma" w:cs="Tahoma"/>
        </w:rPr>
      </w:pPr>
      <w:bookmarkStart w:id="7" w:name="_Hlk100219933"/>
      <w:r w:rsidRPr="004F2398">
        <w:rPr>
          <w:rFonts w:ascii="Tahoma" w:eastAsia="Times New Roman" w:hAnsi="Tahoma" w:cs="Tahoma"/>
          <w:color w:val="000000"/>
          <w:lang w:eastAsia="cs-CZ" w:bidi="cs-CZ"/>
        </w:rPr>
        <w:t>Vážení,</w:t>
      </w:r>
    </w:p>
    <w:p w14:paraId="33E2DF1C" w14:textId="7FE01DE0" w:rsidR="009D5878" w:rsidRPr="004F2398" w:rsidRDefault="009D5878" w:rsidP="00D414C3">
      <w:pPr>
        <w:pStyle w:val="Bodytext20"/>
        <w:shd w:val="clear" w:color="auto" w:fill="auto"/>
        <w:spacing w:before="0" w:after="276" w:line="264" w:lineRule="exact"/>
        <w:ind w:firstLine="0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chtěli bychom vám oznámit, že 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Moravskoslezský kraj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, se sídlem </w:t>
      </w:r>
      <w:r w:rsidR="0013475B" w:rsidRPr="004F2398">
        <w:rPr>
          <w:rFonts w:ascii="Tahoma" w:eastAsia="Times New Roman" w:hAnsi="Tahoma" w:cs="Tahoma"/>
          <w:lang w:eastAsia="cs-CZ"/>
        </w:rPr>
        <w:t>28. října 117, 702 18 Ostrava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>, IČ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O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: 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70890692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>, (dále jen „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>“)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a </w:t>
      </w:r>
      <w:r w:rsidR="0013475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Urban Development </w:t>
      </w:r>
      <w:proofErr w:type="spellStart"/>
      <w:r w:rsidR="0013475B" w:rsidRPr="004F2398">
        <w:rPr>
          <w:rFonts w:ascii="Tahoma" w:eastAsia="Times New Roman" w:hAnsi="Tahoma" w:cs="Tahoma"/>
          <w:color w:val="000000"/>
          <w:lang w:eastAsia="cs-CZ" w:bidi="cs-CZ"/>
        </w:rPr>
        <w:t>Fund</w:t>
      </w:r>
      <w:proofErr w:type="spellEnd"/>
      <w:r w:rsidR="0013475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MS s.r.o.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, 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 xml:space="preserve">se sídlem </w:t>
      </w:r>
      <w:r w:rsidR="0013475B" w:rsidRPr="004F2398">
        <w:rPr>
          <w:rFonts w:ascii="Tahoma" w:eastAsia="Times New Roman" w:hAnsi="Tahoma" w:cs="Tahoma"/>
          <w:lang w:eastAsia="cs-CZ"/>
        </w:rPr>
        <w:t>Stodolní 1428/9, Moravská Ostrava, 702 00 Ostrava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>, IČ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O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: 24747874, zapsaná v Obchodním rejstříku, vedeném u 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Krajského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 soudu v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 </w:t>
      </w:r>
      <w:r w:rsidR="00D9057B" w:rsidRPr="00D9057B">
        <w:rPr>
          <w:rFonts w:ascii="Tahoma" w:eastAsia="Times New Roman" w:hAnsi="Tahoma" w:cs="Tahoma"/>
          <w:color w:val="000000"/>
          <w:lang w:eastAsia="cs-CZ" w:bidi="cs-CZ"/>
        </w:rPr>
        <w:t>Ostra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v</w:t>
      </w:r>
      <w:r w:rsidR="00D9057B" w:rsidRPr="00D9057B">
        <w:rPr>
          <w:rFonts w:ascii="Tahoma" w:eastAsia="Times New Roman" w:hAnsi="Tahoma" w:cs="Tahoma"/>
          <w:color w:val="000000"/>
          <w:lang w:eastAsia="cs-CZ" w:bidi="cs-CZ"/>
        </w:rPr>
        <w:t>ě</w:t>
      </w:r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 xml:space="preserve">, </w:t>
      </w:r>
      <w:proofErr w:type="spellStart"/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sp</w:t>
      </w:r>
      <w:proofErr w:type="spellEnd"/>
      <w:r w:rsidR="0013475B" w:rsidRPr="00D414C3">
        <w:rPr>
          <w:rFonts w:ascii="Tahoma" w:eastAsia="Times New Roman" w:hAnsi="Tahoma" w:cs="Tahoma"/>
          <w:color w:val="000000"/>
          <w:lang w:eastAsia="cs-CZ" w:bidi="cs-CZ"/>
        </w:rPr>
        <w:t>. zn. C 78127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(dále jen ,,FRM“), uzavřeli </w:t>
      </w:r>
      <w:r w:rsidR="00871FC7" w:rsidRPr="004F2398">
        <w:rPr>
          <w:rFonts w:ascii="Tahoma" w:eastAsia="Times New Roman" w:hAnsi="Tahoma" w:cs="Tahoma"/>
          <w:color w:val="000000"/>
          <w:lang w:eastAsia="cs-CZ" w:bidi="cs-CZ"/>
        </w:rPr>
        <w:t>S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mlouvu o zřízení zástavního práva k účtu (dále jen „</w:t>
      </w:r>
      <w:r w:rsidR="00871FC7" w:rsidRPr="004F2398">
        <w:rPr>
          <w:rFonts w:ascii="Tahoma" w:eastAsia="Times New Roman" w:hAnsi="Tahoma" w:cs="Tahoma"/>
          <w:color w:val="000000"/>
          <w:lang w:eastAsia="cs-CZ" w:bidi="cs-CZ"/>
        </w:rPr>
        <w:t>Smlouva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“), na jejímž základě jsou Pohledávky </w:t>
      </w:r>
      <w:r w:rsidR="0013475B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 Operační smlouvy zajištěny Pohledávkami FRM z účt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zřízením Zástavního práva k účtu, jak je definováno ve Smlouvě, </w:t>
      </w:r>
      <w:r w:rsidR="00641627" w:rsidRPr="004F2398">
        <w:rPr>
          <w:rFonts w:ascii="Tahoma" w:eastAsia="Times New Roman" w:hAnsi="Tahoma" w:cs="Tahoma"/>
          <w:color w:val="000000"/>
          <w:lang w:eastAsia="cs-CZ" w:bidi="cs-CZ"/>
        </w:rPr>
        <w:t>jež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tvoří přílohu tohoto oznámení, </w:t>
      </w:r>
      <w:r w:rsidR="00641627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a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která se týká </w:t>
      </w:r>
      <w:r w:rsidR="00D9057B" w:rsidRPr="004F2398">
        <w:rPr>
          <w:rFonts w:ascii="Tahoma" w:eastAsia="Times New Roman" w:hAnsi="Tahoma" w:cs="Tahoma"/>
          <w:color w:val="000000"/>
          <w:lang w:eastAsia="cs-CZ" w:bidi="cs-CZ"/>
        </w:rPr>
        <w:t>následující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ho</w:t>
      </w:r>
      <w:r w:rsidR="00D9057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účt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veden</w:t>
      </w:r>
      <w:r w:rsidR="00D9057B">
        <w:rPr>
          <w:rFonts w:ascii="Tahoma" w:eastAsia="Times New Roman" w:hAnsi="Tahoma" w:cs="Tahoma"/>
          <w:color w:val="000000"/>
          <w:lang w:eastAsia="cs-CZ" w:bidi="cs-CZ"/>
        </w:rPr>
        <w:t>ého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u </w:t>
      </w:r>
      <w:r w:rsidR="004F2398" w:rsidRPr="004F2398">
        <w:rPr>
          <w:rFonts w:ascii="Tahoma" w:eastAsia="Times New Roman" w:hAnsi="Tahoma" w:cs="Tahoma"/>
          <w:color w:val="000000"/>
          <w:lang w:eastAsia="cs-CZ" w:bidi="cs-CZ"/>
        </w:rPr>
        <w:t>Národní rozvojové banky, a.s., se sídlem na ulici Jeruzalémská 964/4, 110 00 Praha 1, IČO: 44848943</w:t>
      </w:r>
      <w:r w:rsidR="004F2398" w:rsidRPr="00D414C3" w:rsidDel="004F2398">
        <w:rPr>
          <w:rFonts w:ascii="Tahoma" w:eastAsia="Times New Roman" w:hAnsi="Tahoma" w:cs="Tahoma"/>
          <w:color w:val="000000"/>
          <w:lang w:val="en-US" w:bidi="en-US"/>
        </w:rPr>
        <w:t xml:space="preserve"> 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(dále jen </w:t>
      </w:r>
      <w:r w:rsidRPr="00D414C3">
        <w:rPr>
          <w:rFonts w:ascii="Tahoma" w:eastAsia="Times New Roman" w:hAnsi="Tahoma" w:cs="Tahoma"/>
          <w:color w:val="000000"/>
          <w:lang w:val="en-US" w:bidi="en-US"/>
        </w:rPr>
        <w:t>„</w:t>
      </w:r>
      <w:r w:rsidR="004F2398" w:rsidRPr="00D414C3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>“):</w:t>
      </w:r>
    </w:p>
    <w:p w14:paraId="2195F58A" w14:textId="341DA34C" w:rsidR="009D5878" w:rsidRPr="004F2398" w:rsidRDefault="009D5878" w:rsidP="009D5878">
      <w:pPr>
        <w:pStyle w:val="Bodytext20"/>
        <w:numPr>
          <w:ilvl w:val="0"/>
          <w:numId w:val="2"/>
        </w:numPr>
        <w:shd w:val="clear" w:color="auto" w:fill="auto"/>
        <w:tabs>
          <w:tab w:val="left" w:pos="844"/>
        </w:tabs>
        <w:spacing w:before="0" w:after="248"/>
        <w:ind w:left="580" w:firstLine="0"/>
        <w:jc w:val="left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Rezervní účet č. </w:t>
      </w:r>
      <w:r w:rsidR="004F2398" w:rsidRPr="004F2398">
        <w:rPr>
          <w:rStyle w:val="Bodytext2Italic"/>
          <w:rFonts w:ascii="Tahoma" w:eastAsiaTheme="minorHAnsi" w:hAnsi="Tahoma" w:cs="Tahoma"/>
          <w:i w:val="0"/>
        </w:rPr>
        <w:t>279200105/4300</w:t>
      </w:r>
    </w:p>
    <w:p w14:paraId="10F963BC" w14:textId="0E0287D3" w:rsidR="009D5878" w:rsidRPr="004F2398" w:rsidRDefault="009D5878" w:rsidP="009D5878">
      <w:pPr>
        <w:pStyle w:val="Bodytext20"/>
        <w:shd w:val="clear" w:color="auto" w:fill="auto"/>
        <w:spacing w:before="0" w:after="260" w:line="259" w:lineRule="exact"/>
        <w:ind w:firstLine="0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 souladu se Smlouvou jsme oprávněni použít kladný zůstatek na 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účtu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, dokud naše společnost nebo </w:t>
      </w:r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proofErr w:type="gramStart"/>
      <w:r w:rsidRPr="004F2398">
        <w:rPr>
          <w:rFonts w:ascii="Tahoma" w:eastAsia="Times New Roman" w:hAnsi="Tahoma" w:cs="Tahoma"/>
          <w:color w:val="000000"/>
          <w:lang w:eastAsia="cs-CZ" w:bidi="cs-CZ"/>
        </w:rPr>
        <w:t>nedoručí</w:t>
      </w:r>
      <w:proofErr w:type="gramEnd"/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4F2398" w:rsidRPr="004F2398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oznámení o tom, že jsme řádně nesplnili jakoukoliv Pohledávku </w:t>
      </w:r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u 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Operační smlouvy. V takovém případě můžeme použít kladné zůstatky na účtech pouze s předchozím písemným souhlasem </w:t>
      </w:r>
      <w:r w:rsidR="00454F54" w:rsidRPr="00D414C3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 (to </w:t>
      </w:r>
      <w:r w:rsidR="00454F54" w:rsidRPr="00D414C3">
        <w:rPr>
          <w:rFonts w:ascii="Tahoma" w:eastAsia="Times New Roman" w:hAnsi="Tahoma" w:cs="Tahoma"/>
          <w:color w:val="000000"/>
          <w:lang w:eastAsia="cs-CZ" w:bidi="cs-CZ"/>
        </w:rPr>
        <w:t>platí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 pro jakékoliv použití kladného zůstatku, bez ohledu na to, zda</w:t>
      </w:r>
      <w:r w:rsidR="00454F54" w:rsidRPr="00D414C3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>je vytvořen na základě nového nebo dřívějšího příkazu nebo jiného disponování s účtem</w:t>
      </w:r>
      <w:r w:rsidR="0073401F" w:rsidRPr="00D414C3">
        <w:rPr>
          <w:rFonts w:ascii="Tahoma" w:eastAsia="Times New Roman" w:hAnsi="Tahoma" w:cs="Tahoma"/>
          <w:color w:val="000000"/>
          <w:lang w:eastAsia="cs-CZ" w:bidi="cs-CZ"/>
        </w:rPr>
        <w:t>, s výjimkou příkazů ve prospěch</w:t>
      </w:r>
      <w:r w:rsidR="0073401F">
        <w:rPr>
          <w:rFonts w:ascii="Tahoma" w:eastAsia="Times New Roman" w:hAnsi="Tahoma" w:cs="Tahoma"/>
          <w:color w:val="000000"/>
          <w:lang w:eastAsia="cs-CZ" w:bidi="cs-CZ"/>
        </w:rPr>
        <w:t xml:space="preserve"> účtu MSK 2112514953/2700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) a </w:t>
      </w:r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je oprávněna použít kladný zůstatek na 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>účt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u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na uspokojení jednotlivých Pohledávek </w:t>
      </w:r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>MSK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 Operační smlouvy a činit tak opakovaně, dokud nebudou zcela uspokojeny.</w:t>
      </w:r>
    </w:p>
    <w:p w14:paraId="4A73EA67" w14:textId="290440B5" w:rsidR="009D5878" w:rsidRPr="004F2398" w:rsidRDefault="009D5878" w:rsidP="009D5878">
      <w:pPr>
        <w:pStyle w:val="Bodytext20"/>
        <w:shd w:val="clear" w:color="auto" w:fill="auto"/>
        <w:spacing w:before="0" w:after="252" w:line="259" w:lineRule="exact"/>
        <w:ind w:firstLine="0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Výše uvedené nemá vliv na právo </w:t>
      </w:r>
      <w:r w:rsidR="004F2398" w:rsidRPr="00D414C3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D414C3">
        <w:rPr>
          <w:rFonts w:ascii="Tahoma" w:eastAsia="Times New Roman" w:hAnsi="Tahoma" w:cs="Tahoma"/>
          <w:color w:val="000000"/>
          <w:lang w:eastAsia="cs-CZ" w:bidi="cs-CZ"/>
        </w:rPr>
        <w:t xml:space="preserve"> odepsat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ze zůstatku na účtech třetích stran, které byly na úč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et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chybně připsány a které musí být těmto stranám vráceny ze zákona. </w:t>
      </w:r>
      <w:r w:rsidR="004F2398" w:rsidRPr="004F2398">
        <w:rPr>
          <w:rFonts w:ascii="Tahoma" w:eastAsia="Times New Roman" w:hAnsi="Tahoma" w:cs="Tahoma"/>
          <w:color w:val="000000"/>
          <w:lang w:val="en-US" w:bidi="en-US"/>
        </w:rPr>
        <w:t>NRB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neposkytuje žádnou záruku dostatečnosti kladných zůstatků na 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>účt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u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a není odpovědná za nedostatečné kladné zůstatky na 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>n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ěm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 xml:space="preserve">v důsledku skutečnosti, že na 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>úč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et</w:t>
      </w:r>
      <w:r w:rsidR="00EC594B" w:rsidRPr="004F239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bylo převedeno nedostatečné množství prostředků nebo z toho důvodu, že příslušný orgán vydal vykonatelný exekuční příkaz z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 tohoto účtu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.</w:t>
      </w:r>
    </w:p>
    <w:p w14:paraId="5BF459B7" w14:textId="7BFF32E0" w:rsidR="009D5878" w:rsidRPr="004F2398" w:rsidRDefault="009D5878" w:rsidP="009D5878">
      <w:pPr>
        <w:pStyle w:val="Bodytext20"/>
        <w:shd w:val="clear" w:color="auto" w:fill="auto"/>
        <w:spacing w:before="0" w:line="269" w:lineRule="exact"/>
        <w:ind w:firstLine="0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Toto oznámení o zástavním právu k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účtu se vydává v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souladu s</w:t>
      </w:r>
      <w:r w:rsidR="00EC594B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§ 1335 odst. 2 zákona č.</w:t>
      </w:r>
      <w:r w:rsidR="00470D17" w:rsidRPr="004F2398">
        <w:rPr>
          <w:rFonts w:ascii="Tahoma" w:eastAsia="Times New Roman" w:hAnsi="Tahoma" w:cs="Tahoma"/>
          <w:color w:val="000000"/>
          <w:lang w:eastAsia="cs-CZ" w:bidi="cs-CZ"/>
        </w:rPr>
        <w:t> 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89/2012 Sb., občanský zákoník</w:t>
      </w:r>
      <w:r w:rsidR="00454F54" w:rsidRPr="004F2398">
        <w:rPr>
          <w:rFonts w:ascii="Tahoma" w:eastAsia="Times New Roman" w:hAnsi="Tahoma" w:cs="Tahoma"/>
          <w:color w:val="000000"/>
          <w:lang w:eastAsia="cs-CZ" w:bidi="cs-CZ"/>
        </w:rPr>
        <w:t>, ve znění pozdějších předpisů</w:t>
      </w:r>
      <w:r w:rsidRPr="004F2398">
        <w:rPr>
          <w:rFonts w:ascii="Tahoma" w:eastAsia="Times New Roman" w:hAnsi="Tahoma" w:cs="Tahoma"/>
          <w:color w:val="000000"/>
          <w:lang w:eastAsia="cs-CZ" w:bidi="cs-CZ"/>
        </w:rPr>
        <w:t>. Laskavě vás žádáme o potvrzení doručení tohoto oznámení o zástavním právu k účtu tím, že je níže podepíšete a podepsané nám je pošlete zpět.</w:t>
      </w:r>
    </w:p>
    <w:tbl>
      <w:tblPr>
        <w:tblW w:w="0" w:type="auto"/>
        <w:tblInd w:w="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</w:tblGrid>
      <w:tr w:rsidR="00470D17" w:rsidRPr="004F2398" w14:paraId="5F3AEFD7" w14:textId="77777777" w:rsidTr="006D4D5A">
        <w:tc>
          <w:tcPr>
            <w:tcW w:w="3040" w:type="dxa"/>
            <w:hideMark/>
          </w:tcPr>
          <w:bookmarkEnd w:id="7"/>
          <w:p w14:paraId="6CD5C030" w14:textId="77777777" w:rsidR="00470D17" w:rsidRPr="004F2398" w:rsidRDefault="00470D17" w:rsidP="006D4D5A">
            <w:pPr>
              <w:pStyle w:val="Zhlav"/>
              <w:tabs>
                <w:tab w:val="left" w:pos="708"/>
              </w:tabs>
              <w:spacing w:before="600" w:after="960"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F2398">
              <w:rPr>
                <w:rFonts w:ascii="Tahoma" w:hAnsi="Tahoma" w:cs="Tahoma"/>
                <w:sz w:val="22"/>
                <w:szCs w:val="22"/>
                <w:lang w:eastAsia="en-US"/>
              </w:rPr>
              <w:t>V Ostravě dne ………………</w:t>
            </w:r>
          </w:p>
        </w:tc>
      </w:tr>
      <w:tr w:rsidR="00470D17" w:rsidRPr="004F2398" w14:paraId="3866F8FA" w14:textId="77777777" w:rsidTr="006D4D5A"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FF56D" w14:textId="76FF95DE" w:rsidR="00470D17" w:rsidRPr="004F2398" w:rsidRDefault="00470D17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4F2398">
              <w:rPr>
                <w:rFonts w:ascii="Tahoma" w:hAnsi="Tahoma" w:cs="Tahoma"/>
              </w:rPr>
              <w:t>za FRM</w:t>
            </w:r>
          </w:p>
          <w:p w14:paraId="46474D22" w14:textId="77777777" w:rsidR="00470D17" w:rsidRPr="004F2398" w:rsidRDefault="00470D17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EC9DF48" w14:textId="39C34840" w:rsidR="009D5878" w:rsidRPr="004F2398" w:rsidRDefault="009D5878">
      <w:pPr>
        <w:rPr>
          <w:rFonts w:ascii="Tahoma" w:hAnsi="Tahoma" w:cs="Tahoma"/>
        </w:rPr>
      </w:pPr>
      <w:r w:rsidRPr="004F2398">
        <w:rPr>
          <w:rFonts w:ascii="Tahoma" w:hAnsi="Tahoma" w:cs="Tahoma"/>
        </w:rPr>
        <w:br w:type="page"/>
      </w:r>
    </w:p>
    <w:p w14:paraId="13B79BA4" w14:textId="77777777" w:rsidR="009D5878" w:rsidRPr="004F2398" w:rsidRDefault="009D5878" w:rsidP="009D5878">
      <w:pPr>
        <w:rPr>
          <w:rFonts w:ascii="Tahoma" w:hAnsi="Tahoma" w:cs="Tahoma"/>
        </w:rPr>
      </w:pPr>
    </w:p>
    <w:p w14:paraId="473F38A1" w14:textId="5F6C56BF" w:rsidR="009D5878" w:rsidRPr="004F2398" w:rsidRDefault="009D5878" w:rsidP="009D5878">
      <w:pPr>
        <w:rPr>
          <w:rFonts w:ascii="Tahoma" w:hAnsi="Tahoma" w:cs="Tahoma"/>
        </w:rPr>
      </w:pPr>
    </w:p>
    <w:p w14:paraId="358F9C61" w14:textId="77777777" w:rsidR="009D5878" w:rsidRPr="004F2398" w:rsidRDefault="009D5878" w:rsidP="009D5878">
      <w:pPr>
        <w:pStyle w:val="Bodytext20"/>
        <w:shd w:val="clear" w:color="auto" w:fill="auto"/>
        <w:spacing w:before="0" w:after="536" w:line="264" w:lineRule="exact"/>
        <w:ind w:firstLine="0"/>
        <w:rPr>
          <w:rFonts w:ascii="Tahoma" w:hAnsi="Tahoma" w:cs="Tahoma"/>
        </w:rPr>
      </w:pPr>
      <w:r w:rsidRPr="004F2398">
        <w:rPr>
          <w:rFonts w:ascii="Tahoma" w:eastAsia="Times New Roman" w:hAnsi="Tahoma" w:cs="Tahoma"/>
          <w:color w:val="000000"/>
          <w:lang w:eastAsia="cs-CZ" w:bidi="cs-CZ"/>
        </w:rPr>
        <w:t>Potvrzujeme, že jsme vzali na vědomí zřízení Zástavního práva k účtu, a prohlašujeme, že budeme jednat odpovídajícím způsobem.</w:t>
      </w:r>
    </w:p>
    <w:tbl>
      <w:tblPr>
        <w:tblW w:w="0" w:type="auto"/>
        <w:tblInd w:w="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</w:tblGrid>
      <w:tr w:rsidR="00470D17" w:rsidRPr="004F2398" w14:paraId="6C1FAB5A" w14:textId="77777777" w:rsidTr="006D4D5A">
        <w:tc>
          <w:tcPr>
            <w:tcW w:w="3244" w:type="dxa"/>
            <w:hideMark/>
          </w:tcPr>
          <w:p w14:paraId="04B9EF58" w14:textId="77777777" w:rsidR="00470D17" w:rsidRPr="004F2398" w:rsidRDefault="00470D17" w:rsidP="006D4D5A">
            <w:pPr>
              <w:spacing w:before="600" w:after="960" w:line="276" w:lineRule="auto"/>
              <w:rPr>
                <w:rFonts w:ascii="Tahoma" w:hAnsi="Tahoma" w:cs="Tahoma"/>
              </w:rPr>
            </w:pPr>
            <w:r w:rsidRPr="004F2398">
              <w:rPr>
                <w:rFonts w:ascii="Tahoma" w:hAnsi="Tahoma" w:cs="Tahoma"/>
              </w:rPr>
              <w:t>V …………………. dne ………</w:t>
            </w:r>
            <w:proofErr w:type="gramStart"/>
            <w:r w:rsidRPr="004F2398">
              <w:rPr>
                <w:rFonts w:ascii="Tahoma" w:hAnsi="Tahoma" w:cs="Tahoma"/>
              </w:rPr>
              <w:t>…….</w:t>
            </w:r>
            <w:proofErr w:type="gramEnd"/>
            <w:r w:rsidRPr="004F2398">
              <w:rPr>
                <w:rFonts w:ascii="Tahoma" w:hAnsi="Tahoma" w:cs="Tahoma"/>
              </w:rPr>
              <w:t>.</w:t>
            </w:r>
          </w:p>
        </w:tc>
      </w:tr>
      <w:tr w:rsidR="00470D17" w:rsidRPr="00470D17" w14:paraId="09323D90" w14:textId="77777777" w:rsidTr="006D4D5A"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D983B" w14:textId="48BA8BDC" w:rsidR="00470D17" w:rsidRPr="00D414C3" w:rsidRDefault="00470D17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D414C3">
              <w:rPr>
                <w:rFonts w:ascii="Tahoma" w:hAnsi="Tahoma" w:cs="Tahoma"/>
              </w:rPr>
              <w:t xml:space="preserve">za </w:t>
            </w:r>
            <w:r w:rsidR="004F2398" w:rsidRPr="00D414C3">
              <w:rPr>
                <w:rFonts w:ascii="Tahoma" w:hAnsi="Tahoma" w:cs="Tahoma"/>
              </w:rPr>
              <w:t>NRB</w:t>
            </w:r>
          </w:p>
          <w:p w14:paraId="3CC5BEB7" w14:textId="77777777" w:rsidR="00470D17" w:rsidRPr="00D414C3" w:rsidRDefault="00470D17" w:rsidP="006D4D5A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A48CA8E" w14:textId="77777777" w:rsidR="009D5878" w:rsidRPr="0053141C" w:rsidRDefault="009D5878" w:rsidP="009D5878">
      <w:pPr>
        <w:rPr>
          <w:rFonts w:ascii="Tahoma" w:hAnsi="Tahoma" w:cs="Tahoma"/>
        </w:rPr>
      </w:pPr>
    </w:p>
    <w:sectPr w:rsidR="009D5878" w:rsidRPr="00531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2105" w14:textId="77777777" w:rsidR="006719BA" w:rsidRDefault="006719BA" w:rsidP="002000A4">
      <w:pPr>
        <w:spacing w:after="0" w:line="240" w:lineRule="auto"/>
      </w:pPr>
      <w:r>
        <w:separator/>
      </w:r>
    </w:p>
  </w:endnote>
  <w:endnote w:type="continuationSeparator" w:id="0">
    <w:p w14:paraId="674DE752" w14:textId="77777777" w:rsidR="006719BA" w:rsidRDefault="006719BA" w:rsidP="002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485C" w14:textId="77777777" w:rsidR="002E0573" w:rsidRDefault="002E05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C22E" w14:textId="3247620E" w:rsidR="002000A4" w:rsidRDefault="002000A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898C9F" wp14:editId="332D5AD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58247e3860f2b36c456207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00D5D" w14:textId="16F805DE" w:rsidR="002000A4" w:rsidRPr="002000A4" w:rsidRDefault="002000A4" w:rsidP="002000A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000A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98C9F" id="_x0000_t202" coordsize="21600,21600" o:spt="202" path="m,l,21600r21600,l21600,xe">
              <v:stroke joinstyle="miter"/>
              <v:path gradientshapeok="t" o:connecttype="rect"/>
            </v:shapetype>
            <v:shape id="MSIPCMf58247e3860f2b36c456207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D800D5D" w14:textId="16F805DE" w:rsidR="002000A4" w:rsidRPr="002000A4" w:rsidRDefault="002000A4" w:rsidP="002000A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000A4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4658" w14:textId="77777777" w:rsidR="002E0573" w:rsidRDefault="002E05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A989" w14:textId="77777777" w:rsidR="006719BA" w:rsidRDefault="006719BA" w:rsidP="002000A4">
      <w:pPr>
        <w:spacing w:after="0" w:line="240" w:lineRule="auto"/>
      </w:pPr>
      <w:r>
        <w:separator/>
      </w:r>
    </w:p>
  </w:footnote>
  <w:footnote w:type="continuationSeparator" w:id="0">
    <w:p w14:paraId="0646F096" w14:textId="77777777" w:rsidR="006719BA" w:rsidRDefault="006719BA" w:rsidP="0020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5A34" w14:textId="77777777" w:rsidR="002E0573" w:rsidRDefault="002E05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DCC7" w14:textId="3A9D9CD7" w:rsidR="002E0573" w:rsidRPr="002E0573" w:rsidRDefault="002E0573">
    <w:pPr>
      <w:pStyle w:val="Zhlav"/>
      <w:rPr>
        <w:b/>
        <w:bCs/>
      </w:rPr>
    </w:pPr>
    <w:r w:rsidRPr="002E0573">
      <w:rPr>
        <w:b/>
        <w:bCs/>
      </w:rPr>
      <w:t>Příloha č.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A32" w14:textId="77777777" w:rsidR="002E0573" w:rsidRDefault="002E05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4A"/>
    <w:multiLevelType w:val="multilevel"/>
    <w:tmpl w:val="BF32958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63A2E"/>
    <w:multiLevelType w:val="multilevel"/>
    <w:tmpl w:val="557E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76CE4"/>
    <w:multiLevelType w:val="multilevel"/>
    <w:tmpl w:val="EC06625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8293A"/>
    <w:multiLevelType w:val="multilevel"/>
    <w:tmpl w:val="D8F85922"/>
    <w:lvl w:ilvl="0">
      <w:start w:val="1"/>
      <w:numFmt w:val="decimal"/>
      <w:lvlText w:val="2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30559"/>
    <w:multiLevelType w:val="hybridMultilevel"/>
    <w:tmpl w:val="B204C6AE"/>
    <w:lvl w:ilvl="0" w:tplc="8E9ECF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24113"/>
    <w:multiLevelType w:val="multilevel"/>
    <w:tmpl w:val="BF32958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1A2842"/>
    <w:multiLevelType w:val="multilevel"/>
    <w:tmpl w:val="BF32958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51D4D"/>
    <w:multiLevelType w:val="multilevel"/>
    <w:tmpl w:val="3D6E01CA"/>
    <w:lvl w:ilvl="0">
      <w:start w:val="1"/>
      <w:numFmt w:val="decimal"/>
      <w:lvlText w:val="1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826E7"/>
    <w:multiLevelType w:val="hybridMultilevel"/>
    <w:tmpl w:val="0BEEEE0A"/>
    <w:lvl w:ilvl="0" w:tplc="8E3AD3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309627">
    <w:abstractNumId w:val="7"/>
  </w:num>
  <w:num w:numId="2" w16cid:durableId="617490862">
    <w:abstractNumId w:val="1"/>
  </w:num>
  <w:num w:numId="3" w16cid:durableId="825895027">
    <w:abstractNumId w:val="3"/>
  </w:num>
  <w:num w:numId="4" w16cid:durableId="1941790018">
    <w:abstractNumId w:val="5"/>
  </w:num>
  <w:num w:numId="5" w16cid:durableId="1789160489">
    <w:abstractNumId w:val="2"/>
  </w:num>
  <w:num w:numId="6" w16cid:durableId="50444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3230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085919">
    <w:abstractNumId w:val="4"/>
  </w:num>
  <w:num w:numId="9" w16cid:durableId="838470587">
    <w:abstractNumId w:val="0"/>
  </w:num>
  <w:num w:numId="10" w16cid:durableId="2066101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78"/>
    <w:rsid w:val="0009309D"/>
    <w:rsid w:val="000B640D"/>
    <w:rsid w:val="000D70C5"/>
    <w:rsid w:val="00103A59"/>
    <w:rsid w:val="00107564"/>
    <w:rsid w:val="0013475B"/>
    <w:rsid w:val="00153746"/>
    <w:rsid w:val="001C6A7D"/>
    <w:rsid w:val="001F3975"/>
    <w:rsid w:val="002000A4"/>
    <w:rsid w:val="00260D1E"/>
    <w:rsid w:val="00285CFE"/>
    <w:rsid w:val="00292621"/>
    <w:rsid w:val="002C223A"/>
    <w:rsid w:val="002C508F"/>
    <w:rsid w:val="002E0573"/>
    <w:rsid w:val="003440B8"/>
    <w:rsid w:val="00351335"/>
    <w:rsid w:val="003636DE"/>
    <w:rsid w:val="003C1A54"/>
    <w:rsid w:val="003C5BF8"/>
    <w:rsid w:val="004039E7"/>
    <w:rsid w:val="00454F54"/>
    <w:rsid w:val="00463185"/>
    <w:rsid w:val="00470D17"/>
    <w:rsid w:val="004B5402"/>
    <w:rsid w:val="004D147C"/>
    <w:rsid w:val="004F2398"/>
    <w:rsid w:val="004F708C"/>
    <w:rsid w:val="0053141C"/>
    <w:rsid w:val="0056628B"/>
    <w:rsid w:val="00574EDC"/>
    <w:rsid w:val="005816F5"/>
    <w:rsid w:val="005A73CB"/>
    <w:rsid w:val="00641627"/>
    <w:rsid w:val="006719BA"/>
    <w:rsid w:val="006A0C87"/>
    <w:rsid w:val="006D580C"/>
    <w:rsid w:val="0073401F"/>
    <w:rsid w:val="007539B9"/>
    <w:rsid w:val="007956F0"/>
    <w:rsid w:val="007A7B42"/>
    <w:rsid w:val="00822793"/>
    <w:rsid w:val="00840D29"/>
    <w:rsid w:val="00871FC7"/>
    <w:rsid w:val="008E66CD"/>
    <w:rsid w:val="0091560B"/>
    <w:rsid w:val="0096395C"/>
    <w:rsid w:val="009D5878"/>
    <w:rsid w:val="00A02E6B"/>
    <w:rsid w:val="00A1573C"/>
    <w:rsid w:val="00A8078E"/>
    <w:rsid w:val="00A8259F"/>
    <w:rsid w:val="00B343DF"/>
    <w:rsid w:val="00B4002B"/>
    <w:rsid w:val="00B643E2"/>
    <w:rsid w:val="00BD2FB4"/>
    <w:rsid w:val="00BF3F37"/>
    <w:rsid w:val="00C3250B"/>
    <w:rsid w:val="00C36A44"/>
    <w:rsid w:val="00C4018B"/>
    <w:rsid w:val="00C93354"/>
    <w:rsid w:val="00CC747E"/>
    <w:rsid w:val="00D16A06"/>
    <w:rsid w:val="00D354EE"/>
    <w:rsid w:val="00D414C3"/>
    <w:rsid w:val="00D54B76"/>
    <w:rsid w:val="00D9057B"/>
    <w:rsid w:val="00E505B1"/>
    <w:rsid w:val="00E91AC5"/>
    <w:rsid w:val="00EC594B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D1F7D"/>
  <w15:chartTrackingRefBased/>
  <w15:docId w15:val="{3F74E773-3FC0-48A4-9857-7A8202A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9D5878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D5878"/>
    <w:pPr>
      <w:widowControl w:val="0"/>
      <w:shd w:val="clear" w:color="auto" w:fill="FFFFFF"/>
      <w:spacing w:before="280" w:after="280" w:line="244" w:lineRule="exact"/>
      <w:ind w:hanging="560"/>
      <w:jc w:val="both"/>
    </w:pPr>
  </w:style>
  <w:style w:type="character" w:customStyle="1" w:styleId="Heading1">
    <w:name w:val="Heading #1_"/>
    <w:basedOn w:val="Standardnpsmoodstavce"/>
    <w:link w:val="Heading10"/>
    <w:rsid w:val="009D5878"/>
    <w:rPr>
      <w:b/>
      <w:bCs/>
      <w:shd w:val="clear" w:color="auto" w:fill="FFFFFF"/>
    </w:rPr>
  </w:style>
  <w:style w:type="character" w:customStyle="1" w:styleId="Bodytext2Italic">
    <w:name w:val="Body text (2) + Italic"/>
    <w:basedOn w:val="Bodytext2"/>
    <w:rsid w:val="009D58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9D5878"/>
    <w:rPr>
      <w:b/>
      <w:bCs/>
      <w:shd w:val="clear" w:color="auto" w:fill="FFFFFF"/>
    </w:rPr>
  </w:style>
  <w:style w:type="paragraph" w:customStyle="1" w:styleId="Heading10">
    <w:name w:val="Heading #1"/>
    <w:basedOn w:val="Normln"/>
    <w:link w:val="Heading1"/>
    <w:rsid w:val="009D5878"/>
    <w:pPr>
      <w:widowControl w:val="0"/>
      <w:shd w:val="clear" w:color="auto" w:fill="FFFFFF"/>
      <w:spacing w:before="280" w:after="280" w:line="244" w:lineRule="exact"/>
      <w:jc w:val="center"/>
      <w:outlineLvl w:val="0"/>
    </w:pPr>
    <w:rPr>
      <w:b/>
      <w:bCs/>
    </w:rPr>
  </w:style>
  <w:style w:type="paragraph" w:customStyle="1" w:styleId="Bodytext40">
    <w:name w:val="Body text (4)"/>
    <w:basedOn w:val="Normln"/>
    <w:link w:val="Bodytext4"/>
    <w:rsid w:val="009D587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D5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8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8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87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54F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54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0A4"/>
  </w:style>
  <w:style w:type="character" w:styleId="Hypertextovodkaz">
    <w:name w:val="Hyperlink"/>
    <w:rsid w:val="00260D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6DE"/>
    <w:pPr>
      <w:ind w:left="720"/>
      <w:contextualSpacing/>
    </w:pPr>
  </w:style>
  <w:style w:type="paragraph" w:styleId="Revize">
    <w:name w:val="Revision"/>
    <w:hidden/>
    <w:uiPriority w:val="99"/>
    <w:semiHidden/>
    <w:rsid w:val="004F2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1655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Mořkovský Vojtěch</dc:creator>
  <cp:keywords/>
  <dc:description/>
  <cp:lastModifiedBy>Novák Jakub</cp:lastModifiedBy>
  <cp:revision>5</cp:revision>
  <dcterms:created xsi:type="dcterms:W3CDTF">2022-08-24T17:59:00Z</dcterms:created>
  <dcterms:modified xsi:type="dcterms:W3CDTF">2022-08-26T11:35:00Z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2022-04-11T07:27:12Z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189bda3f-055e-4826-acd1-42f55c8daa4f</vt:lpwstr>
  </property>
  <property fmtid="{D5CDD505-2E9C-101B-9397-08002B2CF9AE}" pid="8" name="MSIP_Label_63ff9749-f68b-40ec-aa05-229831920469_ContentBits">
    <vt:lpwstr>2</vt:lpwstr>
  </property>
</Properties>
</file>