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D1D0" w14:textId="77777777" w:rsidR="004D37F5" w:rsidRPr="00BC4809" w:rsidRDefault="004D37F5" w:rsidP="004D37F5">
      <w:pPr>
        <w:rPr>
          <w:rFonts w:ascii="Tahoma" w:hAnsi="Tahoma" w:cs="Tahoma"/>
          <w:b/>
          <w:sz w:val="20"/>
          <w:szCs w:val="20"/>
        </w:rPr>
      </w:pPr>
      <w:r w:rsidRPr="00BC4809">
        <w:rPr>
          <w:rFonts w:ascii="Tahoma" w:hAnsi="Tahoma" w:cs="Tahoma"/>
          <w:b/>
          <w:sz w:val="20"/>
          <w:szCs w:val="20"/>
        </w:rPr>
        <w:t>Moravskoslezský kraj</w:t>
      </w:r>
    </w:p>
    <w:p w14:paraId="57F7BEDA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Krajský úřad Moravskoslezského kraje</w:t>
      </w:r>
    </w:p>
    <w:p w14:paraId="56618411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Odbor sociálních věcí</w:t>
      </w:r>
    </w:p>
    <w:p w14:paraId="761455F7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532E41D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C65D7EC" w14:textId="77777777" w:rsidR="004D37F5" w:rsidRPr="00BC4809" w:rsidRDefault="004D37F5" w:rsidP="004D37F5">
      <w:pPr>
        <w:rPr>
          <w:lang w:eastAsia="zh-CN" w:bidi="hi-IN"/>
        </w:rPr>
      </w:pPr>
    </w:p>
    <w:p w14:paraId="3A1932BB" w14:textId="77777777" w:rsidR="004D37F5" w:rsidRDefault="004D37F5" w:rsidP="004D37F5">
      <w:pPr>
        <w:rPr>
          <w:lang w:eastAsia="zh-CN" w:bidi="hi-IN"/>
        </w:rPr>
      </w:pPr>
    </w:p>
    <w:p w14:paraId="73BBFA09" w14:textId="77777777" w:rsidR="004D37F5" w:rsidRPr="00BC4809" w:rsidRDefault="004D37F5" w:rsidP="004D37F5">
      <w:pPr>
        <w:rPr>
          <w:lang w:eastAsia="zh-CN" w:bidi="hi-IN"/>
        </w:rPr>
      </w:pPr>
    </w:p>
    <w:p w14:paraId="0D741DC3" w14:textId="77777777" w:rsidR="004D37F5" w:rsidRPr="00BC4809" w:rsidRDefault="004D37F5" w:rsidP="004D37F5">
      <w:pPr>
        <w:rPr>
          <w:lang w:eastAsia="zh-CN" w:bidi="hi-IN"/>
        </w:rPr>
      </w:pPr>
    </w:p>
    <w:p w14:paraId="3AA68A4C" w14:textId="77777777" w:rsidR="004D37F5" w:rsidRPr="00BC4809" w:rsidRDefault="004D37F5" w:rsidP="004D37F5">
      <w:pPr>
        <w:rPr>
          <w:lang w:eastAsia="zh-CN" w:bidi="hi-IN"/>
        </w:rPr>
      </w:pPr>
    </w:p>
    <w:p w14:paraId="221451E3" w14:textId="77777777" w:rsidR="004D37F5" w:rsidRPr="00BC4809" w:rsidRDefault="004D37F5" w:rsidP="004D37F5">
      <w:pPr>
        <w:rPr>
          <w:lang w:eastAsia="zh-CN" w:bidi="hi-IN"/>
        </w:rPr>
      </w:pPr>
    </w:p>
    <w:p w14:paraId="009647DD" w14:textId="77777777" w:rsidR="004D37F5" w:rsidRPr="00BC4809" w:rsidRDefault="004D37F5" w:rsidP="004D37F5">
      <w:pPr>
        <w:jc w:val="center"/>
        <w:rPr>
          <w:lang w:eastAsia="zh-CN" w:bidi="hi-IN"/>
        </w:rPr>
      </w:pPr>
    </w:p>
    <w:p w14:paraId="204F86F6" w14:textId="37B647F0" w:rsidR="004D37F5" w:rsidRDefault="004D37F5" w:rsidP="004D37F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Způsob výpočtu návrhu </w:t>
      </w:r>
      <w:r w:rsidR="00182075">
        <w:rPr>
          <w:rFonts w:ascii="Tahoma" w:hAnsi="Tahoma" w:cs="Tahoma"/>
          <w:b/>
          <w:bCs/>
        </w:rPr>
        <w:t xml:space="preserve">dotace </w:t>
      </w:r>
      <w:r>
        <w:rPr>
          <w:rFonts w:ascii="Tahoma" w:hAnsi="Tahoma" w:cs="Tahoma"/>
          <w:b/>
          <w:bCs/>
        </w:rPr>
        <w:t xml:space="preserve">a </w:t>
      </w:r>
      <w:r w:rsidR="00182075">
        <w:rPr>
          <w:rFonts w:ascii="Tahoma" w:hAnsi="Tahoma" w:cs="Tahoma"/>
          <w:b/>
          <w:bCs/>
        </w:rPr>
        <w:t xml:space="preserve">návrhu </w:t>
      </w:r>
      <w:r>
        <w:rPr>
          <w:rFonts w:ascii="Tahoma" w:hAnsi="Tahoma" w:cs="Tahoma"/>
          <w:b/>
          <w:bCs/>
        </w:rPr>
        <w:t>navýšení dotace pro rok 20</w:t>
      </w:r>
      <w:r w:rsidR="005C5112">
        <w:rPr>
          <w:rFonts w:ascii="Tahoma" w:hAnsi="Tahoma" w:cs="Tahoma"/>
          <w:b/>
          <w:bCs/>
        </w:rPr>
        <w:t>2</w:t>
      </w:r>
      <w:r w:rsidR="005C4644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 xml:space="preserve"> dle</w:t>
      </w:r>
      <w:r w:rsidR="00182075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 xml:space="preserve">Podmínek dotačního Programu na podporu poskytování sociálních služeb </w:t>
      </w:r>
      <w:r w:rsidR="005C4644">
        <w:rPr>
          <w:rFonts w:ascii="Tahoma" w:hAnsi="Tahoma" w:cs="Tahoma"/>
          <w:b/>
          <w:bCs/>
        </w:rPr>
        <w:t>financovaného</w:t>
      </w:r>
      <w:r>
        <w:rPr>
          <w:rFonts w:ascii="Tahoma" w:hAnsi="Tahoma" w:cs="Tahoma"/>
          <w:b/>
          <w:bCs/>
        </w:rPr>
        <w:t xml:space="preserve"> z kapitoly 313 - MPSV státního rozpočtu</w:t>
      </w:r>
    </w:p>
    <w:p w14:paraId="25F93C26" w14:textId="77777777" w:rsidR="00412A4B" w:rsidRDefault="00412A4B" w:rsidP="004D37F5">
      <w:pPr>
        <w:jc w:val="center"/>
        <w:rPr>
          <w:rFonts w:ascii="Tahoma" w:hAnsi="Tahoma" w:cs="Tahoma"/>
          <w:b/>
          <w:bCs/>
        </w:rPr>
      </w:pPr>
    </w:p>
    <w:p w14:paraId="6585464C" w14:textId="77777777" w:rsidR="004D37F5" w:rsidRPr="00BC4809" w:rsidRDefault="004D37F5" w:rsidP="004D37F5">
      <w:pPr>
        <w:rPr>
          <w:lang w:eastAsia="zh-CN" w:bidi="hi-IN"/>
        </w:rPr>
      </w:pPr>
    </w:p>
    <w:p w14:paraId="44E6B48D" w14:textId="77777777" w:rsidR="004D37F5" w:rsidRPr="00BC4809" w:rsidRDefault="004D37F5" w:rsidP="004D37F5">
      <w:pPr>
        <w:rPr>
          <w:lang w:eastAsia="zh-CN" w:bidi="hi-IN"/>
        </w:rPr>
      </w:pPr>
    </w:p>
    <w:p w14:paraId="61A96CC6" w14:textId="77777777" w:rsidR="004D37F5" w:rsidRPr="00BC4809" w:rsidRDefault="004D37F5" w:rsidP="004D37F5">
      <w:pPr>
        <w:rPr>
          <w:lang w:eastAsia="zh-CN" w:bidi="hi-IN"/>
        </w:rPr>
      </w:pPr>
    </w:p>
    <w:p w14:paraId="3BBEC2D1" w14:textId="77777777" w:rsidR="004D37F5" w:rsidRPr="00BC4809" w:rsidRDefault="004D37F5" w:rsidP="004D37F5">
      <w:pPr>
        <w:rPr>
          <w:lang w:eastAsia="zh-CN" w:bidi="hi-IN"/>
        </w:rPr>
      </w:pPr>
    </w:p>
    <w:p w14:paraId="2044B26E" w14:textId="77777777" w:rsidR="004D37F5" w:rsidRPr="00BC4809" w:rsidRDefault="004D37F5" w:rsidP="004D37F5">
      <w:pPr>
        <w:rPr>
          <w:lang w:eastAsia="zh-CN" w:bidi="hi-IN"/>
        </w:rPr>
      </w:pPr>
    </w:p>
    <w:p w14:paraId="067DEC06" w14:textId="77777777" w:rsidR="004D37F5" w:rsidRPr="00BC4809" w:rsidRDefault="004D37F5" w:rsidP="004D37F5">
      <w:pPr>
        <w:rPr>
          <w:lang w:eastAsia="zh-CN" w:bidi="hi-IN"/>
        </w:rPr>
      </w:pPr>
    </w:p>
    <w:p w14:paraId="27D44F4A" w14:textId="77777777" w:rsidR="004D37F5" w:rsidRPr="00BC4809" w:rsidRDefault="004D37F5" w:rsidP="004D37F5">
      <w:pPr>
        <w:jc w:val="both"/>
        <w:rPr>
          <w:rFonts w:ascii="Tahoma" w:hAnsi="Tahoma" w:cs="Tahoma"/>
          <w:sz w:val="20"/>
          <w:szCs w:val="20"/>
        </w:rPr>
      </w:pPr>
    </w:p>
    <w:p w14:paraId="16F28AB3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BFAD12" w14:textId="7B725834" w:rsidR="005274BD" w:rsidRDefault="005274BD"/>
    <w:p w14:paraId="6CAEAD10" w14:textId="77777777" w:rsidR="00D871D5" w:rsidRDefault="00D871D5"/>
    <w:p w14:paraId="655803A8" w14:textId="77777777" w:rsidR="004F2323" w:rsidRPr="00AE1D1F" w:rsidRDefault="004F2323">
      <w:pPr>
        <w:rPr>
          <w:rFonts w:ascii="Tahoma" w:hAnsi="Tahoma" w:cs="Tahoma"/>
        </w:rPr>
      </w:pPr>
    </w:p>
    <w:p w14:paraId="483E23B4" w14:textId="0A6AC6D4" w:rsidR="004F2323" w:rsidRDefault="004F2323">
      <w:pPr>
        <w:rPr>
          <w:rFonts w:ascii="Tahoma" w:hAnsi="Tahoma" w:cs="Tahoma"/>
        </w:rPr>
      </w:pPr>
      <w:r w:rsidRPr="00AE1D1F">
        <w:rPr>
          <w:rFonts w:ascii="Tahoma" w:hAnsi="Tahoma" w:cs="Tahoma"/>
        </w:rPr>
        <w:t>Zpracovala: Ing. Zuzana Kociánová</w:t>
      </w:r>
    </w:p>
    <w:p w14:paraId="3D5A5C9A" w14:textId="77777777" w:rsidR="00016949" w:rsidRPr="00AE1D1F" w:rsidRDefault="00016949">
      <w:pPr>
        <w:rPr>
          <w:rFonts w:ascii="Tahoma" w:hAnsi="Tahoma" w:cs="Tahoma"/>
        </w:rPr>
      </w:pPr>
    </w:p>
    <w:p w14:paraId="6B037747" w14:textId="77777777" w:rsidR="004F2323" w:rsidRPr="00AE1D1F" w:rsidRDefault="004F2323">
      <w:pPr>
        <w:rPr>
          <w:rFonts w:ascii="Tahoma" w:hAnsi="Tahoma" w:cs="Tahoma"/>
        </w:rPr>
      </w:pPr>
      <w:r w:rsidRPr="00AE1D1F">
        <w:rPr>
          <w:rFonts w:ascii="Tahoma" w:hAnsi="Tahoma" w:cs="Tahoma"/>
        </w:rPr>
        <w:t>Schválil: Mgr. Aleš Neuwirth</w:t>
      </w:r>
    </w:p>
    <w:p w14:paraId="4D72C927" w14:textId="77777777" w:rsidR="004F2323" w:rsidRPr="00AE1D1F" w:rsidRDefault="004F2323">
      <w:pPr>
        <w:rPr>
          <w:rFonts w:ascii="Tahoma" w:hAnsi="Tahoma" w:cs="Tahoma"/>
        </w:rPr>
      </w:pPr>
    </w:p>
    <w:p w14:paraId="615F86A5" w14:textId="34644DDE" w:rsidR="002F29F9" w:rsidRDefault="004F2323">
      <w:r w:rsidRPr="00AE1D1F">
        <w:rPr>
          <w:rFonts w:ascii="Tahoma" w:hAnsi="Tahoma" w:cs="Tahoma"/>
        </w:rPr>
        <w:t>Ostrava, srpen 202</w:t>
      </w:r>
      <w:r w:rsidR="005C4644">
        <w:rPr>
          <w:rFonts w:ascii="Tahoma" w:hAnsi="Tahoma" w:cs="Tahoma"/>
        </w:rPr>
        <w:t>1</w:t>
      </w:r>
      <w:r w:rsidR="002F29F9">
        <w:br w:type="page"/>
      </w:r>
    </w:p>
    <w:p w14:paraId="28BD5291" w14:textId="248C875B" w:rsidR="007D62AC" w:rsidRPr="00D46798" w:rsidRDefault="007D62AC" w:rsidP="00C10C2A">
      <w:pPr>
        <w:pStyle w:val="Nadpis1"/>
        <w:numPr>
          <w:ilvl w:val="0"/>
          <w:numId w:val="46"/>
        </w:numPr>
        <w:ind w:left="567" w:hanging="567"/>
      </w:pPr>
      <w:r w:rsidRPr="00D46798">
        <w:lastRenderedPageBreak/>
        <w:t>Finanční zajištění sociálních služeb v r</w:t>
      </w:r>
      <w:r w:rsidR="00AF1F76">
        <w:t>oce</w:t>
      </w:r>
      <w:r w:rsidR="00AF1F76" w:rsidRPr="00D46798">
        <w:t xml:space="preserve"> </w:t>
      </w:r>
      <w:r w:rsidR="000F4ECB" w:rsidRPr="00D46798">
        <w:t>20</w:t>
      </w:r>
      <w:r w:rsidR="000F4ECB">
        <w:t>2</w:t>
      </w:r>
      <w:r w:rsidR="005C4644">
        <w:t>1</w:t>
      </w:r>
      <w:r w:rsidR="000F4ECB" w:rsidRPr="00D46798">
        <w:t xml:space="preserve"> </w:t>
      </w:r>
      <w:r w:rsidRPr="00D46798">
        <w:t>z prostředků státního rozpočtu</w:t>
      </w:r>
    </w:p>
    <w:p w14:paraId="02154A5D" w14:textId="77777777" w:rsidR="00D46798" w:rsidRPr="007D62AC" w:rsidRDefault="00D46798" w:rsidP="00D46798">
      <w:pPr>
        <w:pStyle w:val="Odstavecseseznamem"/>
        <w:jc w:val="both"/>
        <w:rPr>
          <w:rFonts w:ascii="Tahoma" w:hAnsi="Tahoma" w:cs="Tahoma"/>
          <w:b/>
          <w:sz w:val="20"/>
          <w:szCs w:val="20"/>
        </w:rPr>
      </w:pPr>
    </w:p>
    <w:p w14:paraId="037D95A7" w14:textId="21B52A71" w:rsidR="00706392" w:rsidRDefault="00706392" w:rsidP="0070639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Dotační program s názvem „Program na podporu poskytování sociálních služeb pro rok 2021“ financovaný z kapitoly 313 – MPSV státního rozpočtu (dále jen „Program“) byl vyhlášen radou kraje dne 21. 9. 2020 usnesením č. 96/8502. Program se řídí Podmínkami dotačního Programu na podporu poskytování sociálních služeb financovaného z kapitoly 313 – MPSV státního rozpočtu (dále jen „Podmínky“) schválenými usnesením zastupitelstva kraje č. 15/1512 ze dne 25. 6. 2015 a jejich dodatky. Platnost Podmínek, které představují základní rámec pro vyhlášení dotačního programu na</w:t>
      </w:r>
      <w:r w:rsidR="001A710A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podporu poskytování sociálních služeb pro příslušný rok, je na dobu neurčitou. </w:t>
      </w:r>
    </w:p>
    <w:p w14:paraId="320B04A1" w14:textId="1E57A95E" w:rsidR="002F29F9" w:rsidRDefault="002F29F9" w:rsidP="0005416A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>Dle Metodiky Ministerstva práce a sociálních věcí se dotace ze státního rozpočtu na příslušný kalendářní rok poskytuje na základě „Žádosti kraje o poskytnutí dotace z kapitoly 313 – M</w:t>
      </w:r>
      <w:r w:rsidR="00314F07">
        <w:rPr>
          <w:rFonts w:ascii="Tahoma" w:hAnsi="Tahoma" w:cs="Tahoma"/>
          <w:sz w:val="20"/>
          <w:szCs w:val="20"/>
        </w:rPr>
        <w:t>PSV státního rozpočtu na r. 20</w:t>
      </w:r>
      <w:r w:rsidR="005C5112">
        <w:rPr>
          <w:rFonts w:ascii="Tahoma" w:hAnsi="Tahoma" w:cs="Tahoma"/>
          <w:sz w:val="20"/>
          <w:szCs w:val="20"/>
        </w:rPr>
        <w:t>2</w:t>
      </w:r>
      <w:r w:rsidR="005C4644">
        <w:rPr>
          <w:rFonts w:ascii="Tahoma" w:hAnsi="Tahoma" w:cs="Tahoma"/>
          <w:sz w:val="20"/>
          <w:szCs w:val="20"/>
        </w:rPr>
        <w:t>1</w:t>
      </w:r>
      <w:r w:rsidRPr="002F29F9">
        <w:rPr>
          <w:rFonts w:ascii="Tahoma" w:hAnsi="Tahoma" w:cs="Tahoma"/>
          <w:sz w:val="20"/>
          <w:szCs w:val="20"/>
        </w:rPr>
        <w:t>“ (dále jen „Žádost“). Žádost byla podána Moravskoslezským krajem ve</w:t>
      </w:r>
      <w:r w:rsidR="00F50B69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>stanoveném termínu, tj. do 31. 7. 20</w:t>
      </w:r>
      <w:r w:rsidR="00FE442E">
        <w:rPr>
          <w:rFonts w:ascii="Tahoma" w:hAnsi="Tahoma" w:cs="Tahoma"/>
          <w:sz w:val="20"/>
          <w:szCs w:val="20"/>
        </w:rPr>
        <w:t>20</w:t>
      </w:r>
      <w:r w:rsidRPr="002F29F9">
        <w:rPr>
          <w:rFonts w:ascii="Tahoma" w:hAnsi="Tahoma" w:cs="Tahoma"/>
          <w:sz w:val="20"/>
          <w:szCs w:val="20"/>
        </w:rPr>
        <w:t xml:space="preserve">, v celkové výši </w:t>
      </w:r>
      <w:r w:rsidR="002C0750" w:rsidRPr="002C0750">
        <w:rPr>
          <w:rFonts w:ascii="Tahoma" w:hAnsi="Tahoma" w:cs="Tahoma"/>
          <w:sz w:val="20"/>
          <w:szCs w:val="20"/>
        </w:rPr>
        <w:t>2.</w:t>
      </w:r>
      <w:r w:rsidR="00FE442E">
        <w:rPr>
          <w:rFonts w:ascii="Tahoma" w:hAnsi="Tahoma" w:cs="Tahoma"/>
          <w:sz w:val="20"/>
          <w:szCs w:val="20"/>
        </w:rPr>
        <w:t>684.090</w:t>
      </w:r>
      <w:r w:rsidR="00F73102">
        <w:rPr>
          <w:rFonts w:ascii="Tahoma" w:hAnsi="Tahoma" w:cs="Tahoma"/>
          <w:sz w:val="20"/>
          <w:szCs w:val="20"/>
        </w:rPr>
        <w:t>.000</w:t>
      </w:r>
      <w:r w:rsidR="002C0750" w:rsidRPr="002C0750">
        <w:rPr>
          <w:rFonts w:ascii="Tahoma" w:hAnsi="Tahoma" w:cs="Tahoma"/>
          <w:sz w:val="20"/>
          <w:szCs w:val="20"/>
        </w:rPr>
        <w:t xml:space="preserve"> Kč.</w:t>
      </w:r>
    </w:p>
    <w:p w14:paraId="6BBD62A3" w14:textId="4DB05629" w:rsidR="0005416A" w:rsidRPr="002F29F9" w:rsidRDefault="0005416A" w:rsidP="0005416A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2F29F9">
        <w:rPr>
          <w:rFonts w:ascii="Tahoma" w:hAnsi="Tahoma" w:cs="Tahoma"/>
          <w:sz w:val="20"/>
          <w:szCs w:val="20"/>
        </w:rPr>
        <w:t>Moravskoslezskému kraji byly „Rozhodnutím č. 1 o poskytnutí dotace z kapitoly 313 – MPSV státníh</w:t>
      </w:r>
      <w:r w:rsidR="002F29F9" w:rsidRPr="002F29F9">
        <w:rPr>
          <w:rFonts w:ascii="Tahoma" w:hAnsi="Tahoma" w:cs="Tahoma"/>
          <w:sz w:val="20"/>
          <w:szCs w:val="20"/>
        </w:rPr>
        <w:t xml:space="preserve">o rozpočtu na rok </w:t>
      </w:r>
      <w:r w:rsidR="000F4ECB" w:rsidRPr="002F29F9">
        <w:rPr>
          <w:rFonts w:ascii="Tahoma" w:hAnsi="Tahoma" w:cs="Tahoma"/>
          <w:sz w:val="20"/>
          <w:szCs w:val="20"/>
        </w:rPr>
        <w:t>20</w:t>
      </w:r>
      <w:r w:rsidR="000F4ECB">
        <w:rPr>
          <w:rFonts w:ascii="Tahoma" w:hAnsi="Tahoma" w:cs="Tahoma"/>
          <w:sz w:val="20"/>
          <w:szCs w:val="20"/>
        </w:rPr>
        <w:t>2</w:t>
      </w:r>
      <w:r w:rsidR="005C4644">
        <w:rPr>
          <w:rFonts w:ascii="Tahoma" w:hAnsi="Tahoma" w:cs="Tahoma"/>
          <w:sz w:val="20"/>
          <w:szCs w:val="20"/>
        </w:rPr>
        <w:t>1</w:t>
      </w:r>
      <w:r w:rsidR="002F29F9">
        <w:rPr>
          <w:rFonts w:ascii="Tahoma" w:hAnsi="Tahoma" w:cs="Tahoma"/>
          <w:sz w:val="20"/>
          <w:szCs w:val="20"/>
        </w:rPr>
        <w:t xml:space="preserve">“ ze dne </w:t>
      </w:r>
      <w:r w:rsidR="00FE442E">
        <w:rPr>
          <w:rFonts w:ascii="Tahoma" w:hAnsi="Tahoma" w:cs="Tahoma"/>
          <w:sz w:val="20"/>
          <w:szCs w:val="20"/>
        </w:rPr>
        <w:t>7</w:t>
      </w:r>
      <w:r w:rsidR="002F29F9" w:rsidRPr="004D7530">
        <w:rPr>
          <w:rFonts w:ascii="Tahoma" w:hAnsi="Tahoma" w:cs="Tahoma"/>
          <w:sz w:val="20"/>
          <w:szCs w:val="20"/>
        </w:rPr>
        <w:t>. 1. 20</w:t>
      </w:r>
      <w:r w:rsidR="00F73102">
        <w:rPr>
          <w:rFonts w:ascii="Tahoma" w:hAnsi="Tahoma" w:cs="Tahoma"/>
          <w:sz w:val="20"/>
          <w:szCs w:val="20"/>
        </w:rPr>
        <w:t>2</w:t>
      </w:r>
      <w:r w:rsidR="005C4644">
        <w:rPr>
          <w:rFonts w:ascii="Tahoma" w:hAnsi="Tahoma" w:cs="Tahoma"/>
          <w:sz w:val="20"/>
          <w:szCs w:val="20"/>
        </w:rPr>
        <w:t>1</w:t>
      </w:r>
      <w:r w:rsidRPr="002F29F9">
        <w:rPr>
          <w:rFonts w:ascii="Tahoma" w:hAnsi="Tahoma" w:cs="Tahoma"/>
          <w:sz w:val="20"/>
          <w:szCs w:val="20"/>
        </w:rPr>
        <w:t xml:space="preserve"> přiděleny finanční prostředky v celkové výši </w:t>
      </w:r>
      <w:r w:rsidR="00F73102">
        <w:rPr>
          <w:rFonts w:ascii="Tahoma" w:hAnsi="Tahoma" w:cs="Tahoma"/>
          <w:b/>
          <w:sz w:val="20"/>
          <w:szCs w:val="20"/>
        </w:rPr>
        <w:t>2.</w:t>
      </w:r>
      <w:r w:rsidR="00FE442E">
        <w:rPr>
          <w:rFonts w:ascii="Tahoma" w:hAnsi="Tahoma" w:cs="Tahoma"/>
          <w:b/>
          <w:sz w:val="20"/>
          <w:szCs w:val="20"/>
        </w:rPr>
        <w:t>416</w:t>
      </w:r>
      <w:r w:rsidR="00F73102">
        <w:rPr>
          <w:rFonts w:ascii="Tahoma" w:hAnsi="Tahoma" w:cs="Tahoma"/>
          <w:b/>
          <w:sz w:val="20"/>
          <w:szCs w:val="20"/>
        </w:rPr>
        <w:t>.</w:t>
      </w:r>
      <w:r w:rsidR="00FE442E">
        <w:rPr>
          <w:rFonts w:ascii="Tahoma" w:hAnsi="Tahoma" w:cs="Tahoma"/>
          <w:b/>
          <w:sz w:val="20"/>
          <w:szCs w:val="20"/>
        </w:rPr>
        <w:t>154</w:t>
      </w:r>
      <w:r w:rsidR="00F73102">
        <w:rPr>
          <w:rFonts w:ascii="Tahoma" w:hAnsi="Tahoma" w:cs="Tahoma"/>
          <w:b/>
          <w:sz w:val="20"/>
          <w:szCs w:val="20"/>
        </w:rPr>
        <w:t>.</w:t>
      </w:r>
      <w:r w:rsidR="00FE442E">
        <w:rPr>
          <w:rFonts w:ascii="Tahoma" w:hAnsi="Tahoma" w:cs="Tahoma"/>
          <w:b/>
          <w:sz w:val="20"/>
          <w:szCs w:val="20"/>
        </w:rPr>
        <w:t>2</w:t>
      </w:r>
      <w:r w:rsidR="00F73102">
        <w:rPr>
          <w:rFonts w:ascii="Tahoma" w:hAnsi="Tahoma" w:cs="Tahoma"/>
          <w:b/>
          <w:sz w:val="20"/>
          <w:szCs w:val="20"/>
        </w:rPr>
        <w:t>64</w:t>
      </w:r>
      <w:r w:rsidR="00016949">
        <w:rPr>
          <w:rFonts w:ascii="Tahoma" w:hAnsi="Tahoma" w:cs="Tahoma"/>
          <w:b/>
          <w:sz w:val="20"/>
          <w:szCs w:val="20"/>
        </w:rPr>
        <w:t> Kč</w:t>
      </w:r>
      <w:r w:rsidR="00B16641">
        <w:rPr>
          <w:rFonts w:ascii="Tahoma" w:hAnsi="Tahoma" w:cs="Tahoma"/>
          <w:b/>
          <w:sz w:val="20"/>
          <w:szCs w:val="20"/>
        </w:rPr>
        <w:t>.</w:t>
      </w:r>
      <w:r w:rsidR="00314F07">
        <w:rPr>
          <w:rFonts w:ascii="Tahoma" w:hAnsi="Tahoma" w:cs="Tahoma"/>
          <w:b/>
          <w:sz w:val="20"/>
          <w:szCs w:val="20"/>
        </w:rPr>
        <w:t xml:space="preserve"> </w:t>
      </w:r>
      <w:r w:rsidRPr="002F29F9">
        <w:rPr>
          <w:rFonts w:ascii="Tahoma" w:hAnsi="Tahoma" w:cs="Tahoma"/>
          <w:sz w:val="20"/>
          <w:szCs w:val="20"/>
        </w:rPr>
        <w:t>Protože optimální návrh</w:t>
      </w:r>
      <w:r w:rsidR="00B16641">
        <w:rPr>
          <w:rFonts w:ascii="Tahoma" w:hAnsi="Tahoma" w:cs="Tahoma"/>
          <w:sz w:val="20"/>
          <w:szCs w:val="20"/>
        </w:rPr>
        <w:t xml:space="preserve"> dotace stanovený při hodnocení </w:t>
      </w:r>
      <w:r w:rsidR="00E03BE5">
        <w:rPr>
          <w:rFonts w:ascii="Tahoma" w:hAnsi="Tahoma" w:cs="Tahoma"/>
          <w:sz w:val="20"/>
          <w:szCs w:val="20"/>
        </w:rPr>
        <w:t xml:space="preserve">žádostí </w:t>
      </w:r>
      <w:r w:rsidR="00516B1D" w:rsidRPr="002F29F9">
        <w:rPr>
          <w:rFonts w:ascii="Tahoma" w:hAnsi="Tahoma" w:cs="Tahoma"/>
          <w:sz w:val="20"/>
          <w:szCs w:val="20"/>
        </w:rPr>
        <w:t>byl</w:t>
      </w:r>
      <w:r w:rsidRPr="002F29F9">
        <w:rPr>
          <w:rFonts w:ascii="Tahoma" w:hAnsi="Tahoma" w:cs="Tahoma"/>
          <w:sz w:val="20"/>
          <w:szCs w:val="20"/>
        </w:rPr>
        <w:t xml:space="preserve"> vyšší než přidělená částka dotace pro Moravskoslezský kraj, bylo nutné pro rozdělení přiděleného objemu blíže specifikovat způsob výpočtu návrhu dotace dle</w:t>
      </w:r>
      <w:r w:rsidR="00E03BE5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 xml:space="preserve">Podmínek dotačního Programu. </w:t>
      </w:r>
    </w:p>
    <w:p w14:paraId="5B7DF25C" w14:textId="4409E049" w:rsidR="0005416A" w:rsidRDefault="0005416A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33C6F">
        <w:rPr>
          <w:rFonts w:ascii="Tahoma" w:hAnsi="Tahoma" w:cs="Tahoma"/>
          <w:sz w:val="20"/>
          <w:szCs w:val="20"/>
        </w:rPr>
        <w:t>Usnesením</w:t>
      </w:r>
      <w:r w:rsidRPr="002F29F9">
        <w:rPr>
          <w:rFonts w:ascii="Tahoma" w:hAnsi="Tahoma" w:cs="Tahoma"/>
          <w:sz w:val="20"/>
          <w:szCs w:val="20"/>
        </w:rPr>
        <w:t xml:space="preserve"> č. </w:t>
      </w:r>
      <w:r w:rsidR="00016949">
        <w:rPr>
          <w:rFonts w:ascii="Tahoma" w:hAnsi="Tahoma" w:cs="Tahoma"/>
          <w:sz w:val="20"/>
          <w:szCs w:val="20"/>
        </w:rPr>
        <w:t>3</w:t>
      </w:r>
      <w:r w:rsidR="00516B1D" w:rsidRPr="004D7530">
        <w:rPr>
          <w:rFonts w:ascii="Tahoma" w:hAnsi="Tahoma" w:cs="Tahoma"/>
          <w:sz w:val="20"/>
          <w:szCs w:val="20"/>
        </w:rPr>
        <w:t>/</w:t>
      </w:r>
      <w:r w:rsidR="00016949">
        <w:rPr>
          <w:rFonts w:ascii="Tahoma" w:hAnsi="Tahoma" w:cs="Tahoma"/>
          <w:sz w:val="20"/>
          <w:szCs w:val="20"/>
        </w:rPr>
        <w:t>230</w:t>
      </w:r>
      <w:r w:rsidRPr="004D7530">
        <w:rPr>
          <w:rFonts w:ascii="Tahoma" w:hAnsi="Tahoma" w:cs="Tahoma"/>
          <w:sz w:val="20"/>
          <w:szCs w:val="20"/>
        </w:rPr>
        <w:t xml:space="preserve"> ze dne </w:t>
      </w:r>
      <w:r w:rsidR="00016949">
        <w:rPr>
          <w:rFonts w:ascii="Tahoma" w:hAnsi="Tahoma" w:cs="Tahoma"/>
          <w:sz w:val="20"/>
          <w:szCs w:val="20"/>
        </w:rPr>
        <w:t>17</w:t>
      </w:r>
      <w:r w:rsidR="00516B1D" w:rsidRPr="004D7530">
        <w:rPr>
          <w:rFonts w:ascii="Tahoma" w:hAnsi="Tahoma" w:cs="Tahoma"/>
          <w:sz w:val="20"/>
          <w:szCs w:val="20"/>
        </w:rPr>
        <w:t>. 3. 20</w:t>
      </w:r>
      <w:r w:rsidR="00F73102">
        <w:rPr>
          <w:rFonts w:ascii="Tahoma" w:hAnsi="Tahoma" w:cs="Tahoma"/>
          <w:sz w:val="20"/>
          <w:szCs w:val="20"/>
        </w:rPr>
        <w:t>2</w:t>
      </w:r>
      <w:r w:rsidR="005C4644">
        <w:rPr>
          <w:rFonts w:ascii="Tahoma" w:hAnsi="Tahoma" w:cs="Tahoma"/>
          <w:sz w:val="20"/>
          <w:szCs w:val="20"/>
        </w:rPr>
        <w:t>1</w:t>
      </w:r>
      <w:r w:rsidRPr="004D7530">
        <w:rPr>
          <w:rFonts w:ascii="Tahoma" w:hAnsi="Tahoma" w:cs="Tahoma"/>
          <w:sz w:val="20"/>
          <w:szCs w:val="20"/>
        </w:rPr>
        <w:t xml:space="preserve"> rozhodlo</w:t>
      </w:r>
      <w:r w:rsidRPr="002F29F9">
        <w:rPr>
          <w:rFonts w:ascii="Tahoma" w:hAnsi="Tahoma" w:cs="Tahoma"/>
          <w:sz w:val="20"/>
          <w:szCs w:val="20"/>
        </w:rPr>
        <w:t xml:space="preserve"> zastupitelstvo kraje poskytnout účelové dotace v celkové výši </w:t>
      </w:r>
      <w:r w:rsidR="003A7950">
        <w:rPr>
          <w:rFonts w:ascii="Tahoma" w:hAnsi="Tahoma" w:cs="Tahoma"/>
          <w:sz w:val="20"/>
          <w:szCs w:val="20"/>
        </w:rPr>
        <w:t>2.</w:t>
      </w:r>
      <w:r w:rsidR="00016949">
        <w:rPr>
          <w:rFonts w:ascii="Tahoma" w:hAnsi="Tahoma" w:cs="Tahoma"/>
          <w:sz w:val="20"/>
          <w:szCs w:val="20"/>
        </w:rPr>
        <w:t>340.642.264</w:t>
      </w:r>
      <w:r w:rsidRPr="002F29F9">
        <w:rPr>
          <w:rFonts w:ascii="Tahoma" w:hAnsi="Tahoma" w:cs="Tahoma"/>
          <w:sz w:val="20"/>
          <w:szCs w:val="20"/>
        </w:rPr>
        <w:t xml:space="preserve"> Kč a ponechat </w:t>
      </w:r>
      <w:r w:rsidRPr="002F29F9">
        <w:rPr>
          <w:rFonts w:ascii="Tahoma" w:hAnsi="Tahoma" w:cs="Tahoma"/>
          <w:b/>
          <w:sz w:val="20"/>
          <w:szCs w:val="20"/>
        </w:rPr>
        <w:t>rezervu</w:t>
      </w:r>
      <w:r w:rsidRPr="002F29F9">
        <w:rPr>
          <w:rFonts w:ascii="Tahoma" w:hAnsi="Tahoma" w:cs="Tahoma"/>
          <w:sz w:val="20"/>
          <w:szCs w:val="20"/>
        </w:rPr>
        <w:t xml:space="preserve"> ve </w:t>
      </w:r>
      <w:r w:rsidRPr="004D7530">
        <w:rPr>
          <w:rFonts w:ascii="Tahoma" w:hAnsi="Tahoma" w:cs="Tahoma"/>
          <w:sz w:val="20"/>
          <w:szCs w:val="20"/>
        </w:rPr>
        <w:t xml:space="preserve">výši </w:t>
      </w:r>
      <w:r w:rsidR="00016949">
        <w:rPr>
          <w:rFonts w:ascii="Tahoma" w:hAnsi="Tahoma" w:cs="Tahoma"/>
          <w:b/>
          <w:sz w:val="20"/>
          <w:szCs w:val="20"/>
        </w:rPr>
        <w:t>75.512.000</w:t>
      </w:r>
      <w:r w:rsidRPr="004D7530">
        <w:rPr>
          <w:rFonts w:ascii="Tahoma" w:hAnsi="Tahoma" w:cs="Tahoma"/>
          <w:b/>
          <w:sz w:val="20"/>
          <w:szCs w:val="20"/>
        </w:rPr>
        <w:t xml:space="preserve"> Kč</w:t>
      </w:r>
      <w:r w:rsidRPr="004D7530">
        <w:rPr>
          <w:rFonts w:ascii="Tahoma" w:hAnsi="Tahoma" w:cs="Tahoma"/>
          <w:sz w:val="20"/>
          <w:szCs w:val="20"/>
        </w:rPr>
        <w:t xml:space="preserve"> k financování</w:t>
      </w:r>
      <w:r w:rsidRPr="002F29F9">
        <w:rPr>
          <w:rFonts w:ascii="Tahoma" w:hAnsi="Tahoma" w:cs="Tahoma"/>
          <w:sz w:val="20"/>
          <w:szCs w:val="20"/>
        </w:rPr>
        <w:t xml:space="preserve"> např.</w:t>
      </w:r>
      <w:r w:rsidR="00E03BE5">
        <w:rPr>
          <w:rFonts w:ascii="Tahoma" w:hAnsi="Tahoma" w:cs="Tahoma"/>
          <w:sz w:val="20"/>
          <w:szCs w:val="20"/>
        </w:rPr>
        <w:t> </w:t>
      </w:r>
      <w:r w:rsidR="002F29F9" w:rsidRPr="002F29F9">
        <w:rPr>
          <w:rFonts w:ascii="Tahoma" w:hAnsi="Tahoma" w:cs="Tahoma"/>
          <w:sz w:val="20"/>
          <w:szCs w:val="20"/>
        </w:rPr>
        <w:t>nově vzniklých sociálních služeb (rozvoj) a služeb s kapacitou navýšenou během roku, k</w:t>
      </w:r>
      <w:r w:rsidR="00E03BE5">
        <w:rPr>
          <w:rFonts w:ascii="Tahoma" w:hAnsi="Tahoma" w:cs="Tahoma"/>
          <w:sz w:val="20"/>
          <w:szCs w:val="20"/>
        </w:rPr>
        <w:t> </w:t>
      </w:r>
      <w:r w:rsidR="002F29F9" w:rsidRPr="002F29F9">
        <w:rPr>
          <w:rFonts w:ascii="Tahoma" w:hAnsi="Tahoma" w:cs="Tahoma"/>
          <w:sz w:val="20"/>
          <w:szCs w:val="20"/>
        </w:rPr>
        <w:t>dofinancování sociálních služeb či k řešení specifických potřeb</w:t>
      </w:r>
      <w:r w:rsidRPr="002F29F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0815D2F0" w14:textId="1F7623E6" w:rsidR="0093699A" w:rsidRDefault="00702F81" w:rsidP="00702F8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Dne </w:t>
      </w:r>
      <w:r w:rsidR="0041056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  <w:r w:rsidR="0041056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202</w:t>
      </w:r>
      <w:r w:rsidR="0001694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obdržel odbor sociálních věcí krajského úřadu z Ministerstva práce a</w:t>
      </w:r>
      <w:r w:rsidR="0001694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sociálních věcí </w:t>
      </w:r>
      <w:r w:rsidR="0041056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„Dodatek č. 1 k </w:t>
      </w:r>
      <w:r w:rsidR="0041056E" w:rsidRPr="002F29F9">
        <w:rPr>
          <w:rFonts w:ascii="Tahoma" w:hAnsi="Tahoma" w:cs="Tahoma"/>
          <w:sz w:val="20"/>
          <w:szCs w:val="20"/>
        </w:rPr>
        <w:t>Rozhodnutí č. 1 o poskytnutí dotace z kapitoly 313 – MPSV státního rozpočtu na rok 20</w:t>
      </w:r>
      <w:r w:rsidR="0041056E">
        <w:rPr>
          <w:rFonts w:ascii="Tahoma" w:hAnsi="Tahoma" w:cs="Tahoma"/>
          <w:sz w:val="20"/>
          <w:szCs w:val="20"/>
        </w:rPr>
        <w:t xml:space="preserve">21“ o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přidělení dalších finanční</w:t>
      </w:r>
      <w:r w:rsidR="007E36B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ch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prostředků</w:t>
      </w:r>
      <w:r w:rsidR="0041056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ve výši</w:t>
      </w:r>
      <w:r w:rsidR="0093699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16949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88.748.271 Kč</w:t>
      </w:r>
      <w:r w:rsidR="00953070" w:rsidRPr="007E36B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</w:t>
      </w:r>
      <w:r w:rsidR="0095307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376F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Tyto finanční prostředky jsou určeny na krytí personálních nákladů vzniklých v souvislosti s navýšením platů a mezd od 1.</w:t>
      </w:r>
      <w:r w:rsidR="001A710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376F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1.</w:t>
      </w:r>
      <w:r w:rsidR="001A710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376F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2021 dle nařízení vlády č. 603/2020 Sb., kterým se mění nařízení vlády č. 341/2017 Sb., o platových poměrech zaměstnanců ve veřejných službách a správě, ve znění pozdějších předpisů, a také na krytí personálních vícenákladů v souvislosti s realizací mimořádného dotačního titulu na odměny pro</w:t>
      </w:r>
      <w:r w:rsidR="001A710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0376F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zaměstnance v sociálních službách.</w:t>
      </w:r>
    </w:p>
    <w:p w14:paraId="0133CBD9" w14:textId="281A6CED" w:rsidR="00016949" w:rsidRDefault="00016949" w:rsidP="00016949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rámci dočerpání finančních prostředků Programu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je 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celkem k dispozici pro rozdělení částka </w:t>
      </w:r>
      <w:r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164.260.271</w:t>
      </w:r>
      <w:r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Kč.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18D19452" w14:textId="77777777" w:rsidR="000049DF" w:rsidRPr="002F29F9" w:rsidRDefault="000049DF" w:rsidP="00016949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0A03DAA2" w14:textId="00AA3442" w:rsidR="0093699A" w:rsidRPr="000049DF" w:rsidRDefault="00751EFD" w:rsidP="00702F8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0049D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Tabulka č. 1 – Přehled finančních prostředků k dočerpání v r. 202</w:t>
      </w:r>
      <w:r w:rsidR="005C4644" w:rsidRPr="000049D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</w:p>
    <w:tbl>
      <w:tblPr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843"/>
      </w:tblGrid>
      <w:tr w:rsidR="00751EFD" w:rsidRPr="00631DD6" w14:paraId="6C02E0D1" w14:textId="77777777" w:rsidTr="00751EFD">
        <w:trPr>
          <w:trHeight w:val="48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6A9B6D" w14:textId="77777777" w:rsidR="00751EFD" w:rsidRPr="009D1EBF" w:rsidRDefault="00751EFD" w:rsidP="00B962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Zdroj finančních prostředků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D96BA1" w14:textId="77777777" w:rsidR="00751EFD" w:rsidRPr="009D1EBF" w:rsidRDefault="00751EFD" w:rsidP="00B962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Částka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(</w:t>
            </w: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v Kč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751EFD" w:rsidRPr="00631DD6" w14:paraId="7459B847" w14:textId="77777777" w:rsidTr="00751EFD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B054" w14:textId="77777777" w:rsidR="00751EFD" w:rsidRPr="00631DD6" w:rsidRDefault="00751EFD" w:rsidP="00B962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31DD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Rezerva MSK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70D7" w14:textId="750ABF5B" w:rsidR="00751EFD" w:rsidRPr="00631DD6" w:rsidRDefault="00C10C2A" w:rsidP="00B962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75.512.000</w:t>
            </w:r>
          </w:p>
        </w:tc>
      </w:tr>
      <w:tr w:rsidR="00751EFD" w:rsidRPr="00631DD6" w14:paraId="2F4D5B70" w14:textId="77777777" w:rsidTr="004A0537">
        <w:trPr>
          <w:trHeight w:val="56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E415" w14:textId="6E159590" w:rsidR="00751EFD" w:rsidRPr="00FD0292" w:rsidRDefault="000376F0" w:rsidP="00B962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</w:t>
            </w:r>
            <w:r w:rsidR="00751EFD" w:rsidRPr="00FD02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ofinancování MPSV dle </w:t>
            </w:r>
            <w:r w:rsidR="00C10C2A"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>Dodatku č. 1 k </w:t>
            </w:r>
            <w:r w:rsidR="00C10C2A" w:rsidRPr="002F29F9">
              <w:rPr>
                <w:rFonts w:ascii="Tahoma" w:hAnsi="Tahoma" w:cs="Tahoma"/>
                <w:sz w:val="20"/>
                <w:szCs w:val="20"/>
              </w:rPr>
              <w:t>Rozhodnutí č. 1 o poskytnutí dotace z kapitoly 313 – MPSV státního rozpočtu na rok 20</w:t>
            </w:r>
            <w:r w:rsidR="00C10C2A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E1DB" w14:textId="58E5CC95" w:rsidR="00751EFD" w:rsidRPr="00631DD6" w:rsidRDefault="00C10C2A" w:rsidP="00B962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88.748.271</w:t>
            </w:r>
          </w:p>
        </w:tc>
      </w:tr>
      <w:tr w:rsidR="00751EFD" w:rsidRPr="00631DD6" w14:paraId="55BFC283" w14:textId="77777777" w:rsidTr="00751EFD">
        <w:trPr>
          <w:trHeight w:val="4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B9991A" w14:textId="77777777" w:rsidR="00751EFD" w:rsidRPr="009D1EBF" w:rsidRDefault="00751EFD" w:rsidP="00B962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Celkem pro dofinancování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3343DF" w14:textId="1D71124F" w:rsidR="00751EFD" w:rsidRPr="009D1EBF" w:rsidRDefault="00C10C2A" w:rsidP="00B962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164.260.271</w:t>
            </w:r>
          </w:p>
        </w:tc>
      </w:tr>
    </w:tbl>
    <w:p w14:paraId="21E99A48" w14:textId="43377F44" w:rsidR="00F81E79" w:rsidRDefault="00F81E79" w:rsidP="00702F81">
      <w:pPr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</w:p>
    <w:p w14:paraId="431A2A18" w14:textId="5DCDC51E" w:rsidR="00C324BE" w:rsidRDefault="00C324BE" w:rsidP="00702F81">
      <w:pPr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</w:p>
    <w:p w14:paraId="3A0FE70A" w14:textId="77777777" w:rsidR="00C324BE" w:rsidRDefault="00C324BE" w:rsidP="00702F81">
      <w:pPr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</w:p>
    <w:p w14:paraId="04EB34EF" w14:textId="650099E2" w:rsidR="00516B1D" w:rsidRPr="00C33C6F" w:rsidRDefault="007D62AC" w:rsidP="00C10C2A">
      <w:pPr>
        <w:pStyle w:val="Nadpis1"/>
        <w:numPr>
          <w:ilvl w:val="0"/>
          <w:numId w:val="46"/>
        </w:numPr>
        <w:ind w:left="567" w:hanging="567"/>
        <w:rPr>
          <w:rFonts w:eastAsia="Droid Sans"/>
          <w:lang w:eastAsia="zh-CN" w:bidi="hi-IN"/>
        </w:rPr>
      </w:pPr>
      <w:r w:rsidRPr="00C33C6F">
        <w:rPr>
          <w:rFonts w:eastAsia="Droid Sans"/>
          <w:lang w:eastAsia="zh-CN" w:bidi="hi-IN"/>
        </w:rPr>
        <w:lastRenderedPageBreak/>
        <w:t xml:space="preserve">Dočerpání </w:t>
      </w:r>
      <w:r w:rsidRPr="00C10C2A">
        <w:t>finančních</w:t>
      </w:r>
      <w:r w:rsidRPr="00C33C6F">
        <w:rPr>
          <w:rFonts w:eastAsia="Droid Sans"/>
          <w:lang w:eastAsia="zh-CN" w:bidi="hi-IN"/>
        </w:rPr>
        <w:t xml:space="preserve"> prostředků ze státního rozpočtu v r</w:t>
      </w:r>
      <w:r w:rsidR="00AF1F76" w:rsidRPr="00C33C6F">
        <w:rPr>
          <w:rFonts w:eastAsia="Droid Sans"/>
          <w:lang w:eastAsia="zh-CN" w:bidi="hi-IN"/>
        </w:rPr>
        <w:t>oce</w:t>
      </w:r>
      <w:r w:rsidRPr="00C33C6F">
        <w:rPr>
          <w:rFonts w:eastAsia="Droid Sans"/>
          <w:lang w:eastAsia="zh-CN" w:bidi="hi-IN"/>
        </w:rPr>
        <w:t xml:space="preserve"> 20</w:t>
      </w:r>
      <w:r w:rsidR="009629EC" w:rsidRPr="00C33C6F">
        <w:rPr>
          <w:rFonts w:eastAsia="Droid Sans"/>
          <w:lang w:eastAsia="zh-CN" w:bidi="hi-IN"/>
        </w:rPr>
        <w:t>2</w:t>
      </w:r>
      <w:r w:rsidR="005C4644">
        <w:rPr>
          <w:rFonts w:eastAsia="Droid Sans"/>
          <w:lang w:eastAsia="zh-CN" w:bidi="hi-IN"/>
        </w:rPr>
        <w:t>1</w:t>
      </w:r>
    </w:p>
    <w:p w14:paraId="4E5A5677" w14:textId="77777777" w:rsidR="00D46798" w:rsidRPr="002F29F9" w:rsidRDefault="00D46798" w:rsidP="00D46798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7AB4026C" w14:textId="1EA12230" w:rsidR="009C0E2F" w:rsidRPr="00E94A22" w:rsidRDefault="009C0E2F" w:rsidP="009C0E2F">
      <w:pPr>
        <w:pStyle w:val="Normlnweb"/>
        <w:spacing w:before="0" w:beforeAutospacing="0" w:after="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Stanovení způsobu dočerpání finančních prostředků Programu je 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uvedeno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Podmínkách. V souladu s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Podmínkami</w:t>
      </w:r>
      <w:r w:rsidR="00E94A22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 usnesením rady 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kraje č. </w:t>
      </w:r>
      <w:r w:rsidR="00FC7D4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16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/</w:t>
      </w:r>
      <w:r w:rsidR="00FC7D4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1029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ze dne 1</w:t>
      </w:r>
      <w:r w:rsidR="00FC7D4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5. 20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5C464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stanoven termín a způsob podání žádostí za účelem dočerpání finančních prostředků. </w:t>
      </w:r>
    </w:p>
    <w:p w14:paraId="66CDD85A" w14:textId="77777777" w:rsidR="009C0E2F" w:rsidRPr="002F29F9" w:rsidRDefault="009C0E2F" w:rsidP="009C0E2F">
      <w:pPr>
        <w:pStyle w:val="Normlnweb"/>
        <w:spacing w:before="0" w:beforeAutospacing="0" w:after="0" w:afterAutospacing="0"/>
        <w:jc w:val="both"/>
        <w:rPr>
          <w:sz w:val="20"/>
          <w:szCs w:val="20"/>
          <w:highlight w:val="yellow"/>
        </w:rPr>
      </w:pPr>
    </w:p>
    <w:p w14:paraId="01F1DCED" w14:textId="3A8C2F8E" w:rsidR="003B1060" w:rsidRPr="00532320" w:rsidRDefault="003B1060" w:rsidP="00D2055E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Za účelem dočerpání finančních prostředků účelově vyčleněných pro tento dotační program </w:t>
      </w:r>
      <w:r w:rsidR="00D2055E" w:rsidRPr="00D205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mohl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podat v 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termínu od </w:t>
      </w:r>
      <w:r w:rsidR="00FC7D4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12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 6. do </w:t>
      </w:r>
      <w:r w:rsidR="00FC7D4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 </w:t>
      </w:r>
      <w:r w:rsidR="00FC7D4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 20</w:t>
      </w:r>
      <w:r w:rsidR="00B94D6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FC7D4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dle ustanovení článku X </w:t>
      </w:r>
      <w:r w:rsid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odst. 1</w:t>
      </w:r>
      <w:r w:rsid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Podmínek uvedeného dotačního programu:</w:t>
      </w:r>
    </w:p>
    <w:p w14:paraId="3EBD6C8D" w14:textId="1902DBFA" w:rsidR="00C324BE" w:rsidRPr="00C324BE" w:rsidRDefault="00C324BE" w:rsidP="00C324BE">
      <w:pPr>
        <w:numPr>
          <w:ilvl w:val="0"/>
          <w:numId w:val="24"/>
        </w:numPr>
        <w:spacing w:before="120" w:after="0" w:line="240" w:lineRule="auto"/>
        <w:ind w:left="714" w:hanging="357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Žádost o </w:t>
      </w:r>
      <w:proofErr w:type="gramStart"/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dofinancování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- pouze</w:t>
      </w:r>
      <w:proofErr w:type="gramEnd"/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poskytovatel sociální služby, který požádal o poskytnutí dotace dle článku VII Podmínek, tj. v řádném kole, a nebyla mu poskytnuta dotace do výše optimálního návrhu dotace. Dle článku IX, odst. 5 Podmínek nesmí požadavek na dofinancování spolu s již přiznanou dotací překročit optimální návrh dotace. V případě, že</w:t>
      </w:r>
      <w:r w:rsidR="00B606E1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 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předložená žádost o dofinancování obsahova</w:t>
      </w:r>
      <w:r w:rsidR="003A719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la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požadavek přesahující s již přiznaným reálným návrhem dotace optimální návrh, neb</w:t>
      </w:r>
      <w:r w:rsidR="003A719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yla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žádost vyřazena, ale dofinancování </w:t>
      </w:r>
      <w:r w:rsidR="001405B1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je navrhováno poskytnout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maximálně do výše optimálního návrhu dotace. Požadavek na dofinancování musí být řádně odůvodněn. Žádost mus</w:t>
      </w:r>
      <w:r w:rsidR="003A719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ela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být podána na formuláři „Žádost o dofinancování sociální služby v rámci Podmínek dotačního programu na podporu poskytování sociálních služeb financovaného z kapitoly 313 – MPSV státního rozpočtu“.</w:t>
      </w:r>
    </w:p>
    <w:p w14:paraId="3295D391" w14:textId="5E18B5B2" w:rsidR="00C324BE" w:rsidRPr="00C324BE" w:rsidRDefault="00C324BE" w:rsidP="00C324BE">
      <w:pPr>
        <w:numPr>
          <w:ilvl w:val="0"/>
          <w:numId w:val="24"/>
        </w:numPr>
        <w:spacing w:before="120" w:after="0" w:line="240" w:lineRule="auto"/>
        <w:ind w:left="714" w:hanging="357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Žádost o dotaci pro služby a kapacity nově zařazené do Krajské sítě sociálních služeb se statusem „základní“ po lhůtě stanovené pro podání žádostí o </w:t>
      </w:r>
      <w:proofErr w:type="gramStart"/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 xml:space="preserve">dotaci 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- pouze</w:t>
      </w:r>
      <w:proofErr w:type="gramEnd"/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 xml:space="preserve"> </w:t>
      </w:r>
      <w:r w:rsidRPr="00C324BE">
        <w:rPr>
          <w:rFonts w:ascii="Tahoma" w:eastAsia="Times New Roman" w:hAnsi="Tahoma" w:cs="Tahoma"/>
          <w:bCs/>
          <w:color w:val="231F20"/>
          <w:sz w:val="20"/>
          <w:szCs w:val="20"/>
          <w:lang w:eastAsia="cs-CZ"/>
        </w:rPr>
        <w:t>poskytovatel sociální služby nově zařazené sociální služby či kapacity do Krajské sítě sociálních služeb se statusem „základní“. Žádost se podáv</w:t>
      </w:r>
      <w:r w:rsidR="001405B1">
        <w:rPr>
          <w:rFonts w:ascii="Tahoma" w:eastAsia="Times New Roman" w:hAnsi="Tahoma" w:cs="Tahoma"/>
          <w:bCs/>
          <w:color w:val="231F20"/>
          <w:sz w:val="20"/>
          <w:szCs w:val="20"/>
          <w:lang w:eastAsia="cs-CZ"/>
        </w:rPr>
        <w:t>ala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prostřednictvím internetové aplikace "OKslužby – poskytovatel". Pro stanovení dotace platí Podmínky a Program v plném rozsahu.</w:t>
      </w:r>
    </w:p>
    <w:p w14:paraId="0EC9700F" w14:textId="7690A2E7" w:rsidR="00C324BE" w:rsidRPr="00C324BE" w:rsidRDefault="00C324BE" w:rsidP="00C324BE">
      <w:pPr>
        <w:numPr>
          <w:ilvl w:val="0"/>
          <w:numId w:val="24"/>
        </w:numPr>
        <w:spacing w:before="120" w:after="0" w:line="240" w:lineRule="auto"/>
        <w:ind w:left="714" w:hanging="357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Žádost o </w:t>
      </w:r>
      <w:proofErr w:type="gramStart"/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 xml:space="preserve">dotaci 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- pouze</w:t>
      </w:r>
      <w:proofErr w:type="gramEnd"/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poskytovatel sociální služby</w:t>
      </w:r>
      <w:r w:rsidRPr="00C324BE">
        <w:rPr>
          <w:rFonts w:ascii="Tahoma" w:eastAsia="Times New Roman" w:hAnsi="Tahoma" w:cs="Tahoma"/>
          <w:bCs/>
          <w:color w:val="231F20"/>
          <w:sz w:val="20"/>
          <w:szCs w:val="20"/>
          <w:lang w:eastAsia="cs-CZ"/>
        </w:rPr>
        <w:t>, který nepodal žádost o poskytnutí dotace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dle článku VII Podmínek, tj. v řádném kole dotačního řízení, a je zařazen v Krajské síti sociálních služeb se statusem „základní“. Žádost se podá</w:t>
      </w:r>
      <w:r w:rsidR="001405B1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vala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prostřednictvím internetové aplikace "OKslužby – poskytovatel". Pro stanovení dotace platí Podmínky a Program v plném rozsahu.</w:t>
      </w:r>
    </w:p>
    <w:p w14:paraId="68D1D161" w14:textId="713BA9C3" w:rsidR="00C324BE" w:rsidRPr="00C324BE" w:rsidRDefault="00C324BE" w:rsidP="00C324BE">
      <w:pPr>
        <w:numPr>
          <w:ilvl w:val="0"/>
          <w:numId w:val="24"/>
        </w:numPr>
        <w:spacing w:before="120" w:after="0" w:line="240" w:lineRule="auto"/>
        <w:ind w:left="714" w:hanging="357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C324BE">
        <w:rPr>
          <w:rFonts w:ascii="Tahoma" w:eastAsia="Times New Roman" w:hAnsi="Tahoma" w:cs="Tahoma"/>
          <w:b/>
          <w:color w:val="231F20"/>
          <w:sz w:val="20"/>
          <w:szCs w:val="20"/>
          <w:lang w:eastAsia="cs-CZ"/>
        </w:rPr>
        <w:t xml:space="preserve">Žádost o </w:t>
      </w:r>
      <w:proofErr w:type="gramStart"/>
      <w:r w:rsidRPr="00C324BE">
        <w:rPr>
          <w:rFonts w:ascii="Tahoma" w:eastAsia="Times New Roman" w:hAnsi="Tahoma" w:cs="Tahoma"/>
          <w:b/>
          <w:color w:val="231F20"/>
          <w:sz w:val="20"/>
          <w:szCs w:val="20"/>
          <w:lang w:eastAsia="cs-CZ"/>
        </w:rPr>
        <w:t>dotaci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- pouze</w:t>
      </w:r>
      <w:proofErr w:type="gramEnd"/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poskytovatel sociální služby, který požádal o poskytnutí dotace dle článku II dotačního Programu. Žádost </w:t>
      </w:r>
      <w:r w:rsidR="001405B1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bylo možno předložit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pouze na </w:t>
      </w:r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osobní náklady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pracovníků </w:t>
      </w:r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v přímé péči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, k jejichž navýšení došlo v souvislosti s usnesením vlády ČR ze dne 21. prosince 2020 č. 603/2020 Sb.,</w:t>
      </w:r>
      <w:r w:rsidRPr="00C324BE">
        <w:rPr>
          <w:sz w:val="20"/>
          <w:szCs w:val="20"/>
        </w:rPr>
        <w:t xml:space="preserve"> 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kterým se mění nařízení vlády č. 341/2017 Sb., o</w:t>
      </w:r>
      <w:r w:rsidR="001A710A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 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platových poměrech zaměstnanců ve veřejných službách a správě, ve znění pozdějších předpisů, a nařízení vlády č. 304/2014 Sb., o platových poměrech státních zaměstnanců, ve</w:t>
      </w:r>
      <w:r w:rsidR="001A710A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 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znění pozdějších předpisů, a toto navýšení platů  (a mezd) </w:t>
      </w:r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nebylo zahrnuto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Pr="00C324BE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v podané žádosti pro rok 2021 v řádném kole.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Žádost se podáv</w:t>
      </w:r>
      <w:r w:rsidR="001405B1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ala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prostřednictvím internetové aplikace „OKslužby – poskytovatel“. Uznatelným nákladem žádosti podané dle tohoto bodu </w:t>
      </w:r>
      <w:r w:rsidR="001405B1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jsou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pouze osobní náklady pracovníků v přímé péči. Ostatní náklady </w:t>
      </w:r>
      <w:r w:rsidR="001405B1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jsou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považovány za</w:t>
      </w:r>
      <w:r w:rsidR="001A710A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 </w:t>
      </w:r>
      <w:r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neuznatelné.</w:t>
      </w:r>
    </w:p>
    <w:p w14:paraId="79DC80B0" w14:textId="77777777" w:rsidR="00C324BE" w:rsidRDefault="00C324BE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6A8B0AB0" w14:textId="1807378C" w:rsidR="00532320" w:rsidRPr="000A2E77" w:rsidRDefault="001415C7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</w:t>
      </w:r>
      <w:r w:rsidR="009F7E0D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9F7E0D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stanoveném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termínu obdržel Moravskoslezský kraj celkem </w:t>
      </w:r>
      <w:r w:rsidR="00707A5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133</w:t>
      </w:r>
      <w:r w:rsidR="00707A5D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na</w:t>
      </w:r>
      <w:r w:rsidR="00707A5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351 služeb</w:t>
      </w:r>
      <w:r w:rsidR="00707A5D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písemné formě </w:t>
      </w:r>
      <w:r w:rsidR="00F50B6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 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objemu požadavků </w:t>
      </w:r>
      <w:r w:rsidR="00C324B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447.292.586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 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prostřednictvím internetové aplikace „OKslužby – poskytovatel“ </w:t>
      </w:r>
      <w:r w:rsidR="00C324B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25</w:t>
      </w:r>
      <w:r w:rsidR="00F7095B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žádostí na </w:t>
      </w:r>
      <w:r w:rsidR="00C324B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54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služeb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objemu požadavků </w:t>
      </w:r>
      <w:r w:rsidR="00C324B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25.741.903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P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4F6C12D3" w14:textId="7FF525F6" w:rsidR="00A25106" w:rsidRDefault="00A645AC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U </w:t>
      </w:r>
      <w:r w:rsidR="00541B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jedné 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sociální služ</w:t>
      </w:r>
      <w:r w:rsidR="00541B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by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 zjištěn nesoulad mezi kapacitou zařazenou v Krajské síti</w:t>
      </w:r>
      <w:r w:rsidR="00C324B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se statusem „základní“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podanou žádostí o dotaci</w:t>
      </w:r>
      <w:r w:rsidR="007C2EF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kdy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žadatel</w:t>
      </w:r>
      <w:r w:rsidR="007C2EF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následně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324B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podal 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vysvětlení</w:t>
      </w:r>
      <w:r w:rsidR="00C324B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 žádosti.</w:t>
      </w:r>
      <w:r w:rsidR="00C33C6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33C6F"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Rozdíl byl zdůvodněn</w:t>
      </w:r>
      <w:r w:rsidR="00C324B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administrativní chybou při zpracovávání žádosti.</w:t>
      </w:r>
      <w:r w:rsidR="00C33C6F"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2675165F" w14:textId="1B41E3AA" w:rsidR="00A25106" w:rsidRDefault="00A25106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49C7B0D2" w14:textId="0851C815" w:rsidR="00C324BE" w:rsidRDefault="00C324BE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447575DE" w14:textId="77777777" w:rsidR="00707A5D" w:rsidRDefault="00707A5D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554E8914" w14:textId="77777777" w:rsidR="00C324BE" w:rsidRPr="00A645AC" w:rsidRDefault="00C324BE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15A65D2A" w14:textId="77777777" w:rsidR="00443EC1" w:rsidRPr="008C5F8D" w:rsidRDefault="00443EC1" w:rsidP="00DB55DA">
      <w:pPr>
        <w:pStyle w:val="Odstavecseseznamem"/>
        <w:numPr>
          <w:ilvl w:val="0"/>
          <w:numId w:val="14"/>
        </w:numPr>
        <w:spacing w:after="120"/>
        <w:ind w:left="284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lastRenderedPageBreak/>
        <w:t>Formální posouzení žádostí</w:t>
      </w:r>
    </w:p>
    <w:p w14:paraId="2A50D60C" w14:textId="77777777" w:rsidR="001415C7" w:rsidRPr="008C5F8D" w:rsidRDefault="00DD790E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 všech podaných žádostí byla provedena formální kontrola, kdy byl kontrolován termín a způsob podání žádosti a oprávněnost požadavku.</w:t>
      </w:r>
    </w:p>
    <w:p w14:paraId="36AD503D" w14:textId="6E491307" w:rsidR="00CB7E7C" w:rsidRDefault="00532320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 vyřazení </w:t>
      </w:r>
      <w:r w:rsidR="000F4E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</w:t>
      </w:r>
      <w:r w:rsidR="00CB455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sou</w:t>
      </w:r>
      <w:r w:rsidR="000F4E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navrhován</w:t>
      </w:r>
      <w:r w:rsidR="00CB455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AE7E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CB4557"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žádosti</w:t>
      </w:r>
      <w:r w:rsidR="00CB455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F4E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podan</w:t>
      </w:r>
      <w:r w:rsidR="00CB455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é</w:t>
      </w:r>
      <w:r w:rsidR="000F4E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425BA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písemnou formou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(viz tabulka č. 2).</w:t>
      </w:r>
    </w:p>
    <w:p w14:paraId="79A5B05D" w14:textId="334AE6CA" w:rsidR="00B54F15" w:rsidRDefault="00B54F15" w:rsidP="00B54F15">
      <w:pPr>
        <w:spacing w:after="120"/>
        <w:jc w:val="both"/>
        <w:rPr>
          <w:rFonts w:ascii="Tahoma" w:hAnsi="Tahoma" w:cs="Tahoma"/>
          <w:color w:val="231F20"/>
          <w:sz w:val="20"/>
          <w:szCs w:val="20"/>
          <w:shd w:val="clear" w:color="auto" w:fill="FFFFFF"/>
        </w:rPr>
      </w:pPr>
    </w:p>
    <w:p w14:paraId="6312F765" w14:textId="3AAF824D" w:rsidR="00A25106" w:rsidRDefault="008F0155" w:rsidP="00F81E79">
      <w:pPr>
        <w:spacing w:after="0"/>
        <w:jc w:val="both"/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CE60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443EC1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-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poskytovatelů a sociálních služeb n</w:t>
      </w:r>
      <w:r w:rsidR="00283F90"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 xml:space="preserve">avrhovaných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k</w:t>
      </w:r>
      <w:r w:rsidR="00A25106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 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vyřazení</w:t>
      </w:r>
    </w:p>
    <w:p w14:paraId="5B0D6620" w14:textId="77777777" w:rsidR="00F81E79" w:rsidRPr="008C5F8D" w:rsidRDefault="00F81E79" w:rsidP="00F81E79">
      <w:pPr>
        <w:spacing w:after="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120"/>
        <w:gridCol w:w="1424"/>
        <w:gridCol w:w="1519"/>
        <w:gridCol w:w="1824"/>
        <w:gridCol w:w="1517"/>
      </w:tblGrid>
      <w:tr w:rsidR="00DD790E" w:rsidRPr="002F29F9" w14:paraId="2186511F" w14:textId="77777777" w:rsidTr="00663C62">
        <w:trPr>
          <w:trHeight w:val="30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E6D92E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26A71B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8268F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E59824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0A750C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390A47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4C131F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Důvod vyřazení</w:t>
            </w:r>
          </w:p>
        </w:tc>
      </w:tr>
      <w:tr w:rsidR="000A2E77" w:rsidRPr="002F29F9" w14:paraId="31537112" w14:textId="77777777" w:rsidTr="00663C62">
        <w:trPr>
          <w:trHeight w:val="7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E954" w14:textId="4B29E5D1" w:rsidR="000A2E77" w:rsidRPr="008268F4" w:rsidRDefault="00B54F15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pod Vinnou horou, příspěvková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17E6" w14:textId="00EDF34F" w:rsidR="000A2E77" w:rsidRPr="008268F4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71295046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D155" w14:textId="3085BF3F" w:rsidR="000A2E77" w:rsidRPr="008268F4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5811973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909C" w14:textId="5B6BE7AB" w:rsidR="000A2E77" w:rsidRPr="008268F4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6545" w14:textId="2DBA25F9" w:rsidR="000A2E77" w:rsidRPr="008268F4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pod Vinnou horou, příspěvková organizace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F589" w14:textId="16F25BBD" w:rsidR="000A2E77" w:rsidRPr="008268F4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poskytnutá dotace v řádném kole na úrovni optimálního návrhu</w:t>
            </w:r>
          </w:p>
        </w:tc>
      </w:tr>
      <w:tr w:rsidR="00B54F15" w:rsidRPr="002F29F9" w14:paraId="13761976" w14:textId="77777777" w:rsidTr="008268F4">
        <w:trPr>
          <w:trHeight w:val="76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6D2F" w14:textId="14C55B5B" w:rsidR="00B54F15" w:rsidRPr="008268F4" w:rsidRDefault="00B54F15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MEDICA Třinec, z.ú.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66AF" w14:textId="067FD3F6" w:rsidR="00B54F15" w:rsidRPr="008268F4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5115841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33C6" w14:textId="360459C3" w:rsidR="00B54F15" w:rsidRPr="008268F4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8848934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F17E" w14:textId="24D375D3" w:rsidR="00B54F15" w:rsidRPr="00282A83" w:rsidRDefault="00B54F15" w:rsidP="00161FF6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624F" w14:textId="363CDFB4" w:rsidR="00B54F15" w:rsidRPr="008268F4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7480" w14:textId="6AB61E33" w:rsidR="00B54F15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poskytnutá dotace v řádném kole na úrovni optimálního návrhu</w:t>
            </w:r>
          </w:p>
        </w:tc>
      </w:tr>
      <w:tr w:rsidR="000A2E77" w:rsidRPr="002F29F9" w14:paraId="0206C684" w14:textId="77777777" w:rsidTr="008268F4">
        <w:trPr>
          <w:trHeight w:val="76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9362" w14:textId="6638144A" w:rsidR="000A2E77" w:rsidRPr="008268F4" w:rsidRDefault="00B54F15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Vila Vančurova o.p.s.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FA41" w14:textId="046BF506" w:rsidR="000A2E77" w:rsidRPr="008268F4" w:rsidRDefault="00425BA8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="00B54F15"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2250152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FC9" w14:textId="427E08BE" w:rsidR="000A2E77" w:rsidRPr="008268F4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5569421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F246" w14:textId="6EEEAEBA" w:rsidR="00282A83" w:rsidRPr="00282A83" w:rsidRDefault="00B54F15" w:rsidP="00161FF6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405E" w14:textId="1C949BEC" w:rsidR="000A2E77" w:rsidRPr="008268F4" w:rsidRDefault="00B54F1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54F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Odlehčovací služba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474B" w14:textId="17B3329F" w:rsidR="00D95BE5" w:rsidRPr="008268F4" w:rsidRDefault="00D95BE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poskytnutá dotace v řádném kole na úrovni optimálního návrhu</w:t>
            </w:r>
          </w:p>
        </w:tc>
      </w:tr>
    </w:tbl>
    <w:p w14:paraId="173FE8CE" w14:textId="77777777" w:rsidR="00022924" w:rsidRDefault="00022924" w:rsidP="0005416A">
      <w:p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47E7D41B" w14:textId="77777777" w:rsidR="006B3632" w:rsidRDefault="006B3632" w:rsidP="00CE60C2">
      <w:pPr>
        <w:pStyle w:val="Odstavecseseznamem"/>
        <w:spacing w:after="120"/>
        <w:ind w:left="144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</w:p>
    <w:p w14:paraId="3BB5ACAA" w14:textId="77777777" w:rsidR="00CE60C2" w:rsidRDefault="00CE60C2" w:rsidP="00CE60C2">
      <w:pPr>
        <w:pStyle w:val="Odstavecseseznamem"/>
        <w:spacing w:after="120"/>
        <w:ind w:left="144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</w:p>
    <w:p w14:paraId="19581663" w14:textId="60FF199C" w:rsidR="00443EC1" w:rsidRPr="008C5F8D" w:rsidRDefault="00443EC1" w:rsidP="00DB55DA">
      <w:pPr>
        <w:pStyle w:val="Odstavecseseznamem"/>
        <w:numPr>
          <w:ilvl w:val="0"/>
          <w:numId w:val="14"/>
        </w:numPr>
        <w:spacing w:after="120"/>
        <w:ind w:left="426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Věcné posouzení žádostí</w:t>
      </w:r>
      <w:r w:rsidR="00BA07F5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a návrh výpočtu dotace/dofinancování</w:t>
      </w:r>
    </w:p>
    <w:p w14:paraId="635FA26A" w14:textId="77777777" w:rsidR="00C74449" w:rsidRPr="002F29F9" w:rsidRDefault="00C74449" w:rsidP="00C74449">
      <w:pPr>
        <w:pStyle w:val="Odstavecseseznamem"/>
        <w:spacing w:after="120"/>
        <w:ind w:left="144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66E69D2A" w14:textId="47416BB6" w:rsidR="00BB1DEF" w:rsidRPr="00BB1DEF" w:rsidRDefault="00443EC1" w:rsidP="00BB1DEF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ezi žádostmi podanými elektronicky</w:t>
      </w:r>
      <w:r w:rsidR="0017612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přes internetovou aplikaci „OKslužby – poskytovatel“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byl</w:t>
      </w:r>
      <w:r w:rsidR="003B3A0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161FF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3B3A0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žádosti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 „nové“ služby, tj. na služby, které byly </w:t>
      </w:r>
      <w:r w:rsidR="00D4438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nově 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zařazeny do Krajské sítě sociálních služeb 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se statusem „základní“ 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průběhu r</w:t>
      </w:r>
      <w:r w:rsidR="00283F90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oku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20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5C464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BB1DEF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592BF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BB1DEF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</w:t>
      </w:r>
      <w:r w:rsidR="0048769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bylo podáno k dofinancování </w:t>
      </w:r>
      <w:r w:rsidR="00BB1DEF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na navýšené kapacity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BB1DEF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="00BB1DEF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í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 služb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kter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é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nepožádal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 dotaci v řádném kole dotačního </w:t>
      </w:r>
      <w:r w:rsidR="00030AC3" w:rsidRPr="00C95E6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řízení</w:t>
      </w:r>
      <w:r w:rsidR="00592BF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592BF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na</w:t>
      </w:r>
      <w:r w:rsidR="001A710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osobní náklady, které nebyly zahrnuty v podané žádosti v řádném kole na rok 2021</w:t>
      </w:r>
      <w:r w:rsidR="00592BF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 1 žádost, která zahrnovala dofinancování navýšené kapacity a zároveň</w:t>
      </w:r>
      <w:r w:rsidR="00B2773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byla podána na</w:t>
      </w:r>
      <w:r w:rsidR="00592BF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osobní náklady, které nebyly zahrnuty v žádosti v řádném kole</w:t>
      </w:r>
      <w:r w:rsidR="00B54F1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BB1DEF" w:rsidRPr="00C95E6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(viz tabulky </w:t>
      </w:r>
      <w:r w:rsidR="00785C9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BB1DEF" w:rsidRPr="00C95E6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 w:rsidR="00785C9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BB1DEF" w:rsidRPr="00C95E6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).</w:t>
      </w:r>
      <w:r w:rsidR="003659D6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4963BEE2" w14:textId="2F65836F" w:rsidR="0013061F" w:rsidRPr="0060251C" w:rsidRDefault="00F50B69" w:rsidP="0060251C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Nové s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lužby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které byly 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nově 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zařazeny do Krajské sítě sociálních služeb</w:t>
      </w:r>
      <w:r w:rsidR="00592BF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se statusem „základní“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průběhu roku 20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5C464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 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které 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jsou navrženy k poskytnutí dotace na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283F90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rok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5C464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jsou uvedeny v tabulce č.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CE60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</w:p>
    <w:p w14:paraId="6F84D13D" w14:textId="532A1C22" w:rsidR="0005416A" w:rsidRDefault="003659D6" w:rsidP="0005416A">
      <w:pPr>
        <w:spacing w:after="120"/>
        <w:jc w:val="both"/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CE60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„nových“ služeb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280"/>
        <w:gridCol w:w="1608"/>
        <w:gridCol w:w="1881"/>
        <w:gridCol w:w="2261"/>
      </w:tblGrid>
      <w:tr w:rsidR="003659D6" w:rsidRPr="002F29F9" w14:paraId="4B027264" w14:textId="77777777" w:rsidTr="003B3A05">
        <w:trPr>
          <w:trHeight w:val="42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5BF231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672455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3119A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E9A53F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54FF5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893D53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13061F" w:rsidRPr="002F29F9" w14:paraId="49CEA1D0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4CFB" w14:textId="6BBDA9C4" w:rsidR="0013061F" w:rsidRPr="00AB6F1B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2BF2">
              <w:rPr>
                <w:rFonts w:ascii="Tahoma" w:hAnsi="Tahoma" w:cs="Tahoma"/>
                <w:color w:val="000000"/>
                <w:sz w:val="20"/>
                <w:szCs w:val="20"/>
              </w:rPr>
              <w:t>Hope House, z. s.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D2D" w14:textId="531A2343" w:rsidR="0013061F" w:rsidRPr="00AB6F1B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592BF2">
              <w:rPr>
                <w:rFonts w:ascii="Tahoma" w:hAnsi="Tahoma" w:cs="Tahoma"/>
                <w:color w:val="000000"/>
                <w:sz w:val="20"/>
                <w:szCs w:val="20"/>
              </w:rPr>
              <w:t>2876434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68F0" w14:textId="3916DCFB" w:rsidR="0013061F" w:rsidRPr="00AB6F1B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2BF2">
              <w:rPr>
                <w:rFonts w:ascii="Tahoma" w:hAnsi="Tahoma" w:cs="Tahoma"/>
                <w:color w:val="000000"/>
                <w:sz w:val="20"/>
                <w:szCs w:val="20"/>
              </w:rPr>
              <w:t>7103690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A71D" w14:textId="44F67546" w:rsidR="0013061F" w:rsidRPr="00AB6F1B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2BF2">
              <w:rPr>
                <w:rFonts w:ascii="Tahoma" w:hAnsi="Tahoma" w:cs="Tahoma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DAE6" w14:textId="7B6F054C" w:rsidR="0013061F" w:rsidRPr="00AB6F1B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2BF2">
              <w:rPr>
                <w:rFonts w:ascii="Tahoma" w:hAnsi="Tahoma" w:cs="Tahoma"/>
                <w:color w:val="000000"/>
                <w:sz w:val="20"/>
                <w:szCs w:val="20"/>
              </w:rPr>
              <w:t>Terénní programy Rýmařov</w:t>
            </w:r>
          </w:p>
        </w:tc>
      </w:tr>
      <w:tr w:rsidR="0013061F" w:rsidRPr="002F29F9" w14:paraId="6687EEB9" w14:textId="77777777" w:rsidTr="0013061F">
        <w:trPr>
          <w:trHeight w:val="56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6EF" w14:textId="40B71392" w:rsidR="0013061F" w:rsidRPr="00AB6F1B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2BF2">
              <w:rPr>
                <w:rFonts w:ascii="Tahoma" w:hAnsi="Tahoma" w:cs="Tahoma"/>
                <w:color w:val="000000"/>
                <w:sz w:val="20"/>
                <w:szCs w:val="20"/>
              </w:rPr>
              <w:t>MENS SANA z.ú.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17A8" w14:textId="26F09FCE" w:rsidR="0013061F" w:rsidRPr="00AB6F1B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2BF2">
              <w:rPr>
                <w:rFonts w:ascii="Tahoma" w:hAnsi="Tahoma" w:cs="Tahoma"/>
                <w:color w:val="000000"/>
                <w:sz w:val="20"/>
                <w:szCs w:val="20"/>
              </w:rPr>
              <w:t>65469003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50C9" w14:textId="2D25BBC2" w:rsidR="0013061F" w:rsidRPr="00AB6F1B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2BF2">
              <w:rPr>
                <w:rFonts w:ascii="Tahoma" w:hAnsi="Tahoma" w:cs="Tahoma"/>
                <w:color w:val="000000"/>
                <w:sz w:val="20"/>
                <w:szCs w:val="20"/>
              </w:rPr>
              <w:t>5979763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172C" w14:textId="60008B5B" w:rsidR="0013061F" w:rsidRPr="00AB6F1B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2BF2">
              <w:rPr>
                <w:rFonts w:ascii="Tahoma" w:hAnsi="Tahoma" w:cs="Tahoma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B8E5" w14:textId="54C76D37" w:rsidR="0013061F" w:rsidRPr="00AB6F1B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2BF2">
              <w:rPr>
                <w:rFonts w:ascii="Tahoma" w:hAnsi="Tahoma" w:cs="Tahoma"/>
                <w:color w:val="000000"/>
                <w:sz w:val="20"/>
                <w:szCs w:val="20"/>
              </w:rPr>
              <w:t>Chráněné bydlení MENS SANA, z.ú.</w:t>
            </w:r>
          </w:p>
        </w:tc>
      </w:tr>
    </w:tbl>
    <w:p w14:paraId="40946DEE" w14:textId="77777777" w:rsidR="00F81E79" w:rsidRDefault="00F81E79" w:rsidP="0005416A">
      <w:pPr>
        <w:spacing w:after="120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14:paraId="718150D0" w14:textId="29845038" w:rsidR="005B0B3E" w:rsidRPr="008C5F8D" w:rsidRDefault="005B0B3E" w:rsidP="005B0B3E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Žádosti </w:t>
      </w:r>
      <w:r w:rsidR="001C01A9" w:rsidRPr="008C5F8D">
        <w:rPr>
          <w:rFonts w:ascii="Tahoma" w:hAnsi="Tahoma" w:cs="Tahoma"/>
          <w:sz w:val="20"/>
          <w:szCs w:val="20"/>
        </w:rPr>
        <w:t xml:space="preserve">služeb </w:t>
      </w:r>
      <w:r w:rsidRPr="008C5F8D">
        <w:rPr>
          <w:rFonts w:ascii="Tahoma" w:hAnsi="Tahoma" w:cs="Tahoma"/>
          <w:b/>
          <w:sz w:val="20"/>
          <w:szCs w:val="20"/>
        </w:rPr>
        <w:t>s navýšenou kapacitou</w:t>
      </w:r>
      <w:r w:rsidRPr="008C5F8D">
        <w:rPr>
          <w:rFonts w:ascii="Tahoma" w:hAnsi="Tahoma" w:cs="Tahoma"/>
          <w:sz w:val="20"/>
          <w:szCs w:val="20"/>
        </w:rPr>
        <w:t xml:space="preserve"> </w:t>
      </w:r>
      <w:r w:rsidR="001C01A9" w:rsidRPr="008C5F8D">
        <w:rPr>
          <w:rFonts w:ascii="Tahoma" w:hAnsi="Tahoma" w:cs="Tahoma"/>
          <w:sz w:val="20"/>
          <w:szCs w:val="20"/>
        </w:rPr>
        <w:t>během r. 20</w:t>
      </w:r>
      <w:r w:rsidR="00E2635C">
        <w:rPr>
          <w:rFonts w:ascii="Tahoma" w:hAnsi="Tahoma" w:cs="Tahoma"/>
          <w:sz w:val="20"/>
          <w:szCs w:val="20"/>
        </w:rPr>
        <w:t>2</w:t>
      </w:r>
      <w:r w:rsidR="005C4644">
        <w:rPr>
          <w:rFonts w:ascii="Tahoma" w:hAnsi="Tahoma" w:cs="Tahoma"/>
          <w:sz w:val="20"/>
          <w:szCs w:val="20"/>
        </w:rPr>
        <w:t>1</w:t>
      </w:r>
      <w:r w:rsidR="001C01A9" w:rsidRPr="008C5F8D">
        <w:rPr>
          <w:rFonts w:ascii="Tahoma" w:hAnsi="Tahoma" w:cs="Tahoma"/>
          <w:sz w:val="20"/>
          <w:szCs w:val="20"/>
        </w:rPr>
        <w:t xml:space="preserve"> </w:t>
      </w:r>
      <w:r w:rsidRPr="008C5F8D">
        <w:rPr>
          <w:rFonts w:ascii="Tahoma" w:hAnsi="Tahoma" w:cs="Tahoma"/>
          <w:sz w:val="20"/>
          <w:szCs w:val="20"/>
        </w:rPr>
        <w:t xml:space="preserve">jsou uvedeny v tabulce č. </w:t>
      </w:r>
      <w:r w:rsidR="00CE60C2">
        <w:rPr>
          <w:rFonts w:ascii="Tahoma" w:hAnsi="Tahoma" w:cs="Tahoma"/>
          <w:sz w:val="20"/>
          <w:szCs w:val="20"/>
        </w:rPr>
        <w:t>4</w:t>
      </w:r>
    </w:p>
    <w:p w14:paraId="5430219F" w14:textId="77777777" w:rsidR="00161FF6" w:rsidRPr="002F29F9" w:rsidRDefault="00161FF6" w:rsidP="005B0B3E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E2CEB97" w14:textId="618BCC1C" w:rsidR="003659D6" w:rsidRPr="008C5F8D" w:rsidRDefault="005B0B3E" w:rsidP="002C34B5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Tabulka č. </w:t>
      </w:r>
      <w:r w:rsidR="00CE60C2">
        <w:rPr>
          <w:rFonts w:ascii="Tahoma" w:hAnsi="Tahoma" w:cs="Tahoma"/>
          <w:sz w:val="20"/>
          <w:szCs w:val="20"/>
        </w:rPr>
        <w:t>4</w:t>
      </w:r>
      <w:r w:rsidRPr="008C5F8D">
        <w:rPr>
          <w:rFonts w:ascii="Tahoma" w:hAnsi="Tahoma" w:cs="Tahoma"/>
          <w:sz w:val="20"/>
          <w:szCs w:val="20"/>
        </w:rPr>
        <w:t xml:space="preserve"> – 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Přehled 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 xml:space="preserve">služeb s </w:t>
      </w:r>
      <w:r w:rsidRPr="008C5F8D">
        <w:rPr>
          <w:rFonts w:ascii="Tahoma" w:hAnsi="Tahoma" w:cs="Tahoma"/>
          <w:b/>
          <w:i/>
          <w:sz w:val="20"/>
          <w:szCs w:val="20"/>
        </w:rPr>
        <w:t>navýšen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 kapacit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1223"/>
        <w:gridCol w:w="1432"/>
        <w:gridCol w:w="1686"/>
        <w:gridCol w:w="2679"/>
      </w:tblGrid>
      <w:tr w:rsidR="006E47D6" w:rsidRPr="002F29F9" w14:paraId="6176858F" w14:textId="77777777" w:rsidTr="00335B95">
        <w:trPr>
          <w:trHeight w:val="300"/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56D37A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FBBE13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3119A8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78EB4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EA8B3F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ECD364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13061F" w:rsidRPr="002F29F9" w14:paraId="77369289" w14:textId="77777777" w:rsidTr="00EB1588">
        <w:trPr>
          <w:trHeight w:val="689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3DA2" w14:textId="3C9DB497" w:rsidR="0013061F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Centrum sociálních služeb Ostrava, o.p.s.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457E" w14:textId="1BF2D9C4" w:rsidR="0013061F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28659392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E438" w14:textId="7F64312F" w:rsidR="0013061F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4550261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EBF8" w14:textId="5FD588E3" w:rsidR="0013061F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68B4" w14:textId="7A80010C" w:rsidR="0013061F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</w:tr>
      <w:tr w:rsidR="005D3E1F" w:rsidRPr="002F29F9" w14:paraId="78871AE7" w14:textId="77777777" w:rsidTr="00EB1588">
        <w:trPr>
          <w:trHeight w:val="861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B830" w14:textId="5478D72D" w:rsidR="005D3E1F" w:rsidRPr="00335B95" w:rsidRDefault="005D3E1F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Česká provincie Kongregace Dcer Božské Lásky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D9FD" w14:textId="636C930D" w:rsidR="005D3E1F" w:rsidRPr="00335B95" w:rsidRDefault="005D3E1F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00494453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7C81" w14:textId="6CD93F3B" w:rsidR="005D3E1F" w:rsidRPr="00335B95" w:rsidRDefault="005D3E1F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1329384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202E" w14:textId="65326FF3" w:rsidR="005D3E1F" w:rsidRPr="00335B95" w:rsidRDefault="005D3E1F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4AD9" w14:textId="663F9837" w:rsidR="005D3E1F" w:rsidRPr="00335B95" w:rsidRDefault="005D3E1F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Denní stacionář Domovinka</w:t>
            </w:r>
          </w:p>
        </w:tc>
      </w:tr>
      <w:tr w:rsidR="00592BF2" w:rsidRPr="002F29F9" w14:paraId="5ECE3C41" w14:textId="77777777" w:rsidTr="00EB1588">
        <w:trPr>
          <w:trHeight w:val="889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5179" w14:textId="0925C752" w:rsidR="00592BF2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Diecézní charita ostravsko-opavská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EDF0" w14:textId="77777777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66181127</w:t>
            </w:r>
          </w:p>
          <w:p w14:paraId="39798C8A" w14:textId="77777777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4E19" w14:textId="17686FAD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8251178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BEE4" w14:textId="2C1AA65C" w:rsidR="00592BF2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184D" w14:textId="0D790015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 xml:space="preserve">Sociálně-dluhová </w:t>
            </w:r>
            <w:proofErr w:type="gramStart"/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poradna - odborné</w:t>
            </w:r>
            <w:proofErr w:type="gramEnd"/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sociální poradenství</w:t>
            </w:r>
          </w:p>
        </w:tc>
      </w:tr>
      <w:tr w:rsidR="00592BF2" w:rsidRPr="002F29F9" w14:paraId="5429104D" w14:textId="77777777" w:rsidTr="00EB1588">
        <w:trPr>
          <w:trHeight w:val="919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C1EC" w14:textId="095C4CB0" w:rsidR="00592BF2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Domov Bílá Opava,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3434" w14:textId="1133BAE4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00016772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4F2" w14:textId="2E1C4FBC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1347773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A87" w14:textId="23DD5599" w:rsidR="00592BF2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62E0" w14:textId="46D45ABD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Domov Bílá Opava, příspěvková organizace</w:t>
            </w:r>
          </w:p>
        </w:tc>
      </w:tr>
      <w:tr w:rsidR="00592BF2" w:rsidRPr="002F29F9" w14:paraId="237FD8F6" w14:textId="77777777" w:rsidTr="00EB1588">
        <w:trPr>
          <w:trHeight w:val="953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C381" w14:textId="34F6C2BF" w:rsidR="00592BF2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Domov Bílá Opava,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0566" w14:textId="369F295C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00016772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1C95" w14:textId="37BD45E2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8488761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43CB" w14:textId="296E6D53" w:rsidR="00592BF2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770C" w14:textId="4E801D9C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Domov Bílá Opava, příspěvková organizace</w:t>
            </w:r>
          </w:p>
        </w:tc>
      </w:tr>
      <w:tr w:rsidR="00592BF2" w:rsidRPr="002F29F9" w14:paraId="1AACA2FD" w14:textId="77777777" w:rsidTr="00984717">
        <w:trPr>
          <w:trHeight w:val="909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52A0" w14:textId="7999E5CF" w:rsidR="00592BF2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Modrý kříž v České republice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88FD" w14:textId="7101EDDA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26641178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029C" w14:textId="0C639F57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9692583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1D6D" w14:textId="50F12CF6" w:rsidR="00592BF2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služby následné péče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9C43" w14:textId="48617FDD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Následná péče Frýdek-Místek</w:t>
            </w:r>
          </w:p>
        </w:tc>
      </w:tr>
      <w:tr w:rsidR="00592BF2" w:rsidRPr="002F29F9" w14:paraId="3C9705C6" w14:textId="77777777" w:rsidTr="00984717">
        <w:trPr>
          <w:trHeight w:val="824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D305" w14:textId="201240E5" w:rsidR="00592BF2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OPEN HOUSE o.p.s.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6047" w14:textId="3CE594DD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70645671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835" w14:textId="6BFBB6D6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8846615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C683" w14:textId="0D77C8D1" w:rsidR="00592BF2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5E56" w14:textId="03DF6E93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NZDM OPEN HOUSE</w:t>
            </w:r>
          </w:p>
        </w:tc>
      </w:tr>
      <w:tr w:rsidR="00592BF2" w:rsidRPr="002F29F9" w14:paraId="75C7414C" w14:textId="77777777" w:rsidTr="00EB1588">
        <w:trPr>
          <w:trHeight w:val="1060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71E4" w14:textId="77504D0E" w:rsidR="00592BF2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Seniorcentrum Opava,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2C1E" w14:textId="4DE7D9E9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71196943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5123" w14:textId="2ABCA921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5115567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AE8B" w14:textId="5A494841" w:rsidR="00592BF2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C3AB" w14:textId="3316C961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Domov pro seniory svaté Kateřiny</w:t>
            </w:r>
          </w:p>
        </w:tc>
      </w:tr>
      <w:tr w:rsidR="00592BF2" w:rsidRPr="002F29F9" w14:paraId="15A057BF" w14:textId="77777777" w:rsidTr="00335B95">
        <w:trPr>
          <w:trHeight w:val="1245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178F" w14:textId="5EA9174F" w:rsidR="00592BF2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Slezská diakonie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A8EE" w14:textId="66E1ADCD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65468562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A672" w14:textId="316B2D2B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4316714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6A84" w14:textId="5DC5D893" w:rsidR="00592BF2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EA40" w14:textId="597D25BD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SOCIÁLNÍ ASISTENCE Krnovsko, Albrechticko, Osoblažsko, Rýmařovsko</w:t>
            </w:r>
          </w:p>
        </w:tc>
      </w:tr>
      <w:tr w:rsidR="00592BF2" w:rsidRPr="002F29F9" w14:paraId="456B6B7F" w14:textId="77777777" w:rsidTr="00335B95">
        <w:trPr>
          <w:trHeight w:val="1245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AC46" w14:textId="17F00A0B" w:rsidR="00592BF2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Slezská diakonie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B6F1" w14:textId="4C67568A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65468562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409F" w14:textId="6E2B67FF" w:rsidR="00592BF2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4382973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0460" w14:textId="0DB589A3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D760" w14:textId="51C2832F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Nízkoprahové zařízení pro děti a mládež na Albrechticku, Město Albrechtice, nízkoprahové zařízení pro děti a mládež</w:t>
            </w:r>
          </w:p>
        </w:tc>
      </w:tr>
      <w:tr w:rsidR="00592BF2" w:rsidRPr="002F29F9" w14:paraId="1BA4993D" w14:textId="77777777" w:rsidTr="00335B95">
        <w:trPr>
          <w:trHeight w:val="1245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AC2" w14:textId="6EBE0163" w:rsidR="00592BF2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Slezská diakonie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D811" w14:textId="06B995E1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65468562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B182" w14:textId="0CEA04D1" w:rsidR="00592BF2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6083685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DF2" w14:textId="5EF9E224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1EF6" w14:textId="30DD449F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RÚT Bruntál, sociální rehabilitace</w:t>
            </w:r>
          </w:p>
        </w:tc>
      </w:tr>
      <w:tr w:rsidR="00592BF2" w:rsidRPr="002F29F9" w14:paraId="7BA4E920" w14:textId="77777777" w:rsidTr="00335B95">
        <w:trPr>
          <w:trHeight w:val="1245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AA3D" w14:textId="0A48386A" w:rsidR="00592BF2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Slezská diakonie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0D3" w14:textId="4CAEBB85" w:rsidR="00592BF2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65468562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C779" w14:textId="399E502E" w:rsidR="00592BF2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8467500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3A81" w14:textId="7EB218D4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66FE" w14:textId="3CA4269A" w:rsidR="00592BF2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RÚT Krnov, sociální rehabilitace</w:t>
            </w:r>
          </w:p>
        </w:tc>
      </w:tr>
      <w:tr w:rsidR="0013061F" w:rsidRPr="002F29F9" w14:paraId="1FC9BDD5" w14:textId="77777777" w:rsidTr="00335B95">
        <w:trPr>
          <w:trHeight w:val="769"/>
          <w:jc w:val="center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871C" w14:textId="0FA90151" w:rsidR="0013061F" w:rsidRPr="00335B95" w:rsidRDefault="00592BF2" w:rsidP="009847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Slezská diakonie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208" w14:textId="0554A47F" w:rsidR="0013061F" w:rsidRPr="00335B95" w:rsidRDefault="00592BF2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65468562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C3FA" w14:textId="51767DB6" w:rsidR="0013061F" w:rsidRPr="00335B95" w:rsidRDefault="0098009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8809481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03D8" w14:textId="3EDFB6FD" w:rsidR="0013061F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4DE3" w14:textId="0F52A2B5" w:rsidR="0013061F" w:rsidRPr="00335B95" w:rsidRDefault="00855561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B95">
              <w:rPr>
                <w:rFonts w:ascii="Tahoma" w:hAnsi="Tahoma" w:cs="Tahoma"/>
                <w:color w:val="000000"/>
                <w:sz w:val="20"/>
                <w:szCs w:val="20"/>
              </w:rPr>
              <w:t>EUNIKA Karviná, sociálně aktivizační služba pro osoby se zdravotním postižením</w:t>
            </w:r>
          </w:p>
        </w:tc>
      </w:tr>
    </w:tbl>
    <w:p w14:paraId="198448FB" w14:textId="77777777" w:rsidR="006E47D6" w:rsidRDefault="006E47D6" w:rsidP="00C74449">
      <w:pPr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142DB2E" w14:textId="7952DD6A" w:rsidR="00BB1DEF" w:rsidRDefault="0013061F" w:rsidP="0013061F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>Žádost</w:t>
      </w:r>
      <w:r w:rsidR="00EB1588">
        <w:rPr>
          <w:rFonts w:ascii="Tahoma" w:hAnsi="Tahoma" w:cs="Tahoma"/>
          <w:sz w:val="20"/>
          <w:szCs w:val="20"/>
        </w:rPr>
        <w:t>i</w:t>
      </w:r>
      <w:r w:rsidRPr="008C5F8D">
        <w:rPr>
          <w:rFonts w:ascii="Tahoma" w:hAnsi="Tahoma" w:cs="Tahoma"/>
          <w:sz w:val="20"/>
          <w:szCs w:val="20"/>
        </w:rPr>
        <w:t xml:space="preserve"> služ</w:t>
      </w:r>
      <w:r w:rsidR="009B61EC">
        <w:rPr>
          <w:rFonts w:ascii="Tahoma" w:hAnsi="Tahoma" w:cs="Tahoma"/>
          <w:sz w:val="20"/>
          <w:szCs w:val="20"/>
        </w:rPr>
        <w:t>eb</w:t>
      </w:r>
      <w:r>
        <w:rPr>
          <w:rFonts w:ascii="Tahoma" w:hAnsi="Tahoma" w:cs="Tahoma"/>
          <w:sz w:val="20"/>
          <w:szCs w:val="20"/>
        </w:rPr>
        <w:t>, kter</w:t>
      </w:r>
      <w:r w:rsidR="007E4572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</w:t>
      </w:r>
      <w:r w:rsidR="000154D9">
        <w:rPr>
          <w:rFonts w:ascii="Tahoma" w:hAnsi="Tahoma" w:cs="Tahoma"/>
          <w:sz w:val="20"/>
          <w:szCs w:val="20"/>
        </w:rPr>
        <w:t>si nepožádal</w:t>
      </w:r>
      <w:r w:rsidR="009B61EC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v řádném kole dotačního řízení v</w:t>
      </w:r>
      <w:r w:rsidRPr="008C5F8D">
        <w:rPr>
          <w:rFonts w:ascii="Tahoma" w:hAnsi="Tahoma" w:cs="Tahoma"/>
          <w:sz w:val="20"/>
          <w:szCs w:val="20"/>
        </w:rPr>
        <w:t xml:space="preserve"> r. 20</w:t>
      </w:r>
      <w:r w:rsidR="007E4572">
        <w:rPr>
          <w:rFonts w:ascii="Tahoma" w:hAnsi="Tahoma" w:cs="Tahoma"/>
          <w:sz w:val="20"/>
          <w:szCs w:val="20"/>
        </w:rPr>
        <w:t>2</w:t>
      </w:r>
      <w:r w:rsidR="005C4644">
        <w:rPr>
          <w:rFonts w:ascii="Tahoma" w:hAnsi="Tahoma" w:cs="Tahoma"/>
          <w:sz w:val="20"/>
          <w:szCs w:val="20"/>
        </w:rPr>
        <w:t>1</w:t>
      </w:r>
      <w:r w:rsidR="00BB1DEF">
        <w:rPr>
          <w:rFonts w:ascii="Tahoma" w:hAnsi="Tahoma" w:cs="Tahoma"/>
          <w:sz w:val="20"/>
          <w:szCs w:val="20"/>
        </w:rPr>
        <w:t>,</w:t>
      </w:r>
      <w:r w:rsidRPr="008C5F8D">
        <w:rPr>
          <w:rFonts w:ascii="Tahoma" w:hAnsi="Tahoma" w:cs="Tahoma"/>
          <w:sz w:val="20"/>
          <w:szCs w:val="20"/>
        </w:rPr>
        <w:t xml:space="preserve"> j</w:t>
      </w:r>
      <w:r w:rsidR="009B61EC">
        <w:rPr>
          <w:rFonts w:ascii="Tahoma" w:hAnsi="Tahoma" w:cs="Tahoma"/>
          <w:sz w:val="20"/>
          <w:szCs w:val="20"/>
        </w:rPr>
        <w:t>sou</w:t>
      </w:r>
      <w:r w:rsidR="007E4572">
        <w:rPr>
          <w:rFonts w:ascii="Tahoma" w:hAnsi="Tahoma" w:cs="Tahoma"/>
          <w:sz w:val="20"/>
          <w:szCs w:val="20"/>
        </w:rPr>
        <w:t xml:space="preserve"> </w:t>
      </w:r>
      <w:r w:rsidR="0048769C" w:rsidRPr="008C5F8D">
        <w:rPr>
          <w:rFonts w:ascii="Tahoma" w:hAnsi="Tahoma" w:cs="Tahoma"/>
          <w:sz w:val="20"/>
          <w:szCs w:val="20"/>
        </w:rPr>
        <w:t>uveden</w:t>
      </w:r>
      <w:r w:rsidR="009B61EC">
        <w:rPr>
          <w:rFonts w:ascii="Tahoma" w:hAnsi="Tahoma" w:cs="Tahoma"/>
          <w:sz w:val="20"/>
          <w:szCs w:val="20"/>
        </w:rPr>
        <w:t>y</w:t>
      </w:r>
      <w:r w:rsidR="0048769C" w:rsidRPr="008C5F8D">
        <w:rPr>
          <w:rFonts w:ascii="Tahoma" w:hAnsi="Tahoma" w:cs="Tahoma"/>
          <w:sz w:val="20"/>
          <w:szCs w:val="20"/>
        </w:rPr>
        <w:t xml:space="preserve"> </w:t>
      </w:r>
      <w:r w:rsidRPr="008C5F8D">
        <w:rPr>
          <w:rFonts w:ascii="Tahoma" w:hAnsi="Tahoma" w:cs="Tahoma"/>
          <w:sz w:val="20"/>
          <w:szCs w:val="20"/>
        </w:rPr>
        <w:t xml:space="preserve">v tabulce č. </w:t>
      </w:r>
      <w:r w:rsidR="00CE60C2">
        <w:rPr>
          <w:rFonts w:ascii="Tahoma" w:hAnsi="Tahoma" w:cs="Tahoma"/>
          <w:sz w:val="20"/>
          <w:szCs w:val="20"/>
        </w:rPr>
        <w:t>5</w:t>
      </w:r>
    </w:p>
    <w:p w14:paraId="72AA5D04" w14:textId="77777777" w:rsidR="00F81E79" w:rsidRPr="00D44388" w:rsidRDefault="00F81E79" w:rsidP="00F81E79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</w:rPr>
      </w:pPr>
    </w:p>
    <w:p w14:paraId="5CDF6DEB" w14:textId="2C9FC051" w:rsidR="0013061F" w:rsidRDefault="0013061F" w:rsidP="0013061F">
      <w:pPr>
        <w:spacing w:after="120"/>
        <w:jc w:val="both"/>
        <w:rPr>
          <w:rFonts w:ascii="Tahoma" w:hAnsi="Tahoma" w:cs="Tahoma"/>
          <w:b/>
          <w:i/>
          <w:sz w:val="20"/>
          <w:szCs w:val="20"/>
        </w:rPr>
      </w:pPr>
      <w:r w:rsidRPr="0013061F">
        <w:rPr>
          <w:rFonts w:ascii="Tahoma" w:hAnsi="Tahoma" w:cs="Tahoma"/>
          <w:sz w:val="20"/>
          <w:szCs w:val="20"/>
        </w:rPr>
        <w:t>Tabulka č.</w:t>
      </w:r>
      <w:r w:rsidR="00991125">
        <w:rPr>
          <w:rFonts w:ascii="Tahoma" w:hAnsi="Tahoma" w:cs="Tahoma"/>
          <w:sz w:val="20"/>
          <w:szCs w:val="20"/>
        </w:rPr>
        <w:t xml:space="preserve"> </w:t>
      </w:r>
      <w:r w:rsidR="00CE60C2">
        <w:rPr>
          <w:rFonts w:ascii="Tahoma" w:hAnsi="Tahoma" w:cs="Tahoma"/>
          <w:sz w:val="20"/>
          <w:szCs w:val="20"/>
        </w:rPr>
        <w:t>5</w:t>
      </w:r>
      <w:r w:rsidRPr="0013061F">
        <w:rPr>
          <w:rFonts w:ascii="Tahoma" w:hAnsi="Tahoma" w:cs="Tahoma"/>
          <w:sz w:val="20"/>
          <w:szCs w:val="20"/>
        </w:rPr>
        <w:t xml:space="preserve"> – </w:t>
      </w:r>
      <w:r w:rsidRPr="0013061F">
        <w:rPr>
          <w:rFonts w:ascii="Tahoma" w:hAnsi="Tahoma" w:cs="Tahoma"/>
          <w:b/>
          <w:i/>
          <w:sz w:val="20"/>
          <w:szCs w:val="20"/>
        </w:rPr>
        <w:t xml:space="preserve">Přehled </w:t>
      </w:r>
      <w:r>
        <w:rPr>
          <w:rFonts w:ascii="Tahoma" w:hAnsi="Tahoma" w:cs="Tahoma"/>
          <w:b/>
          <w:i/>
          <w:sz w:val="20"/>
          <w:szCs w:val="20"/>
        </w:rPr>
        <w:t xml:space="preserve">služeb, kterým nebyla poskytnuta dotace v řádném kole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280"/>
        <w:gridCol w:w="1608"/>
        <w:gridCol w:w="1881"/>
        <w:gridCol w:w="2261"/>
      </w:tblGrid>
      <w:tr w:rsidR="0013061F" w:rsidRPr="002F29F9" w14:paraId="16FF8653" w14:textId="77777777" w:rsidTr="006A17E4">
        <w:trPr>
          <w:trHeight w:val="42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88CB08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E1B2A5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8F3B62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E60E79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C5F2C6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9B61EC" w:rsidRPr="002F29F9" w14:paraId="2F2E47F1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C97D" w14:textId="551567E0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Město Petřvald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783C" w14:textId="0CB88993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297593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6CA1" w14:textId="7BD886C1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3304204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3B0C" w14:textId="02CADA75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1E0A" w14:textId="5D5629D4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Město Petřvald</w:t>
            </w:r>
          </w:p>
        </w:tc>
      </w:tr>
      <w:tr w:rsidR="009B61EC" w:rsidRPr="002F29F9" w14:paraId="490E357F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0B40" w14:textId="0335C669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Sociální služby města Orlová, příspěvková organizace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49BA" w14:textId="29CBD635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72076674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363D" w14:textId="02843FB4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2531906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C1E9" w14:textId="6BA15761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C50" w14:textId="7669B27C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Odlehčovací služba</w:t>
            </w:r>
          </w:p>
        </w:tc>
      </w:tr>
      <w:tr w:rsidR="009B61EC" w:rsidRPr="002F29F9" w14:paraId="43953A29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1302" w14:textId="0FC1C664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Sociální služby města Orlová, příspěvková organizace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F6DC" w14:textId="3DA5A303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72076674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4C89" w14:textId="47CCD098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3138317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EBED" w14:textId="18F9D09F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B9DD" w14:textId="643A3717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</w:tr>
      <w:tr w:rsidR="009B61EC" w:rsidRPr="002F29F9" w14:paraId="34C2CDB8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0439" w14:textId="42915C2C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Sociální služby města Orlová, příspěvková organizace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C943" w14:textId="0E5FB128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72076674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DEEA" w14:textId="53019DA7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7316487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8D19" w14:textId="1A828340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ECF9" w14:textId="45FDF212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Chráněné bydlení</w:t>
            </w:r>
          </w:p>
        </w:tc>
      </w:tr>
      <w:tr w:rsidR="009B61EC" w:rsidRPr="002F29F9" w14:paraId="1E8697DB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887E" w14:textId="6C2CEE3B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Sociální služby města Orlová, příspěvková organizace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0C75" w14:textId="27E3946D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72076674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D7AB" w14:textId="04621DE9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7943636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9BEE" w14:textId="0F33D538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C702" w14:textId="73F1E7AC" w:rsidR="009B61EC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Domovinka</w:t>
            </w:r>
          </w:p>
        </w:tc>
      </w:tr>
      <w:tr w:rsidR="0013061F" w:rsidRPr="002F29F9" w14:paraId="3A53F0FA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E34F" w14:textId="0BAB223D" w:rsidR="0013061F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Sociální služby města Orlová, příspěvková organizace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40A3" w14:textId="052EB3AD" w:rsidR="0013061F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72076674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9F7C" w14:textId="11EA9C7A" w:rsidR="0013061F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8102005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0B99" w14:textId="60C93733" w:rsidR="0013061F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C539" w14:textId="0737BD15" w:rsidR="0013061F" w:rsidRPr="00AB6F1B" w:rsidRDefault="009B61EC" w:rsidP="00335B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61EC">
              <w:rPr>
                <w:rFonts w:ascii="Tahoma" w:hAnsi="Tahoma" w:cs="Tahoma"/>
                <w:color w:val="000000"/>
                <w:sz w:val="20"/>
                <w:szCs w:val="20"/>
              </w:rPr>
              <w:t>Terénní sociální služby</w:t>
            </w:r>
          </w:p>
        </w:tc>
      </w:tr>
    </w:tbl>
    <w:p w14:paraId="4C97B608" w14:textId="005D8F4C" w:rsidR="00F81E79" w:rsidRDefault="00F81E79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26D3619" w14:textId="77777777" w:rsidR="00EB1588" w:rsidRDefault="00EB1588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778F8FCD" w14:textId="4D6245AB" w:rsidR="002C34B5" w:rsidRPr="008C5F8D" w:rsidRDefault="005B0B3E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106EE7">
        <w:rPr>
          <w:rFonts w:ascii="Tahoma" w:hAnsi="Tahoma" w:cs="Tahoma"/>
          <w:sz w:val="20"/>
          <w:szCs w:val="20"/>
        </w:rPr>
        <w:t>Ž</w:t>
      </w:r>
      <w:r w:rsidR="002C34B5" w:rsidRPr="00106EE7">
        <w:rPr>
          <w:rFonts w:ascii="Tahoma" w:hAnsi="Tahoma" w:cs="Tahoma"/>
          <w:sz w:val="20"/>
          <w:szCs w:val="20"/>
        </w:rPr>
        <w:t>ádosti</w:t>
      </w:r>
      <w:r w:rsidR="000154D9" w:rsidRPr="00106EE7">
        <w:rPr>
          <w:rFonts w:ascii="Tahoma" w:hAnsi="Tahoma" w:cs="Tahoma"/>
          <w:sz w:val="20"/>
          <w:szCs w:val="20"/>
        </w:rPr>
        <w:t xml:space="preserve"> uvedené v bodě a) – c) </w:t>
      </w:r>
      <w:r w:rsidR="002C34B5" w:rsidRPr="00106EE7">
        <w:rPr>
          <w:rFonts w:ascii="Tahoma" w:hAnsi="Tahoma" w:cs="Tahoma"/>
          <w:sz w:val="20"/>
          <w:szCs w:val="20"/>
        </w:rPr>
        <w:t>byly posouzeny dle následujícího postupu:</w:t>
      </w:r>
    </w:p>
    <w:p w14:paraId="1DEE06E0" w14:textId="7128FF3A" w:rsidR="00943E1D" w:rsidRDefault="002C34B5" w:rsidP="00443EC1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0B3303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0B3303">
        <w:rPr>
          <w:rFonts w:ascii="Tahoma" w:hAnsi="Tahoma" w:cs="Tahoma"/>
          <w:sz w:val="20"/>
          <w:szCs w:val="20"/>
        </w:rPr>
        <w:t xml:space="preserve"> – posouzení, zda nová sociální služba nebo navýšená kapacita je zařazena v Krajské síti sociálních služeb</w:t>
      </w:r>
      <w:r w:rsidR="00B63D05" w:rsidRPr="000B3303">
        <w:rPr>
          <w:rFonts w:ascii="Tahoma" w:hAnsi="Tahoma" w:cs="Tahoma"/>
          <w:sz w:val="20"/>
          <w:szCs w:val="20"/>
        </w:rPr>
        <w:t xml:space="preserve">. </w:t>
      </w:r>
    </w:p>
    <w:p w14:paraId="4CD45B2A" w14:textId="77777777" w:rsidR="00943E1D" w:rsidRDefault="00943E1D" w:rsidP="00943E1D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103F0606" w14:textId="50F952A8" w:rsidR="00943E1D" w:rsidRPr="00943E1D" w:rsidRDefault="00943E1D" w:rsidP="00443EC1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943E1D">
        <w:rPr>
          <w:rFonts w:ascii="Tahoma" w:hAnsi="Tahoma" w:cs="Tahoma"/>
          <w:b/>
          <w:bCs/>
          <w:sz w:val="20"/>
          <w:szCs w:val="20"/>
        </w:rPr>
        <w:t>Kontrola přiměřenosti a hospodárnosti rozpočtu sociálních služeb, požadavku na dotaci a vymezení neuznatelných nákladů zahrnutých v požadavku na dotaci</w:t>
      </w:r>
    </w:p>
    <w:p w14:paraId="15430B65" w14:textId="77777777" w:rsidR="00FA7538" w:rsidRDefault="00FA7538" w:rsidP="00FA7538">
      <w:pPr>
        <w:pStyle w:val="Odstavecseseznamem"/>
        <w:tabs>
          <w:tab w:val="left" w:pos="993"/>
        </w:tabs>
        <w:spacing w:after="0" w:line="276" w:lineRule="auto"/>
        <w:ind w:left="1349"/>
        <w:jc w:val="both"/>
        <w:rPr>
          <w:rFonts w:ascii="Tahoma" w:hAnsi="Tahoma" w:cs="Tahoma"/>
          <w:sz w:val="20"/>
          <w:szCs w:val="20"/>
        </w:rPr>
      </w:pPr>
    </w:p>
    <w:p w14:paraId="4A4D53A5" w14:textId="13F01243" w:rsidR="00943E1D" w:rsidRDefault="001A11F4" w:rsidP="00FA7538">
      <w:pPr>
        <w:pStyle w:val="Odstavecseseznamem"/>
        <w:numPr>
          <w:ilvl w:val="0"/>
          <w:numId w:val="40"/>
        </w:numPr>
        <w:tabs>
          <w:tab w:val="left" w:pos="993"/>
        </w:tabs>
        <w:spacing w:after="0" w:line="276" w:lineRule="auto"/>
        <w:ind w:left="1349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Kontrola souladu kapacit s Krajskou sítí</w:t>
      </w:r>
      <w:r w:rsidR="00B27734">
        <w:rPr>
          <w:rFonts w:ascii="Tahoma" w:hAnsi="Tahoma" w:cs="Tahoma"/>
          <w:sz w:val="20"/>
          <w:szCs w:val="20"/>
        </w:rPr>
        <w:t xml:space="preserve"> se statusem „základní“</w:t>
      </w:r>
    </w:p>
    <w:p w14:paraId="686EFBFF" w14:textId="77777777" w:rsidR="00943E1D" w:rsidRDefault="00943E1D" w:rsidP="00FA7538">
      <w:pPr>
        <w:pStyle w:val="Odstavecseseznamem"/>
        <w:tabs>
          <w:tab w:val="left" w:pos="993"/>
        </w:tabs>
        <w:spacing w:after="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74CA45A8" w14:textId="6670F6A9" w:rsidR="00B27734" w:rsidRDefault="00622FEA" w:rsidP="001A710A">
      <w:pPr>
        <w:pStyle w:val="Normlnweb"/>
        <w:spacing w:before="0" w:beforeAutospacing="0" w:after="120" w:afterAutospacing="0"/>
        <w:ind w:left="1418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BE1847">
        <w:rPr>
          <w:rFonts w:ascii="Tahoma" w:hAnsi="Tahoma" w:cs="Tahoma"/>
          <w:sz w:val="20"/>
          <w:szCs w:val="20"/>
        </w:rPr>
        <w:lastRenderedPageBreak/>
        <w:t>Služb</w:t>
      </w:r>
      <w:r w:rsidR="00B27734">
        <w:rPr>
          <w:rFonts w:ascii="Tahoma" w:hAnsi="Tahoma" w:cs="Tahoma"/>
          <w:sz w:val="20"/>
          <w:szCs w:val="20"/>
        </w:rPr>
        <w:t>a</w:t>
      </w:r>
      <w:r w:rsidRPr="00BE1847">
        <w:rPr>
          <w:rFonts w:ascii="Tahoma" w:hAnsi="Tahoma" w:cs="Tahoma"/>
          <w:sz w:val="20"/>
          <w:szCs w:val="20"/>
        </w:rPr>
        <w:t>, kter</w:t>
      </w:r>
      <w:r w:rsidR="009D714E">
        <w:rPr>
          <w:rFonts w:ascii="Tahoma" w:hAnsi="Tahoma" w:cs="Tahoma"/>
          <w:sz w:val="20"/>
          <w:szCs w:val="20"/>
        </w:rPr>
        <w:t>á</w:t>
      </w:r>
      <w:r w:rsidRPr="00BE1847">
        <w:rPr>
          <w:rFonts w:ascii="Tahoma" w:hAnsi="Tahoma" w:cs="Tahoma"/>
          <w:sz w:val="20"/>
          <w:szCs w:val="20"/>
        </w:rPr>
        <w:t xml:space="preserve"> podal</w:t>
      </w:r>
      <w:r w:rsidR="00B27734">
        <w:rPr>
          <w:rFonts w:ascii="Tahoma" w:hAnsi="Tahoma" w:cs="Tahoma"/>
          <w:sz w:val="20"/>
          <w:szCs w:val="20"/>
        </w:rPr>
        <w:t>a</w:t>
      </w:r>
      <w:r w:rsidRPr="00BE1847">
        <w:rPr>
          <w:rFonts w:ascii="Tahoma" w:hAnsi="Tahoma" w:cs="Tahoma"/>
          <w:sz w:val="20"/>
          <w:szCs w:val="20"/>
        </w:rPr>
        <w:t xml:space="preserve"> žádost </w:t>
      </w:r>
      <w:r w:rsidR="0080447D">
        <w:rPr>
          <w:rFonts w:ascii="Tahoma" w:hAnsi="Tahoma" w:cs="Tahoma"/>
          <w:sz w:val="20"/>
          <w:szCs w:val="20"/>
        </w:rPr>
        <w:t>pod</w:t>
      </w:r>
      <w:r>
        <w:rPr>
          <w:rFonts w:ascii="Tahoma" w:hAnsi="Tahoma" w:cs="Tahoma"/>
          <w:sz w:val="20"/>
          <w:szCs w:val="20"/>
        </w:rPr>
        <w:t> tzv.</w:t>
      </w:r>
      <w:r w:rsidRPr="00BE1847">
        <w:rPr>
          <w:rFonts w:ascii="Tahoma" w:hAnsi="Tahoma" w:cs="Tahoma"/>
          <w:sz w:val="20"/>
          <w:szCs w:val="20"/>
        </w:rPr>
        <w:t> koridor</w:t>
      </w:r>
      <w:r w:rsidR="00820768">
        <w:rPr>
          <w:rFonts w:ascii="Tahoma" w:hAnsi="Tahoma" w:cs="Tahoma"/>
          <w:sz w:val="20"/>
          <w:szCs w:val="20"/>
        </w:rPr>
        <w:t xml:space="preserve"> (pod 80 %)</w:t>
      </w:r>
      <w:r w:rsidR="00B27734">
        <w:rPr>
          <w:rFonts w:ascii="Tahoma" w:hAnsi="Tahoma" w:cs="Tahoma"/>
          <w:sz w:val="20"/>
          <w:szCs w:val="20"/>
        </w:rPr>
        <w:t xml:space="preserve"> - </w:t>
      </w:r>
      <w:r w:rsidR="00B27734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žadatel </w:t>
      </w:r>
      <w:r w:rsidR="00B2773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podal </w:t>
      </w:r>
      <w:r w:rsidR="00B27734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vysvětlení</w:t>
      </w:r>
      <w:r w:rsidR="00B2773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B27734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</w:t>
      </w:r>
      <w:r w:rsidR="001A710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B27734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žádosti.</w:t>
      </w:r>
      <w:r w:rsidR="00B2773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B27734"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Rozdíl byl zdůvodněn</w:t>
      </w:r>
      <w:r w:rsidR="00B2773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administrativní chybou při zpracovávání žádosti.</w:t>
      </w:r>
      <w:r w:rsidR="00B27734"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1A674177" w14:textId="7D0CF2C4" w:rsidR="001A11F4" w:rsidRPr="001A11F4" w:rsidRDefault="001A11F4" w:rsidP="00B27734">
      <w:pPr>
        <w:pStyle w:val="Odstavecseseznamem"/>
        <w:tabs>
          <w:tab w:val="left" w:pos="993"/>
        </w:tabs>
        <w:spacing w:after="0" w:line="276" w:lineRule="auto"/>
        <w:ind w:left="1349"/>
        <w:jc w:val="both"/>
        <w:rPr>
          <w:rFonts w:ascii="Tahoma" w:hAnsi="Tahoma" w:cs="Tahoma"/>
          <w:sz w:val="20"/>
          <w:szCs w:val="20"/>
        </w:rPr>
      </w:pPr>
    </w:p>
    <w:p w14:paraId="17F02C15" w14:textId="7F6A7DCE" w:rsidR="001A11F4" w:rsidRDefault="001A11F4" w:rsidP="00FA7538">
      <w:pPr>
        <w:pStyle w:val="Odstavecseseznamem"/>
        <w:numPr>
          <w:ilvl w:val="0"/>
          <w:numId w:val="40"/>
        </w:numPr>
        <w:tabs>
          <w:tab w:val="left" w:pos="993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Kontrola uznatelnosti nákladů – žádosti</w:t>
      </w:r>
      <w:r w:rsidR="00EB1588">
        <w:rPr>
          <w:rFonts w:ascii="Tahoma" w:hAnsi="Tahoma" w:cs="Tahoma"/>
          <w:sz w:val="20"/>
          <w:szCs w:val="20"/>
        </w:rPr>
        <w:t>, které obsahovaly neuznatelné náklady</w:t>
      </w:r>
      <w:r w:rsidR="00B3667A">
        <w:rPr>
          <w:rFonts w:ascii="Tahoma" w:hAnsi="Tahoma" w:cs="Tahoma"/>
          <w:sz w:val="20"/>
          <w:szCs w:val="20"/>
        </w:rPr>
        <w:t>, byly o</w:t>
      </w:r>
      <w:r w:rsidR="001A710A">
        <w:rPr>
          <w:rFonts w:ascii="Tahoma" w:hAnsi="Tahoma" w:cs="Tahoma"/>
          <w:sz w:val="20"/>
          <w:szCs w:val="20"/>
        </w:rPr>
        <w:t> </w:t>
      </w:r>
      <w:r w:rsidR="00B3667A">
        <w:rPr>
          <w:rFonts w:ascii="Tahoma" w:hAnsi="Tahoma" w:cs="Tahoma"/>
          <w:sz w:val="20"/>
          <w:szCs w:val="20"/>
        </w:rPr>
        <w:t>tyto náklady poníženy</w:t>
      </w:r>
      <w:r>
        <w:rPr>
          <w:rFonts w:ascii="Tahoma" w:hAnsi="Tahoma" w:cs="Tahoma"/>
          <w:sz w:val="20"/>
          <w:szCs w:val="20"/>
        </w:rPr>
        <w:t>.</w:t>
      </w:r>
    </w:p>
    <w:p w14:paraId="030AAFF6" w14:textId="77777777" w:rsidR="008F4676" w:rsidRPr="000B3303" w:rsidRDefault="008F4676" w:rsidP="008F4676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4C0D341A" w14:textId="031655C6" w:rsidR="002C34B5" w:rsidRPr="00106EE7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94675">
        <w:rPr>
          <w:rFonts w:ascii="Tahoma" w:hAnsi="Tahoma" w:cs="Tahoma"/>
          <w:b/>
          <w:sz w:val="20"/>
          <w:szCs w:val="20"/>
        </w:rPr>
        <w:t>Zhodnocení zajištění dalších zdrojů financování</w:t>
      </w:r>
      <w:r w:rsidRPr="00294675">
        <w:rPr>
          <w:rFonts w:ascii="Tahoma" w:hAnsi="Tahoma" w:cs="Tahoma"/>
          <w:sz w:val="20"/>
          <w:szCs w:val="20"/>
        </w:rPr>
        <w:t xml:space="preserve"> sociální služby zejména vzhledem </w:t>
      </w:r>
      <w:r w:rsidRPr="00106EE7">
        <w:rPr>
          <w:rFonts w:ascii="Tahoma" w:hAnsi="Tahoma" w:cs="Tahoma"/>
          <w:sz w:val="20"/>
          <w:szCs w:val="20"/>
        </w:rPr>
        <w:t>k druhu sociální služby a právní formě poskytovatele sociální služby</w:t>
      </w:r>
      <w:r w:rsidR="00B3667A">
        <w:rPr>
          <w:rFonts w:ascii="Tahoma" w:hAnsi="Tahoma" w:cs="Tahoma"/>
          <w:sz w:val="20"/>
          <w:szCs w:val="20"/>
        </w:rPr>
        <w:t xml:space="preserve"> (kontrola úhrad od</w:t>
      </w:r>
      <w:r w:rsidR="001A710A">
        <w:rPr>
          <w:rFonts w:ascii="Tahoma" w:hAnsi="Tahoma" w:cs="Tahoma"/>
          <w:sz w:val="20"/>
          <w:szCs w:val="20"/>
        </w:rPr>
        <w:t> </w:t>
      </w:r>
      <w:r w:rsidR="00B3667A">
        <w:rPr>
          <w:rFonts w:ascii="Tahoma" w:hAnsi="Tahoma" w:cs="Tahoma"/>
          <w:sz w:val="20"/>
          <w:szCs w:val="20"/>
        </w:rPr>
        <w:t>uživatelů, platby z veřejného zdravotního pojištění, dotace samospráv apod.).</w:t>
      </w:r>
    </w:p>
    <w:p w14:paraId="37D4A06C" w14:textId="77777777" w:rsidR="00EA07F3" w:rsidRPr="00294675" w:rsidRDefault="00EA07F3" w:rsidP="00EA07F3">
      <w:pPr>
        <w:pStyle w:val="Odstavecseseznamem"/>
        <w:tabs>
          <w:tab w:val="left" w:pos="1560"/>
        </w:tabs>
        <w:spacing w:after="200" w:line="276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73DBA8EB" w14:textId="0D2FC826" w:rsidR="002C34B5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94675">
        <w:rPr>
          <w:rFonts w:ascii="Tahoma" w:hAnsi="Tahoma" w:cs="Tahoma"/>
          <w:b/>
          <w:sz w:val="20"/>
          <w:szCs w:val="20"/>
        </w:rPr>
        <w:t>Výpočet optimálního návrhu dotace</w:t>
      </w:r>
      <w:r w:rsidRPr="00294675">
        <w:rPr>
          <w:rFonts w:ascii="Tahoma" w:hAnsi="Tahoma" w:cs="Tahoma"/>
          <w:sz w:val="20"/>
          <w:szCs w:val="20"/>
        </w:rPr>
        <w:t xml:space="preserve"> – </w:t>
      </w:r>
      <w:r w:rsidR="00B3667A">
        <w:rPr>
          <w:rFonts w:ascii="Tahoma" w:hAnsi="Tahoma" w:cs="Tahoma"/>
          <w:sz w:val="20"/>
          <w:szCs w:val="20"/>
        </w:rPr>
        <w:t xml:space="preserve">u </w:t>
      </w:r>
      <w:r w:rsidR="009F0BB7" w:rsidRPr="00294675">
        <w:rPr>
          <w:rFonts w:ascii="Tahoma" w:hAnsi="Tahoma" w:cs="Tahoma"/>
          <w:sz w:val="20"/>
          <w:szCs w:val="20"/>
        </w:rPr>
        <w:t>žádost</w:t>
      </w:r>
      <w:r w:rsidR="00B3667A">
        <w:rPr>
          <w:rFonts w:ascii="Tahoma" w:hAnsi="Tahoma" w:cs="Tahoma"/>
          <w:sz w:val="20"/>
          <w:szCs w:val="20"/>
        </w:rPr>
        <w:t>í, které o</w:t>
      </w:r>
      <w:r w:rsidR="009F0BB7" w:rsidRPr="00294675">
        <w:rPr>
          <w:rFonts w:ascii="Tahoma" w:hAnsi="Tahoma" w:cs="Tahoma"/>
          <w:sz w:val="20"/>
          <w:szCs w:val="20"/>
        </w:rPr>
        <w:t>bsahoval</w:t>
      </w:r>
      <w:r w:rsidR="004B7F05" w:rsidRPr="00294675">
        <w:rPr>
          <w:rFonts w:ascii="Tahoma" w:hAnsi="Tahoma" w:cs="Tahoma"/>
          <w:sz w:val="20"/>
          <w:szCs w:val="20"/>
        </w:rPr>
        <w:t>y</w:t>
      </w:r>
      <w:r w:rsidR="009F0BB7" w:rsidRPr="00294675">
        <w:rPr>
          <w:rFonts w:ascii="Tahoma" w:hAnsi="Tahoma" w:cs="Tahoma"/>
          <w:sz w:val="20"/>
          <w:szCs w:val="20"/>
        </w:rPr>
        <w:t xml:space="preserve"> neuznatelné </w:t>
      </w:r>
      <w:r w:rsidRPr="00294675">
        <w:rPr>
          <w:rFonts w:ascii="Tahoma" w:hAnsi="Tahoma" w:cs="Tahoma"/>
          <w:sz w:val="20"/>
          <w:szCs w:val="20"/>
        </w:rPr>
        <w:t>náklady</w:t>
      </w:r>
      <w:r w:rsidR="009F0BB7" w:rsidRPr="00294675">
        <w:rPr>
          <w:rFonts w:ascii="Tahoma" w:hAnsi="Tahoma" w:cs="Tahoma"/>
          <w:sz w:val="20"/>
          <w:szCs w:val="20"/>
        </w:rPr>
        <w:t xml:space="preserve"> byl optimální návrh stanoven na úrovni požadavku </w:t>
      </w:r>
      <w:r w:rsidR="00B3667A">
        <w:rPr>
          <w:rFonts w:ascii="Tahoma" w:hAnsi="Tahoma" w:cs="Tahoma"/>
          <w:sz w:val="20"/>
          <w:szCs w:val="20"/>
        </w:rPr>
        <w:t xml:space="preserve">sníženého o neuznatelné náklady a </w:t>
      </w:r>
      <w:r w:rsidR="009F0BB7" w:rsidRPr="00294675">
        <w:rPr>
          <w:rFonts w:ascii="Tahoma" w:hAnsi="Tahoma" w:cs="Tahoma"/>
          <w:sz w:val="20"/>
          <w:szCs w:val="20"/>
        </w:rPr>
        <w:t>zaokrouhlen na tisícikoruny dolů</w:t>
      </w:r>
      <w:r w:rsidR="009F0BB7" w:rsidRPr="00BE1847">
        <w:rPr>
          <w:rFonts w:ascii="Tahoma" w:hAnsi="Tahoma" w:cs="Tahoma"/>
          <w:sz w:val="20"/>
          <w:szCs w:val="20"/>
        </w:rPr>
        <w:t xml:space="preserve"> v souladu s článkem</w:t>
      </w:r>
      <w:r w:rsidRPr="00BE1847">
        <w:rPr>
          <w:rFonts w:ascii="Tahoma" w:hAnsi="Tahoma" w:cs="Tahoma"/>
          <w:sz w:val="20"/>
          <w:szCs w:val="20"/>
        </w:rPr>
        <w:t xml:space="preserve"> V</w:t>
      </w:r>
      <w:r w:rsidR="00BE1847" w:rsidRPr="00BE1847">
        <w:rPr>
          <w:rFonts w:ascii="Tahoma" w:hAnsi="Tahoma" w:cs="Tahoma"/>
          <w:sz w:val="20"/>
          <w:szCs w:val="20"/>
        </w:rPr>
        <w:t>III odst. 4</w:t>
      </w:r>
      <w:r w:rsidRPr="00BE1847">
        <w:rPr>
          <w:rFonts w:ascii="Tahoma" w:hAnsi="Tahoma" w:cs="Tahoma"/>
          <w:sz w:val="20"/>
          <w:szCs w:val="20"/>
        </w:rPr>
        <w:t xml:space="preserve"> Podmínek</w:t>
      </w:r>
      <w:r w:rsidR="00BE1847" w:rsidRPr="00BE1847">
        <w:rPr>
          <w:rFonts w:ascii="Tahoma" w:hAnsi="Tahoma" w:cs="Tahoma"/>
          <w:sz w:val="20"/>
          <w:szCs w:val="20"/>
        </w:rPr>
        <w:t>.</w:t>
      </w:r>
      <w:r w:rsidRPr="009F0BB7">
        <w:rPr>
          <w:rFonts w:ascii="Tahoma" w:hAnsi="Tahoma" w:cs="Tahoma"/>
          <w:sz w:val="20"/>
          <w:szCs w:val="20"/>
        </w:rPr>
        <w:t xml:space="preserve"> </w:t>
      </w:r>
    </w:p>
    <w:p w14:paraId="089ECB4A" w14:textId="77777777" w:rsidR="009F0BB7" w:rsidRPr="009F0BB7" w:rsidRDefault="009F0BB7" w:rsidP="009F0BB7">
      <w:pPr>
        <w:pStyle w:val="Odstavecseseznamem"/>
        <w:tabs>
          <w:tab w:val="left" w:pos="993"/>
        </w:tabs>
        <w:spacing w:before="120"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4CEC3023" w14:textId="7A478F95" w:rsidR="002C34B5" w:rsidRPr="008C5F8D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Výpočet návrhu dotace pro služby nově vzniklé nebo dosud z veřejných zdrojů nefinancované a návrhu dotace pro navýšen</w:t>
      </w:r>
      <w:r w:rsidR="00FE1AFC">
        <w:rPr>
          <w:rFonts w:ascii="Tahoma" w:hAnsi="Tahoma" w:cs="Tahoma"/>
          <w:b/>
          <w:sz w:val="20"/>
          <w:szCs w:val="20"/>
        </w:rPr>
        <w:t>é</w:t>
      </w:r>
      <w:r w:rsidRPr="008C5F8D">
        <w:rPr>
          <w:rFonts w:ascii="Tahoma" w:hAnsi="Tahoma" w:cs="Tahoma"/>
          <w:b/>
          <w:sz w:val="20"/>
          <w:szCs w:val="20"/>
        </w:rPr>
        <w:t xml:space="preserve"> kapacity</w:t>
      </w:r>
    </w:p>
    <w:p w14:paraId="1BFF96CB" w14:textId="6365E3A8" w:rsidR="002C34B5" w:rsidRDefault="002C34B5" w:rsidP="002C34B5">
      <w:pPr>
        <w:ind w:left="993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Výpočet byl proveden </w:t>
      </w:r>
      <w:r w:rsidRPr="00F952A0">
        <w:rPr>
          <w:rFonts w:ascii="Tahoma" w:hAnsi="Tahoma" w:cs="Tahoma"/>
          <w:sz w:val="20"/>
          <w:szCs w:val="20"/>
        </w:rPr>
        <w:t>dle článku VIII odst. 5 písm. b) Podmínek</w:t>
      </w:r>
      <w:r w:rsidRPr="008C5F8D">
        <w:rPr>
          <w:rFonts w:ascii="Tahoma" w:hAnsi="Tahoma" w:cs="Tahoma"/>
          <w:sz w:val="20"/>
          <w:szCs w:val="20"/>
        </w:rPr>
        <w:t xml:space="preserve"> dotačního programu, kdy</w:t>
      </w:r>
      <w:r w:rsidR="004726EF" w:rsidRPr="008C5F8D">
        <w:rPr>
          <w:rFonts w:ascii="Tahoma" w:hAnsi="Tahoma" w:cs="Tahoma"/>
          <w:sz w:val="20"/>
          <w:szCs w:val="20"/>
        </w:rPr>
        <w:t> </w:t>
      </w:r>
      <w:r w:rsidRPr="008C5F8D">
        <w:rPr>
          <w:rFonts w:ascii="Tahoma" w:hAnsi="Tahoma" w:cs="Tahoma"/>
          <w:sz w:val="20"/>
          <w:szCs w:val="20"/>
        </w:rPr>
        <w:t>byla pro každý druh služeb vypočtena průměrná výše dotace na úvazek/lůžko (průměrný náklad na úvazek/lůžko násobený průměrným procentem dotace v daném druhu služeb). Pro konkrétní službu byla následně průměrná výše dotace na úvazek/lůžko násobena počtem úvazků/lůžek zařazených v Krajské</w:t>
      </w:r>
      <w:r w:rsidR="00FD1267">
        <w:rPr>
          <w:rFonts w:ascii="Tahoma" w:hAnsi="Tahoma" w:cs="Tahoma"/>
          <w:sz w:val="20"/>
          <w:szCs w:val="20"/>
        </w:rPr>
        <w:t xml:space="preserve"> </w:t>
      </w:r>
      <w:r w:rsidRPr="008C5F8D">
        <w:rPr>
          <w:rFonts w:ascii="Tahoma" w:hAnsi="Tahoma" w:cs="Tahoma"/>
          <w:sz w:val="20"/>
          <w:szCs w:val="20"/>
        </w:rPr>
        <w:t>síti</w:t>
      </w:r>
      <w:r w:rsidR="0045342D">
        <w:rPr>
          <w:rFonts w:ascii="Tahoma" w:hAnsi="Tahoma" w:cs="Tahoma"/>
          <w:sz w:val="20"/>
          <w:szCs w:val="20"/>
        </w:rPr>
        <w:t xml:space="preserve"> se statusem „základní“</w:t>
      </w:r>
      <w:r w:rsidR="00DF1BC3">
        <w:rPr>
          <w:rFonts w:ascii="Tahoma" w:hAnsi="Tahoma" w:cs="Tahoma"/>
          <w:sz w:val="20"/>
          <w:szCs w:val="20"/>
        </w:rPr>
        <w:t xml:space="preserve"> na daný počet měsíců</w:t>
      </w:r>
      <w:r w:rsidRPr="008C5F8D">
        <w:rPr>
          <w:rFonts w:ascii="Tahoma" w:hAnsi="Tahoma" w:cs="Tahoma"/>
          <w:sz w:val="20"/>
          <w:szCs w:val="20"/>
        </w:rPr>
        <w:t>.</w:t>
      </w:r>
    </w:p>
    <w:p w14:paraId="56DB9EB0" w14:textId="3A10C42F" w:rsidR="00003AF1" w:rsidRDefault="00003AF1" w:rsidP="002C34B5">
      <w:p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služeb, které navýšily kapacitu z důvodu </w:t>
      </w:r>
      <w:r w:rsidR="00374B60">
        <w:rPr>
          <w:rFonts w:ascii="Tahoma" w:hAnsi="Tahoma" w:cs="Tahoma"/>
          <w:sz w:val="20"/>
          <w:szCs w:val="20"/>
        </w:rPr>
        <w:t>převzetí</w:t>
      </w:r>
      <w:r w:rsidR="00B55E0E">
        <w:rPr>
          <w:rFonts w:ascii="Tahoma" w:hAnsi="Tahoma" w:cs="Tahoma"/>
          <w:sz w:val="20"/>
          <w:szCs w:val="20"/>
        </w:rPr>
        <w:t xml:space="preserve"> ukončených</w:t>
      </w:r>
      <w:r w:rsidR="00374B60">
        <w:rPr>
          <w:rFonts w:ascii="Tahoma" w:hAnsi="Tahoma" w:cs="Tahoma"/>
          <w:sz w:val="20"/>
          <w:szCs w:val="20"/>
        </w:rPr>
        <w:t xml:space="preserve"> služeb</w:t>
      </w:r>
      <w:r w:rsidR="006458D4">
        <w:rPr>
          <w:rFonts w:ascii="Tahoma" w:hAnsi="Tahoma" w:cs="Tahoma"/>
          <w:sz w:val="20"/>
          <w:szCs w:val="20"/>
        </w:rPr>
        <w:t xml:space="preserve"> poskytovaných jiným poskytovatelem</w:t>
      </w:r>
      <w:r w:rsidR="00B55E0E">
        <w:rPr>
          <w:rFonts w:ascii="Tahoma" w:hAnsi="Tahoma" w:cs="Tahoma"/>
          <w:sz w:val="20"/>
          <w:szCs w:val="20"/>
        </w:rPr>
        <w:t>,</w:t>
      </w:r>
      <w:r w:rsidR="00374B60">
        <w:rPr>
          <w:rFonts w:ascii="Tahoma" w:hAnsi="Tahoma" w:cs="Tahoma"/>
          <w:sz w:val="20"/>
          <w:szCs w:val="20"/>
        </w:rPr>
        <w:t xml:space="preserve"> byla dotace</w:t>
      </w:r>
      <w:r w:rsidR="00B55E0E">
        <w:rPr>
          <w:rFonts w:ascii="Tahoma" w:hAnsi="Tahoma" w:cs="Tahoma"/>
          <w:sz w:val="20"/>
          <w:szCs w:val="20"/>
        </w:rPr>
        <w:t xml:space="preserve"> stanovena </w:t>
      </w:r>
      <w:r w:rsidR="00B606E1">
        <w:rPr>
          <w:rFonts w:ascii="Tahoma" w:hAnsi="Tahoma" w:cs="Tahoma"/>
          <w:sz w:val="20"/>
          <w:szCs w:val="20"/>
        </w:rPr>
        <w:t>ve výši</w:t>
      </w:r>
      <w:r w:rsidR="00CC1901">
        <w:rPr>
          <w:rFonts w:ascii="Tahoma" w:hAnsi="Tahoma" w:cs="Tahoma"/>
          <w:sz w:val="20"/>
          <w:szCs w:val="20"/>
        </w:rPr>
        <w:t xml:space="preserve"> </w:t>
      </w:r>
      <w:r w:rsidR="00B606E1">
        <w:rPr>
          <w:rFonts w:ascii="Tahoma" w:hAnsi="Tahoma" w:cs="Tahoma"/>
          <w:sz w:val="20"/>
          <w:szCs w:val="20"/>
        </w:rPr>
        <w:t xml:space="preserve">dotace </w:t>
      </w:r>
      <w:r w:rsidR="00CC1901">
        <w:rPr>
          <w:rFonts w:ascii="Tahoma" w:hAnsi="Tahoma" w:cs="Tahoma"/>
          <w:sz w:val="20"/>
          <w:szCs w:val="20"/>
        </w:rPr>
        <w:t xml:space="preserve">pro ukončenou službu </w:t>
      </w:r>
      <w:r w:rsidR="00B606E1">
        <w:rPr>
          <w:rFonts w:ascii="Tahoma" w:hAnsi="Tahoma" w:cs="Tahoma"/>
          <w:sz w:val="20"/>
          <w:szCs w:val="20"/>
        </w:rPr>
        <w:t>a upravena</w:t>
      </w:r>
      <w:r w:rsidR="00CC1901">
        <w:rPr>
          <w:rFonts w:ascii="Tahoma" w:hAnsi="Tahoma" w:cs="Tahoma"/>
          <w:sz w:val="20"/>
          <w:szCs w:val="20"/>
        </w:rPr>
        <w:t xml:space="preserve"> dle počtu měsíců</w:t>
      </w:r>
      <w:r w:rsidR="006458D4">
        <w:rPr>
          <w:rFonts w:ascii="Tahoma" w:hAnsi="Tahoma" w:cs="Tahoma"/>
          <w:sz w:val="20"/>
          <w:szCs w:val="20"/>
        </w:rPr>
        <w:t xml:space="preserve"> zařazení do Krajské sítě</w:t>
      </w:r>
      <w:r w:rsidR="00CC1901">
        <w:rPr>
          <w:rFonts w:ascii="Tahoma" w:hAnsi="Tahoma" w:cs="Tahoma"/>
          <w:sz w:val="20"/>
          <w:szCs w:val="20"/>
        </w:rPr>
        <w:t>.</w:t>
      </w:r>
    </w:p>
    <w:p w14:paraId="5C11E1A9" w14:textId="413217F6" w:rsidR="00DF1BC3" w:rsidRPr="008C5F8D" w:rsidRDefault="00DF1BC3" w:rsidP="002C34B5">
      <w:p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služeb uvedených v</w:t>
      </w:r>
      <w:r w:rsidR="00B606E1">
        <w:rPr>
          <w:rFonts w:ascii="Tahoma" w:hAnsi="Tahoma" w:cs="Tahoma"/>
          <w:sz w:val="20"/>
          <w:szCs w:val="20"/>
        </w:rPr>
        <w:t xml:space="preserve"> čl. II písm. B </w:t>
      </w:r>
      <w:r>
        <w:rPr>
          <w:rFonts w:ascii="Tahoma" w:hAnsi="Tahoma" w:cs="Tahoma"/>
          <w:sz w:val="20"/>
          <w:szCs w:val="20"/>
        </w:rPr>
        <w:t xml:space="preserve">bodě c) byla dotace stanovena </w:t>
      </w:r>
      <w:r w:rsidR="006458D4">
        <w:rPr>
          <w:rFonts w:ascii="Tahoma" w:hAnsi="Tahoma" w:cs="Tahoma"/>
          <w:sz w:val="20"/>
          <w:szCs w:val="20"/>
        </w:rPr>
        <w:t xml:space="preserve">dle </w:t>
      </w:r>
      <w:r w:rsidR="00CC1901">
        <w:rPr>
          <w:rFonts w:ascii="Tahoma" w:hAnsi="Tahoma" w:cs="Tahoma"/>
          <w:sz w:val="20"/>
          <w:szCs w:val="20"/>
        </w:rPr>
        <w:t>čl. II a III Způsobu výpočtu návrhu dotace pro rok 2021</w:t>
      </w:r>
      <w:r w:rsidR="00B606E1">
        <w:rPr>
          <w:rFonts w:ascii="Tahoma" w:hAnsi="Tahoma" w:cs="Tahoma"/>
          <w:sz w:val="20"/>
          <w:szCs w:val="20"/>
        </w:rPr>
        <w:t xml:space="preserve"> schváleným pro řádné kolo dotačního řízení</w:t>
      </w:r>
      <w:r w:rsidR="00CE68AB">
        <w:rPr>
          <w:rFonts w:ascii="Tahoma" w:hAnsi="Tahoma" w:cs="Tahoma"/>
          <w:sz w:val="20"/>
          <w:szCs w:val="20"/>
        </w:rPr>
        <w:t>, tj.</w:t>
      </w:r>
      <w:r w:rsidR="00611739">
        <w:rPr>
          <w:rFonts w:ascii="Tahoma" w:hAnsi="Tahoma" w:cs="Tahoma"/>
          <w:sz w:val="20"/>
          <w:szCs w:val="20"/>
        </w:rPr>
        <w:t> </w:t>
      </w:r>
      <w:r w:rsidR="00CE68AB">
        <w:rPr>
          <w:rFonts w:ascii="Tahoma" w:hAnsi="Tahoma" w:cs="Tahoma"/>
          <w:sz w:val="20"/>
          <w:szCs w:val="20"/>
        </w:rPr>
        <w:t>celkov</w:t>
      </w:r>
      <w:r w:rsidR="006458D4">
        <w:rPr>
          <w:rFonts w:ascii="Tahoma" w:hAnsi="Tahoma" w:cs="Tahoma"/>
          <w:sz w:val="20"/>
          <w:szCs w:val="20"/>
        </w:rPr>
        <w:t>á</w:t>
      </w:r>
      <w:r w:rsidR="00CE68AB">
        <w:rPr>
          <w:rFonts w:ascii="Tahoma" w:hAnsi="Tahoma" w:cs="Tahoma"/>
          <w:sz w:val="20"/>
          <w:szCs w:val="20"/>
        </w:rPr>
        <w:t xml:space="preserve"> dotace roku 2020</w:t>
      </w:r>
      <w:r w:rsidR="00CC1901">
        <w:rPr>
          <w:rFonts w:ascii="Tahoma" w:hAnsi="Tahoma" w:cs="Tahoma"/>
          <w:sz w:val="20"/>
          <w:szCs w:val="20"/>
        </w:rPr>
        <w:t> </w:t>
      </w:r>
      <w:r w:rsidR="00CE68AB">
        <w:rPr>
          <w:rFonts w:ascii="Tahoma" w:hAnsi="Tahoma" w:cs="Tahoma"/>
          <w:sz w:val="20"/>
          <w:szCs w:val="20"/>
        </w:rPr>
        <w:t>násobena koeficientem dle</w:t>
      </w:r>
      <w:r w:rsidR="00B606E1">
        <w:rPr>
          <w:rFonts w:ascii="Tahoma" w:hAnsi="Tahoma" w:cs="Tahoma"/>
          <w:sz w:val="20"/>
          <w:szCs w:val="20"/>
        </w:rPr>
        <w:t> </w:t>
      </w:r>
      <w:r w:rsidR="00003AF1">
        <w:rPr>
          <w:rFonts w:ascii="Tahoma" w:hAnsi="Tahoma" w:cs="Tahoma"/>
          <w:sz w:val="20"/>
          <w:szCs w:val="20"/>
        </w:rPr>
        <w:t xml:space="preserve">příslušné </w:t>
      </w:r>
      <w:r w:rsidR="00CE68AB">
        <w:rPr>
          <w:rFonts w:ascii="Tahoma" w:hAnsi="Tahoma" w:cs="Tahoma"/>
          <w:sz w:val="20"/>
          <w:szCs w:val="20"/>
        </w:rPr>
        <w:t>třídy</w:t>
      </w:r>
      <w:r w:rsidR="00B606E1">
        <w:rPr>
          <w:rFonts w:ascii="Tahoma" w:hAnsi="Tahoma" w:cs="Tahoma"/>
          <w:sz w:val="20"/>
          <w:szCs w:val="20"/>
        </w:rPr>
        <w:t xml:space="preserve"> stanoveným pro rok 2021</w:t>
      </w:r>
      <w:r w:rsidR="00CE68AB">
        <w:rPr>
          <w:rFonts w:ascii="Tahoma" w:hAnsi="Tahoma" w:cs="Tahoma"/>
          <w:sz w:val="20"/>
          <w:szCs w:val="20"/>
        </w:rPr>
        <w:t>.</w:t>
      </w:r>
    </w:p>
    <w:p w14:paraId="3748A8B0" w14:textId="4F90B94A" w:rsidR="005274BD" w:rsidRDefault="002C34B5" w:rsidP="005B0B3E">
      <w:pPr>
        <w:ind w:left="993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Takto vypočtená částka byla limitována </w:t>
      </w:r>
      <w:r w:rsidR="00FE1AFC">
        <w:rPr>
          <w:rFonts w:ascii="Tahoma" w:hAnsi="Tahoma" w:cs="Tahoma"/>
          <w:sz w:val="20"/>
          <w:szCs w:val="20"/>
        </w:rPr>
        <w:t>výší</w:t>
      </w:r>
      <w:r w:rsidRPr="008C5F8D">
        <w:rPr>
          <w:rFonts w:ascii="Tahoma" w:hAnsi="Tahoma" w:cs="Tahoma"/>
          <w:sz w:val="20"/>
          <w:szCs w:val="20"/>
        </w:rPr>
        <w:t xml:space="preserve"> optimálního návrhu pro jednotlivé služby.</w:t>
      </w:r>
      <w:r w:rsidR="005B0B3E" w:rsidRPr="008C5F8D">
        <w:rPr>
          <w:rFonts w:ascii="Tahoma" w:hAnsi="Tahoma" w:cs="Tahoma"/>
          <w:sz w:val="20"/>
          <w:szCs w:val="20"/>
        </w:rPr>
        <w:t xml:space="preserve"> </w:t>
      </w:r>
    </w:p>
    <w:p w14:paraId="5A1E119A" w14:textId="47D30BAC" w:rsidR="005B0B3E" w:rsidRPr="004D7943" w:rsidRDefault="008C5F8D" w:rsidP="0013061F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4D794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Ž</w:t>
      </w:r>
      <w:r w:rsidR="00231A7F" w:rsidRPr="004D794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ádosti o dofinancování</w:t>
      </w:r>
      <w:r w:rsidR="00CE60C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</w:t>
      </w:r>
      <w:r w:rsidR="00231A7F" w:rsidRPr="004D794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sociální služby podané písemnou formou</w:t>
      </w:r>
      <w:r w:rsidR="000173E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a na osobní </w:t>
      </w:r>
      <w:r w:rsidR="000173E1" w:rsidRPr="000173E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náklady, které nebyly zahrnuty v podané žádosti v řádném kole na rok 2021</w:t>
      </w:r>
    </w:p>
    <w:p w14:paraId="4E96250D" w14:textId="77777777" w:rsidR="003C2A3B" w:rsidRPr="008C5F8D" w:rsidRDefault="003C2A3B" w:rsidP="003C2A3B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7A1B48DB" w14:textId="522B3BE0" w:rsidR="00106EE7" w:rsidRDefault="00231A7F" w:rsidP="00F81E79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714BD2">
        <w:rPr>
          <w:rFonts w:ascii="Tahoma" w:hAnsi="Tahoma" w:cs="Tahoma"/>
          <w:sz w:val="20"/>
          <w:szCs w:val="20"/>
        </w:rPr>
        <w:t xml:space="preserve">Optimální návrh dotace byl </w:t>
      </w:r>
      <w:r w:rsidR="005B0B3E" w:rsidRPr="00714BD2">
        <w:rPr>
          <w:rFonts w:ascii="Tahoma" w:hAnsi="Tahoma" w:cs="Tahoma"/>
          <w:sz w:val="20"/>
          <w:szCs w:val="20"/>
        </w:rPr>
        <w:t xml:space="preserve">u písemných žádostí </w:t>
      </w:r>
      <w:r w:rsidRPr="00714BD2">
        <w:rPr>
          <w:rFonts w:ascii="Tahoma" w:hAnsi="Tahoma" w:cs="Tahoma"/>
          <w:sz w:val="20"/>
          <w:szCs w:val="20"/>
        </w:rPr>
        <w:t>stanoven v řádném kole dotačního řízení. Pokud byla žádost o dofinancování podána na částku přesahující rozdíl mezi optimálním návrhem a přiznanou dotací v řádném kole</w:t>
      </w:r>
      <w:r w:rsidR="003A7193"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,</w:t>
      </w:r>
      <w:r w:rsidR="003A719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nebyla žádost vyřazena, ale</w:t>
      </w:r>
      <w:r w:rsidR="003A7193" w:rsidRPr="00C324B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dofinancování bude poskytnuto maximálně do výše optimálního návrhu dotace.</w:t>
      </w:r>
      <w:r w:rsidR="000173E1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</w:p>
    <w:p w14:paraId="04D2AF4C" w14:textId="77777777" w:rsidR="00106EE7" w:rsidRDefault="00106EE7" w:rsidP="00F81E79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9BF57D9" w14:textId="60A67174" w:rsidR="00106EE7" w:rsidRDefault="003E4B60" w:rsidP="00F81E79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Poskytovatelé sociálních služeb, kteří v řádném kole dotačního řízení nezahrnuli do požadavku o dotaci i navýšení platů a mezd od 1. 1. 2021, podali žádost o dofinancování přes internetovou aplikaci „OKslužby – poskytovatel“. Tato požadovaná částka byla přičtena k požadavku v žádosti podané papírovou formou a návrh dofinancování stanoven stejným způsobem jako u ostatních žádostí podaných papírovou formou.</w:t>
      </w:r>
    </w:p>
    <w:p w14:paraId="6A7C281C" w14:textId="77777777" w:rsidR="00106EE7" w:rsidRDefault="00106EE7" w:rsidP="00F81E79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118B006" w14:textId="77777777" w:rsidR="00611739" w:rsidRDefault="00611739" w:rsidP="000173E1">
      <w:pPr>
        <w:ind w:left="709"/>
        <w:jc w:val="both"/>
        <w:rPr>
          <w:rFonts w:ascii="Tahoma" w:hAnsi="Tahoma" w:cs="Tahoma"/>
          <w:sz w:val="20"/>
          <w:szCs w:val="20"/>
        </w:rPr>
      </w:pPr>
    </w:p>
    <w:p w14:paraId="57392512" w14:textId="77777777" w:rsidR="00611739" w:rsidRDefault="00611739" w:rsidP="000173E1">
      <w:pPr>
        <w:ind w:left="709"/>
        <w:jc w:val="both"/>
        <w:rPr>
          <w:rFonts w:ascii="Tahoma" w:hAnsi="Tahoma" w:cs="Tahoma"/>
          <w:sz w:val="20"/>
          <w:szCs w:val="20"/>
        </w:rPr>
      </w:pPr>
    </w:p>
    <w:p w14:paraId="5E3D29D4" w14:textId="7C5493D9" w:rsidR="00A25106" w:rsidRPr="003A7193" w:rsidRDefault="00A25106" w:rsidP="007C12B9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Výpočet byl proveden dle článku VIII odst. 5 písm. a) Podmínek, kdy byly jednotlivé služby rozděleny do 5 tříd</w:t>
      </w:r>
      <w:r w:rsidRPr="00BE184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Dle rozdělení do tříd byl návrh navýšení dotace (dofinancování) stanoven jako požadavek na dofinancování násobený </w:t>
      </w:r>
      <w:r w:rsidRPr="003A7193">
        <w:rPr>
          <w:rFonts w:ascii="Tahoma" w:hAnsi="Tahoma" w:cs="Tahoma"/>
          <w:sz w:val="20"/>
          <w:szCs w:val="20"/>
        </w:rPr>
        <w:t>příslušným koeficientem:</w:t>
      </w:r>
      <w:bookmarkStart w:id="0" w:name="_GoBack"/>
      <w:bookmarkEnd w:id="0"/>
    </w:p>
    <w:p w14:paraId="6B7A90D1" w14:textId="77102B13" w:rsidR="00A25106" w:rsidRPr="003A7193" w:rsidRDefault="00A25106" w:rsidP="00A25106">
      <w:pPr>
        <w:numPr>
          <w:ilvl w:val="0"/>
          <w:numId w:val="3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3A7193">
        <w:rPr>
          <w:rFonts w:ascii="Tahoma" w:hAnsi="Tahoma" w:cs="Tahoma"/>
          <w:sz w:val="20"/>
          <w:szCs w:val="20"/>
        </w:rPr>
        <w:t xml:space="preserve">třída I. </w:t>
      </w:r>
      <w:r w:rsidRPr="003A7193">
        <w:rPr>
          <w:rFonts w:ascii="Tahoma" w:hAnsi="Tahoma" w:cs="Tahoma"/>
          <w:sz w:val="20"/>
          <w:szCs w:val="20"/>
        </w:rPr>
        <w:tab/>
      </w:r>
      <w:r w:rsidRPr="003A7193">
        <w:rPr>
          <w:rFonts w:ascii="Tahoma" w:hAnsi="Tahoma" w:cs="Tahoma"/>
          <w:sz w:val="20"/>
          <w:szCs w:val="20"/>
        </w:rPr>
        <w:tab/>
        <w:t>0,</w:t>
      </w:r>
      <w:r w:rsidR="003A7193" w:rsidRPr="003A7193">
        <w:rPr>
          <w:rFonts w:ascii="Tahoma" w:hAnsi="Tahoma" w:cs="Tahoma"/>
          <w:sz w:val="20"/>
          <w:szCs w:val="20"/>
        </w:rPr>
        <w:t>37</w:t>
      </w:r>
    </w:p>
    <w:p w14:paraId="581283DB" w14:textId="615ACF3E" w:rsidR="00A25106" w:rsidRPr="003A7193" w:rsidRDefault="00A25106" w:rsidP="00A25106">
      <w:pPr>
        <w:numPr>
          <w:ilvl w:val="0"/>
          <w:numId w:val="3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3A7193">
        <w:rPr>
          <w:rFonts w:ascii="Tahoma" w:hAnsi="Tahoma" w:cs="Tahoma"/>
          <w:sz w:val="20"/>
          <w:szCs w:val="20"/>
        </w:rPr>
        <w:t>třída II.</w:t>
      </w:r>
      <w:r w:rsidRPr="003A7193">
        <w:rPr>
          <w:rFonts w:ascii="Tahoma" w:hAnsi="Tahoma" w:cs="Tahoma"/>
          <w:sz w:val="20"/>
          <w:szCs w:val="20"/>
        </w:rPr>
        <w:tab/>
      </w:r>
      <w:r w:rsidRPr="003A7193">
        <w:rPr>
          <w:rFonts w:ascii="Tahoma" w:hAnsi="Tahoma" w:cs="Tahoma"/>
          <w:sz w:val="20"/>
          <w:szCs w:val="20"/>
        </w:rPr>
        <w:tab/>
        <w:t>0,</w:t>
      </w:r>
      <w:r w:rsidR="003A7193" w:rsidRPr="003A7193">
        <w:rPr>
          <w:rFonts w:ascii="Tahoma" w:hAnsi="Tahoma" w:cs="Tahoma"/>
          <w:sz w:val="20"/>
          <w:szCs w:val="20"/>
        </w:rPr>
        <w:t>34</w:t>
      </w:r>
    </w:p>
    <w:p w14:paraId="595951FB" w14:textId="31EE6BB3" w:rsidR="00A25106" w:rsidRPr="003A7193" w:rsidRDefault="00A25106" w:rsidP="00A25106">
      <w:pPr>
        <w:numPr>
          <w:ilvl w:val="0"/>
          <w:numId w:val="3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3A7193">
        <w:rPr>
          <w:rFonts w:ascii="Tahoma" w:hAnsi="Tahoma" w:cs="Tahoma"/>
          <w:sz w:val="20"/>
          <w:szCs w:val="20"/>
        </w:rPr>
        <w:t>třída III.</w:t>
      </w:r>
      <w:r w:rsidRPr="003A7193">
        <w:rPr>
          <w:rFonts w:ascii="Tahoma" w:hAnsi="Tahoma" w:cs="Tahoma"/>
          <w:sz w:val="20"/>
          <w:szCs w:val="20"/>
        </w:rPr>
        <w:tab/>
        <w:t>0,</w:t>
      </w:r>
      <w:r w:rsidR="003A7193" w:rsidRPr="003A7193">
        <w:rPr>
          <w:rFonts w:ascii="Tahoma" w:hAnsi="Tahoma" w:cs="Tahoma"/>
          <w:sz w:val="20"/>
          <w:szCs w:val="20"/>
        </w:rPr>
        <w:t>31</w:t>
      </w:r>
      <w:r w:rsidRPr="003A7193">
        <w:rPr>
          <w:rFonts w:ascii="Tahoma" w:hAnsi="Tahoma" w:cs="Tahoma"/>
          <w:sz w:val="20"/>
          <w:szCs w:val="20"/>
        </w:rPr>
        <w:t xml:space="preserve"> </w:t>
      </w:r>
    </w:p>
    <w:p w14:paraId="52AAF9D3" w14:textId="2944DD2B" w:rsidR="00A25106" w:rsidRPr="003A7193" w:rsidRDefault="00A25106" w:rsidP="00A25106">
      <w:pPr>
        <w:numPr>
          <w:ilvl w:val="0"/>
          <w:numId w:val="3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3A7193">
        <w:rPr>
          <w:rFonts w:ascii="Tahoma" w:hAnsi="Tahoma" w:cs="Tahoma"/>
          <w:sz w:val="20"/>
          <w:szCs w:val="20"/>
        </w:rPr>
        <w:t>třída IV.</w:t>
      </w:r>
      <w:r w:rsidRPr="003A7193">
        <w:rPr>
          <w:rFonts w:ascii="Tahoma" w:hAnsi="Tahoma" w:cs="Tahoma"/>
          <w:sz w:val="20"/>
          <w:szCs w:val="20"/>
        </w:rPr>
        <w:tab/>
        <w:t>0,</w:t>
      </w:r>
      <w:r w:rsidR="003A7193" w:rsidRPr="003A7193">
        <w:rPr>
          <w:rFonts w:ascii="Tahoma" w:hAnsi="Tahoma" w:cs="Tahoma"/>
          <w:sz w:val="20"/>
          <w:szCs w:val="20"/>
        </w:rPr>
        <w:t>28</w:t>
      </w:r>
    </w:p>
    <w:p w14:paraId="043F0639" w14:textId="33BEA2F0" w:rsidR="00A25106" w:rsidRPr="003A7193" w:rsidRDefault="00A25106" w:rsidP="00A25106">
      <w:pPr>
        <w:numPr>
          <w:ilvl w:val="0"/>
          <w:numId w:val="3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3A7193">
        <w:rPr>
          <w:rFonts w:ascii="Tahoma" w:hAnsi="Tahoma" w:cs="Tahoma"/>
          <w:sz w:val="20"/>
          <w:szCs w:val="20"/>
        </w:rPr>
        <w:t>třída V.</w:t>
      </w:r>
      <w:r w:rsidRPr="003A7193">
        <w:rPr>
          <w:rFonts w:ascii="Tahoma" w:hAnsi="Tahoma" w:cs="Tahoma"/>
          <w:sz w:val="20"/>
          <w:szCs w:val="20"/>
        </w:rPr>
        <w:tab/>
      </w:r>
      <w:r w:rsidRPr="003A7193">
        <w:rPr>
          <w:rFonts w:ascii="Tahoma" w:hAnsi="Tahoma" w:cs="Tahoma"/>
          <w:sz w:val="20"/>
          <w:szCs w:val="20"/>
        </w:rPr>
        <w:tab/>
        <w:t>0,</w:t>
      </w:r>
      <w:r w:rsidR="003A7193" w:rsidRPr="003A7193">
        <w:rPr>
          <w:rFonts w:ascii="Tahoma" w:hAnsi="Tahoma" w:cs="Tahoma"/>
          <w:sz w:val="20"/>
          <w:szCs w:val="20"/>
        </w:rPr>
        <w:t>25</w:t>
      </w:r>
    </w:p>
    <w:p w14:paraId="493EE8AB" w14:textId="77D5F511" w:rsidR="00714BD2" w:rsidRDefault="00714BD2" w:rsidP="00714BD2">
      <w:pPr>
        <w:pStyle w:val="Odstavecseseznamem"/>
        <w:ind w:left="1276"/>
        <w:jc w:val="both"/>
        <w:rPr>
          <w:rFonts w:ascii="Tahoma" w:hAnsi="Tahoma" w:cs="Tahoma"/>
          <w:sz w:val="20"/>
          <w:szCs w:val="20"/>
        </w:rPr>
      </w:pPr>
    </w:p>
    <w:p w14:paraId="3F65E2A5" w14:textId="63187BFA" w:rsidR="002D4B16" w:rsidRDefault="002D4B16" w:rsidP="000173E1">
      <w:pPr>
        <w:pStyle w:val="Odstavecseseznamem"/>
        <w:ind w:left="709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Vypočtená částka</w:t>
      </w:r>
      <w:r w:rsidRPr="00125E2E">
        <w:rPr>
          <w:rFonts w:ascii="Tahoma" w:hAnsi="Tahoma" w:cs="Tahoma"/>
          <w:bCs/>
          <w:sz w:val="20"/>
          <w:szCs w:val="20"/>
        </w:rPr>
        <w:t xml:space="preserve"> </w:t>
      </w:r>
      <w:r w:rsidR="004F4668">
        <w:rPr>
          <w:rFonts w:ascii="Tahoma" w:hAnsi="Tahoma" w:cs="Tahoma"/>
          <w:bCs/>
          <w:sz w:val="20"/>
          <w:szCs w:val="20"/>
        </w:rPr>
        <w:t>je</w:t>
      </w:r>
      <w:r>
        <w:rPr>
          <w:rFonts w:ascii="Tahoma" w:hAnsi="Tahoma" w:cs="Tahoma"/>
          <w:bCs/>
          <w:sz w:val="20"/>
          <w:szCs w:val="20"/>
        </w:rPr>
        <w:t xml:space="preserve"> zaokrouhlena matematicky na celé tisíce dolů. </w:t>
      </w:r>
    </w:p>
    <w:p w14:paraId="57E0AF72" w14:textId="77777777" w:rsidR="00C06479" w:rsidRDefault="00C06479" w:rsidP="00714BD2">
      <w:pPr>
        <w:pStyle w:val="Odstavecseseznamem"/>
        <w:ind w:left="1276"/>
        <w:jc w:val="both"/>
        <w:rPr>
          <w:rFonts w:ascii="Tahoma" w:hAnsi="Tahoma" w:cs="Tahoma"/>
          <w:sz w:val="20"/>
          <w:szCs w:val="20"/>
        </w:rPr>
      </w:pPr>
    </w:p>
    <w:p w14:paraId="23CCD9B7" w14:textId="04DC1051" w:rsidR="00A4306C" w:rsidRDefault="00A4306C" w:rsidP="00A4306C">
      <w:pPr>
        <w:spacing w:after="120"/>
        <w:ind w:left="709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F751B5">
        <w:rPr>
          <w:rFonts w:ascii="Tahoma" w:hAnsi="Tahoma" w:cs="Tahoma"/>
          <w:bCs/>
          <w:sz w:val="20"/>
          <w:szCs w:val="20"/>
        </w:rPr>
        <w:t xml:space="preserve">Z takto vypočtené částky </w:t>
      </w:r>
      <w:r w:rsidR="00C71555" w:rsidRPr="00F751B5">
        <w:rPr>
          <w:rFonts w:ascii="Tahoma" w:hAnsi="Tahoma" w:cs="Tahoma"/>
          <w:bCs/>
          <w:sz w:val="20"/>
          <w:szCs w:val="20"/>
        </w:rPr>
        <w:t>je</w:t>
      </w:r>
      <w:r w:rsidRPr="00F751B5">
        <w:rPr>
          <w:rFonts w:ascii="Tahoma" w:hAnsi="Tahoma" w:cs="Tahoma"/>
          <w:bCs/>
          <w:sz w:val="20"/>
          <w:szCs w:val="20"/>
        </w:rPr>
        <w:t xml:space="preserve"> stanovena pro jednotlivé sociální služby minimální částka určená </w:t>
      </w:r>
      <w:r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na krytí personálních nákladů vzniklých v souvislosti s navýšením platů a mezd od 1.</w:t>
      </w:r>
      <w:r w:rsidR="00C71555"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1.</w:t>
      </w:r>
      <w:r w:rsidR="00C71555"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2021 dle nařízení vlády č. 603/2020 Sb., kterým se mění nařízení vlády č. 341/2017 Sb., o platových poměrech zaměstnanců ve veřejných službách a správě, ve znění pozdějších předpisů, a také na krytí personálních vícenákladů v souvislosti s realizací mimořádného dotačního titulu na</w:t>
      </w:r>
      <w:r w:rsidR="00C43A8C"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odměny pro zaměstnance v sociálních službách.  Z vypočtené částky </w:t>
      </w:r>
      <w:r w:rsidR="00C71555"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</w:t>
      </w:r>
      <w:r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takto stanoveno 60</w:t>
      </w:r>
      <w:r w:rsidR="00C43A8C"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% celkové vypočtené částky</w:t>
      </w:r>
      <w:r w:rsidR="00C71555"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dofinancování</w:t>
      </w:r>
      <w:r w:rsidRPr="00F751B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 zaokrouhleno na tisíce nahoru.</w:t>
      </w:r>
    </w:p>
    <w:p w14:paraId="1F271FB9" w14:textId="77777777" w:rsidR="00A4306C" w:rsidRDefault="00A4306C" w:rsidP="00A4306C">
      <w:pPr>
        <w:ind w:left="709"/>
        <w:jc w:val="both"/>
        <w:rPr>
          <w:rFonts w:ascii="Tahoma" w:hAnsi="Tahoma" w:cs="Tahoma"/>
          <w:bCs/>
          <w:sz w:val="20"/>
          <w:szCs w:val="20"/>
        </w:rPr>
      </w:pPr>
    </w:p>
    <w:p w14:paraId="1AAB5DB0" w14:textId="3B35EF39" w:rsidR="00A4306C" w:rsidRDefault="00A4306C" w:rsidP="00A4306C">
      <w:pPr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C06479">
        <w:rPr>
          <w:rFonts w:ascii="Tahoma" w:hAnsi="Tahoma" w:cs="Tahoma"/>
          <w:bCs/>
          <w:sz w:val="20"/>
          <w:szCs w:val="20"/>
        </w:rPr>
        <w:t>U registrovaných sociálních služeb s návrhem dofinancování a zároveň s návrhem dotace na</w:t>
      </w:r>
      <w:r>
        <w:rPr>
          <w:rFonts w:ascii="Tahoma" w:hAnsi="Tahoma" w:cs="Tahoma"/>
          <w:bCs/>
          <w:sz w:val="20"/>
          <w:szCs w:val="20"/>
        </w:rPr>
        <w:t> </w:t>
      </w:r>
      <w:r w:rsidRPr="00C06479">
        <w:rPr>
          <w:rFonts w:ascii="Tahoma" w:hAnsi="Tahoma" w:cs="Tahoma"/>
          <w:bCs/>
          <w:sz w:val="20"/>
          <w:szCs w:val="20"/>
        </w:rPr>
        <w:t>navýšenou kapacitu dle bodu b) se výsledná částka návrhu navýšení dotace stanoví jako součet návrhu dotace na navýšenou kapacitu dle bodu b) a návrhem dofinancování dle bodu d).</w:t>
      </w:r>
    </w:p>
    <w:p w14:paraId="6DD6877A" w14:textId="77777777" w:rsidR="00A25106" w:rsidRPr="002F29F9" w:rsidRDefault="00A25106" w:rsidP="009D79BD">
      <w:pPr>
        <w:pStyle w:val="Odstavecseseznamem"/>
        <w:ind w:left="144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7154C30" w14:textId="77777777" w:rsidR="00231A7F" w:rsidRPr="00412A4B" w:rsidRDefault="00231A7F" w:rsidP="003C2674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412A4B">
        <w:rPr>
          <w:rFonts w:ascii="Tahoma" w:hAnsi="Tahoma" w:cs="Tahoma"/>
          <w:b/>
          <w:sz w:val="20"/>
          <w:szCs w:val="20"/>
        </w:rPr>
        <w:t xml:space="preserve">Individuální posouzení </w:t>
      </w:r>
    </w:p>
    <w:p w14:paraId="271894EC" w14:textId="74694017" w:rsidR="000F1346" w:rsidRPr="00412A4B" w:rsidRDefault="00231A7F" w:rsidP="00F65008">
      <w:pPr>
        <w:spacing w:after="120"/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 xml:space="preserve">Dle Podmínek Programu byly sociální služby individuálně posouzeny na základě odůvodnění v žádosti o dofinancování, popř. dalšího individuálního zdůvodnění, a byly zohledněny jejich </w:t>
      </w:r>
      <w:r w:rsidRPr="00F952A0">
        <w:rPr>
          <w:rFonts w:ascii="Tahoma" w:hAnsi="Tahoma" w:cs="Tahoma"/>
          <w:sz w:val="20"/>
          <w:szCs w:val="20"/>
        </w:rPr>
        <w:t xml:space="preserve">specifické potřeby generované ze znalosti místních podmínek a bylo postupováno v souladu s článkem VIII odst. 6 </w:t>
      </w:r>
      <w:r w:rsidRPr="00412A4B">
        <w:rPr>
          <w:rFonts w:ascii="Tahoma" w:hAnsi="Tahoma" w:cs="Tahoma"/>
          <w:sz w:val="20"/>
          <w:szCs w:val="20"/>
        </w:rPr>
        <w:t xml:space="preserve">Podmínek. </w:t>
      </w:r>
      <w:r w:rsidR="000F1346" w:rsidRPr="00412A4B">
        <w:rPr>
          <w:rFonts w:ascii="Tahoma" w:hAnsi="Tahoma" w:cs="Tahoma"/>
          <w:sz w:val="20"/>
          <w:szCs w:val="20"/>
        </w:rPr>
        <w:t>Návrh částky dofinancování je stanoven jako součet individuálního posouzení a vypočtené částky dle bod</w:t>
      </w:r>
      <w:r w:rsidR="004F4668">
        <w:rPr>
          <w:rFonts w:ascii="Tahoma" w:hAnsi="Tahoma" w:cs="Tahoma"/>
          <w:sz w:val="20"/>
          <w:szCs w:val="20"/>
        </w:rPr>
        <w:t>u</w:t>
      </w:r>
      <w:r w:rsidR="00CE4D37">
        <w:rPr>
          <w:rFonts w:ascii="Tahoma" w:hAnsi="Tahoma" w:cs="Tahoma"/>
          <w:sz w:val="20"/>
          <w:szCs w:val="20"/>
        </w:rPr>
        <w:t xml:space="preserve"> </w:t>
      </w:r>
      <w:r w:rsidR="003079EE">
        <w:rPr>
          <w:rFonts w:ascii="Tahoma" w:hAnsi="Tahoma" w:cs="Tahoma"/>
          <w:sz w:val="20"/>
          <w:szCs w:val="20"/>
        </w:rPr>
        <w:t>d</w:t>
      </w:r>
      <w:r w:rsidR="000F1346" w:rsidRPr="00412A4B">
        <w:rPr>
          <w:rFonts w:ascii="Tahoma" w:hAnsi="Tahoma" w:cs="Tahoma"/>
          <w:sz w:val="20"/>
          <w:szCs w:val="20"/>
        </w:rPr>
        <w:t>).</w:t>
      </w:r>
    </w:p>
    <w:p w14:paraId="7515E026" w14:textId="77777777" w:rsidR="00231A7F" w:rsidRPr="003E6D27" w:rsidRDefault="00231A7F" w:rsidP="00F65008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>Individuální posouzení se týká:</w:t>
      </w:r>
    </w:p>
    <w:p w14:paraId="29447FDA" w14:textId="79191178" w:rsidR="00985A56" w:rsidRPr="003E6D27" w:rsidRDefault="003E3049" w:rsidP="003E6D27">
      <w:pPr>
        <w:pStyle w:val="Odstavecseseznamem"/>
        <w:numPr>
          <w:ilvl w:val="0"/>
          <w:numId w:val="21"/>
        </w:numPr>
        <w:spacing w:before="120" w:after="0" w:line="240" w:lineRule="auto"/>
        <w:ind w:left="1775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5110A7">
        <w:rPr>
          <w:rFonts w:ascii="Tahoma" w:eastAsia="Times New Roman" w:hAnsi="Tahoma" w:cs="Tahoma"/>
          <w:sz w:val="20"/>
          <w:szCs w:val="20"/>
          <w:lang w:eastAsia="cs-CZ"/>
        </w:rPr>
        <w:t xml:space="preserve">sociálních služeb, u kterých v řádném kole dotačního řízení nedošlo k zohlednění </w:t>
      </w:r>
      <w:r w:rsidRPr="001D6DA7">
        <w:rPr>
          <w:rFonts w:ascii="Tahoma" w:eastAsia="Times New Roman" w:hAnsi="Tahoma" w:cs="Tahoma"/>
          <w:sz w:val="20"/>
          <w:szCs w:val="20"/>
          <w:lang w:eastAsia="cs-CZ"/>
        </w:rPr>
        <w:t xml:space="preserve">meziročních změn v poskytování sociálních služeb </w:t>
      </w:r>
      <w:r w:rsidR="005A1352" w:rsidRPr="000173E1">
        <w:rPr>
          <w:rFonts w:ascii="Tahoma" w:hAnsi="Tahoma" w:cs="Tahoma"/>
          <w:sz w:val="20"/>
          <w:szCs w:val="20"/>
        </w:rPr>
        <w:t xml:space="preserve">– reg. č. </w:t>
      </w:r>
      <w:r w:rsidR="000173E1" w:rsidRPr="000173E1">
        <w:rPr>
          <w:rFonts w:ascii="Tahoma" w:hAnsi="Tahoma" w:cs="Tahoma"/>
          <w:sz w:val="20"/>
          <w:szCs w:val="20"/>
        </w:rPr>
        <w:t>1252071</w:t>
      </w:r>
    </w:p>
    <w:p w14:paraId="196AEDA9" w14:textId="137CBCEB" w:rsidR="00A51B8B" w:rsidRPr="00672D7E" w:rsidRDefault="00110595" w:rsidP="003E6D27">
      <w:pPr>
        <w:pStyle w:val="Odstavecseseznamem"/>
        <w:numPr>
          <w:ilvl w:val="0"/>
          <w:numId w:val="21"/>
        </w:numPr>
        <w:spacing w:before="120" w:after="0" w:line="276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>zohlednění plánovaných oprav a materiálně-technického zabezpečení služeb</w:t>
      </w:r>
      <w:r w:rsidR="007A16FE" w:rsidRPr="003E6D27">
        <w:rPr>
          <w:rFonts w:ascii="Tahoma" w:hAnsi="Tahoma" w:cs="Tahoma"/>
          <w:sz w:val="20"/>
          <w:szCs w:val="20"/>
        </w:rPr>
        <w:t xml:space="preserve"> </w:t>
      </w:r>
      <w:r w:rsidR="000173E1">
        <w:rPr>
          <w:rFonts w:ascii="Tahoma" w:hAnsi="Tahoma" w:cs="Tahoma"/>
          <w:sz w:val="20"/>
          <w:szCs w:val="20"/>
        </w:rPr>
        <w:t>-</w:t>
      </w:r>
      <w:r w:rsidR="00CD5B83">
        <w:rPr>
          <w:rFonts w:ascii="Tahoma" w:hAnsi="Tahoma" w:cs="Tahoma"/>
          <w:sz w:val="20"/>
          <w:szCs w:val="20"/>
        </w:rPr>
        <w:t xml:space="preserve"> </w:t>
      </w:r>
      <w:r w:rsidR="005A1352">
        <w:rPr>
          <w:rFonts w:ascii="Tahoma" w:hAnsi="Tahoma" w:cs="Tahoma"/>
          <w:sz w:val="20"/>
          <w:szCs w:val="20"/>
        </w:rPr>
        <w:t>reg</w:t>
      </w:r>
      <w:r w:rsidR="005A1352" w:rsidRPr="00B45202">
        <w:rPr>
          <w:rFonts w:ascii="Tahoma" w:hAnsi="Tahoma" w:cs="Tahoma"/>
          <w:sz w:val="20"/>
          <w:szCs w:val="20"/>
        </w:rPr>
        <w:t>.</w:t>
      </w:r>
      <w:r w:rsidR="0025233D" w:rsidRPr="00B45202">
        <w:rPr>
          <w:rFonts w:ascii="Tahoma" w:hAnsi="Tahoma" w:cs="Tahoma"/>
          <w:sz w:val="20"/>
          <w:szCs w:val="20"/>
        </w:rPr>
        <w:t> </w:t>
      </w:r>
      <w:r w:rsidR="005A1352" w:rsidRPr="00672D7E">
        <w:rPr>
          <w:rFonts w:ascii="Tahoma" w:hAnsi="Tahoma" w:cs="Tahoma"/>
          <w:sz w:val="20"/>
          <w:szCs w:val="20"/>
        </w:rPr>
        <w:t>č.</w:t>
      </w:r>
      <w:r w:rsidR="0025233D" w:rsidRPr="00672D7E">
        <w:rPr>
          <w:rFonts w:ascii="Tahoma" w:hAnsi="Tahoma" w:cs="Tahoma"/>
          <w:sz w:val="20"/>
          <w:szCs w:val="20"/>
        </w:rPr>
        <w:t> </w:t>
      </w:r>
      <w:r w:rsidR="00EB5804" w:rsidRPr="00672D7E">
        <w:rPr>
          <w:rFonts w:ascii="Tahoma" w:hAnsi="Tahoma" w:cs="Tahoma"/>
          <w:sz w:val="20"/>
          <w:szCs w:val="20"/>
        </w:rPr>
        <w:t xml:space="preserve">1271980, 2225555, </w:t>
      </w:r>
      <w:r w:rsidR="000173E1" w:rsidRPr="00672D7E">
        <w:rPr>
          <w:rFonts w:ascii="Tahoma" w:hAnsi="Tahoma" w:cs="Tahoma"/>
          <w:sz w:val="20"/>
          <w:szCs w:val="20"/>
        </w:rPr>
        <w:t xml:space="preserve">2315508, </w:t>
      </w:r>
      <w:r w:rsidR="00EB5804" w:rsidRPr="00672D7E">
        <w:rPr>
          <w:rFonts w:ascii="Tahoma" w:hAnsi="Tahoma" w:cs="Tahoma"/>
          <w:sz w:val="20"/>
          <w:szCs w:val="20"/>
        </w:rPr>
        <w:t xml:space="preserve">2604518, 3056248, 3320783, 4734974, </w:t>
      </w:r>
      <w:r w:rsidR="004D3914" w:rsidRPr="004D3914">
        <w:rPr>
          <w:rFonts w:ascii="Tahoma" w:hAnsi="Tahoma" w:cs="Tahoma"/>
          <w:sz w:val="20"/>
          <w:szCs w:val="20"/>
        </w:rPr>
        <w:t>4812353</w:t>
      </w:r>
      <w:r w:rsidR="004D3914">
        <w:rPr>
          <w:rFonts w:ascii="Tahoma" w:hAnsi="Tahoma" w:cs="Tahoma"/>
          <w:sz w:val="20"/>
          <w:szCs w:val="20"/>
        </w:rPr>
        <w:t xml:space="preserve">, </w:t>
      </w:r>
      <w:r w:rsidR="00A43219" w:rsidRPr="00672D7E">
        <w:rPr>
          <w:rFonts w:ascii="Tahoma" w:hAnsi="Tahoma" w:cs="Tahoma"/>
          <w:sz w:val="20"/>
          <w:szCs w:val="20"/>
        </w:rPr>
        <w:t xml:space="preserve">5979763, </w:t>
      </w:r>
      <w:r w:rsidR="00B25530" w:rsidRPr="00672D7E">
        <w:rPr>
          <w:rFonts w:ascii="Tahoma" w:hAnsi="Tahoma" w:cs="Tahoma"/>
          <w:sz w:val="20"/>
          <w:szCs w:val="20"/>
        </w:rPr>
        <w:t xml:space="preserve">6969901, 7110344, </w:t>
      </w:r>
      <w:r w:rsidR="000173E1" w:rsidRPr="00672D7E">
        <w:rPr>
          <w:rFonts w:ascii="Tahoma" w:hAnsi="Tahoma" w:cs="Tahoma"/>
          <w:sz w:val="20"/>
          <w:szCs w:val="20"/>
        </w:rPr>
        <w:t>7148787</w:t>
      </w:r>
      <w:r w:rsidR="00EB5804" w:rsidRPr="00672D7E">
        <w:rPr>
          <w:rFonts w:ascii="Tahoma" w:hAnsi="Tahoma" w:cs="Tahoma"/>
          <w:sz w:val="20"/>
          <w:szCs w:val="20"/>
        </w:rPr>
        <w:t>, 8137644</w:t>
      </w:r>
    </w:p>
    <w:p w14:paraId="668EA459" w14:textId="1443CB82" w:rsidR="00B25530" w:rsidRPr="00672D7E" w:rsidRDefault="00EB5804" w:rsidP="003E6D27">
      <w:pPr>
        <w:pStyle w:val="Odstavecseseznamem"/>
        <w:numPr>
          <w:ilvl w:val="0"/>
          <w:numId w:val="21"/>
        </w:numPr>
        <w:spacing w:before="120" w:after="0" w:line="276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72D7E">
        <w:rPr>
          <w:rFonts w:ascii="Tahoma" w:hAnsi="Tahoma" w:cs="Tahoma"/>
          <w:sz w:val="20"/>
          <w:szCs w:val="20"/>
        </w:rPr>
        <w:t xml:space="preserve">terénní </w:t>
      </w:r>
      <w:r w:rsidR="00B25530" w:rsidRPr="00672D7E">
        <w:rPr>
          <w:rFonts w:ascii="Tahoma" w:hAnsi="Tahoma" w:cs="Tahoma"/>
          <w:sz w:val="20"/>
          <w:szCs w:val="20"/>
        </w:rPr>
        <w:t xml:space="preserve">sociální služby osobní asistence </w:t>
      </w:r>
      <w:r w:rsidRPr="00672D7E">
        <w:rPr>
          <w:rFonts w:ascii="Tahoma" w:hAnsi="Tahoma" w:cs="Tahoma"/>
          <w:sz w:val="20"/>
          <w:szCs w:val="20"/>
        </w:rPr>
        <w:t xml:space="preserve">k dorovnání finančního ohodnocení </w:t>
      </w:r>
      <w:proofErr w:type="gramStart"/>
      <w:r w:rsidRPr="00672D7E">
        <w:rPr>
          <w:rFonts w:ascii="Tahoma" w:hAnsi="Tahoma" w:cs="Tahoma"/>
          <w:sz w:val="20"/>
          <w:szCs w:val="20"/>
        </w:rPr>
        <w:t xml:space="preserve">zaměstnanců </w:t>
      </w:r>
      <w:r w:rsidR="00B25530" w:rsidRPr="00672D7E">
        <w:rPr>
          <w:rFonts w:ascii="Tahoma" w:hAnsi="Tahoma" w:cs="Tahoma"/>
          <w:sz w:val="20"/>
          <w:szCs w:val="20"/>
        </w:rPr>
        <w:t xml:space="preserve"> –</w:t>
      </w:r>
      <w:proofErr w:type="gramEnd"/>
      <w:r w:rsidR="00B25530" w:rsidRPr="00672D7E">
        <w:rPr>
          <w:rFonts w:ascii="Tahoma" w:hAnsi="Tahoma" w:cs="Tahoma"/>
          <w:sz w:val="20"/>
          <w:szCs w:val="20"/>
        </w:rPr>
        <w:t xml:space="preserve"> </w:t>
      </w:r>
      <w:r w:rsidR="00A75581" w:rsidRPr="00672D7E">
        <w:rPr>
          <w:rFonts w:ascii="Tahoma" w:hAnsi="Tahoma" w:cs="Tahoma"/>
          <w:sz w:val="20"/>
          <w:szCs w:val="20"/>
        </w:rPr>
        <w:t xml:space="preserve">reg. č. </w:t>
      </w:r>
      <w:r w:rsidR="00B25530" w:rsidRPr="00672D7E">
        <w:rPr>
          <w:rFonts w:ascii="Tahoma" w:hAnsi="Tahoma" w:cs="Tahoma"/>
          <w:sz w:val="20"/>
          <w:szCs w:val="20"/>
        </w:rPr>
        <w:t xml:space="preserve">6137593 </w:t>
      </w:r>
    </w:p>
    <w:p w14:paraId="07E3016A" w14:textId="32F3E772" w:rsidR="002F0918" w:rsidRDefault="002F0918" w:rsidP="002F0918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202DFF2" w14:textId="14D9AA81" w:rsidR="002F0918" w:rsidRPr="002F0918" w:rsidRDefault="00C71555" w:rsidP="00A4306C">
      <w:pPr>
        <w:spacing w:before="120"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91896">
        <w:rPr>
          <w:rFonts w:ascii="Tahoma" w:hAnsi="Tahoma" w:cs="Tahoma"/>
          <w:sz w:val="20"/>
          <w:szCs w:val="20"/>
        </w:rPr>
        <w:t>Navrhovaná</w:t>
      </w:r>
      <w:r w:rsidR="002F0918" w:rsidRPr="00D91896">
        <w:rPr>
          <w:rFonts w:ascii="Tahoma" w:hAnsi="Tahoma" w:cs="Tahoma"/>
          <w:sz w:val="20"/>
          <w:szCs w:val="20"/>
        </w:rPr>
        <w:t xml:space="preserve"> výše do</w:t>
      </w:r>
      <w:r w:rsidRPr="00D91896">
        <w:rPr>
          <w:rFonts w:ascii="Tahoma" w:hAnsi="Tahoma" w:cs="Tahoma"/>
          <w:sz w:val="20"/>
          <w:szCs w:val="20"/>
        </w:rPr>
        <w:t>financování</w:t>
      </w:r>
      <w:r w:rsidR="002F0918" w:rsidRPr="00D91896">
        <w:rPr>
          <w:rFonts w:ascii="Tahoma" w:hAnsi="Tahoma" w:cs="Tahoma"/>
          <w:sz w:val="20"/>
          <w:szCs w:val="20"/>
        </w:rPr>
        <w:t xml:space="preserve"> byla rozdělena dle formy podané </w:t>
      </w:r>
      <w:r w:rsidR="00D0447A" w:rsidRPr="00D91896">
        <w:rPr>
          <w:rFonts w:ascii="Tahoma" w:hAnsi="Tahoma" w:cs="Tahoma"/>
          <w:sz w:val="20"/>
          <w:szCs w:val="20"/>
        </w:rPr>
        <w:t xml:space="preserve">žádosti. </w:t>
      </w:r>
      <w:r w:rsidR="002F0918" w:rsidRPr="00D91896">
        <w:rPr>
          <w:rFonts w:ascii="Tahoma" w:hAnsi="Tahoma" w:cs="Tahoma"/>
          <w:sz w:val="20"/>
          <w:szCs w:val="20"/>
        </w:rPr>
        <w:t>V souladu s Dodatkem č.</w:t>
      </w:r>
      <w:r w:rsidR="001A710A">
        <w:rPr>
          <w:rFonts w:ascii="Tahoma" w:hAnsi="Tahoma" w:cs="Tahoma"/>
          <w:sz w:val="20"/>
          <w:szCs w:val="20"/>
        </w:rPr>
        <w:t> </w:t>
      </w:r>
      <w:r w:rsidR="002F0918" w:rsidRPr="00D91896">
        <w:rPr>
          <w:rFonts w:ascii="Tahoma" w:hAnsi="Tahoma" w:cs="Tahoma"/>
          <w:sz w:val="20"/>
          <w:szCs w:val="20"/>
        </w:rPr>
        <w:t xml:space="preserve">1 k Rozhodnutí č. 1 byla </w:t>
      </w:r>
      <w:r w:rsidR="00D0447A" w:rsidRPr="00D91896">
        <w:rPr>
          <w:rFonts w:ascii="Tahoma" w:hAnsi="Tahoma" w:cs="Tahoma"/>
          <w:sz w:val="20"/>
          <w:szCs w:val="20"/>
        </w:rPr>
        <w:t>vypočtená</w:t>
      </w:r>
      <w:r w:rsidR="002F0918" w:rsidRPr="00D91896">
        <w:rPr>
          <w:rFonts w:ascii="Tahoma" w:hAnsi="Tahoma" w:cs="Tahoma"/>
          <w:sz w:val="20"/>
          <w:szCs w:val="20"/>
        </w:rPr>
        <w:t xml:space="preserve"> výše do</w:t>
      </w:r>
      <w:r w:rsidRPr="00D91896">
        <w:rPr>
          <w:rFonts w:ascii="Tahoma" w:hAnsi="Tahoma" w:cs="Tahoma"/>
          <w:sz w:val="20"/>
          <w:szCs w:val="20"/>
        </w:rPr>
        <w:t>financování</w:t>
      </w:r>
      <w:r w:rsidR="002F0918" w:rsidRPr="00D91896">
        <w:rPr>
          <w:rFonts w:ascii="Tahoma" w:hAnsi="Tahoma" w:cs="Tahoma"/>
          <w:sz w:val="20"/>
          <w:szCs w:val="20"/>
        </w:rPr>
        <w:t xml:space="preserve"> přiřazena k žádosti podané přes internetovou aplikaci „OKslužby – poskytovatel“</w:t>
      </w:r>
      <w:r w:rsidR="00D0447A" w:rsidRPr="00D91896">
        <w:rPr>
          <w:rFonts w:ascii="Tahoma" w:hAnsi="Tahoma" w:cs="Tahoma"/>
          <w:sz w:val="20"/>
          <w:szCs w:val="20"/>
        </w:rPr>
        <w:t xml:space="preserve">. V případě, že vypočtená </w:t>
      </w:r>
      <w:r w:rsidRPr="00D91896">
        <w:rPr>
          <w:rFonts w:ascii="Tahoma" w:hAnsi="Tahoma" w:cs="Tahoma"/>
          <w:sz w:val="20"/>
          <w:szCs w:val="20"/>
        </w:rPr>
        <w:t>výše dofinancování</w:t>
      </w:r>
      <w:r w:rsidR="00D0447A" w:rsidRPr="00D91896">
        <w:rPr>
          <w:rFonts w:ascii="Tahoma" w:hAnsi="Tahoma" w:cs="Tahoma"/>
          <w:sz w:val="20"/>
          <w:szCs w:val="20"/>
        </w:rPr>
        <w:t xml:space="preserve"> byla vyšší než požadavek na dotaci v internetové aplikaci „OKslužby – poskytovatel“</w:t>
      </w:r>
      <w:r w:rsidRPr="00D91896">
        <w:rPr>
          <w:rFonts w:ascii="Tahoma" w:hAnsi="Tahoma" w:cs="Tahoma"/>
          <w:sz w:val="20"/>
          <w:szCs w:val="20"/>
        </w:rPr>
        <w:t>,</w:t>
      </w:r>
      <w:r w:rsidR="00D0447A" w:rsidRPr="00D91896">
        <w:rPr>
          <w:rFonts w:ascii="Tahoma" w:hAnsi="Tahoma" w:cs="Tahoma"/>
          <w:sz w:val="20"/>
          <w:szCs w:val="20"/>
        </w:rPr>
        <w:t xml:space="preserve"> byla zbývající vypočtená částka dotace přiřazena k žádosti podané písemnou formou. Tento postup rozdělení výše dotace dle formy podané žádosti </w:t>
      </w:r>
      <w:r w:rsidRPr="00D91896">
        <w:rPr>
          <w:rFonts w:ascii="Tahoma" w:hAnsi="Tahoma" w:cs="Tahoma"/>
          <w:sz w:val="20"/>
          <w:szCs w:val="20"/>
        </w:rPr>
        <w:t xml:space="preserve">nemá </w:t>
      </w:r>
      <w:r w:rsidR="00D0447A" w:rsidRPr="00D91896">
        <w:rPr>
          <w:rFonts w:ascii="Tahoma" w:hAnsi="Tahoma" w:cs="Tahoma"/>
          <w:sz w:val="20"/>
          <w:szCs w:val="20"/>
        </w:rPr>
        <w:t>vliv na celkovou výši poskytnuté dotace</w:t>
      </w:r>
      <w:r w:rsidRPr="00D91896">
        <w:rPr>
          <w:rFonts w:ascii="Tahoma" w:hAnsi="Tahoma" w:cs="Tahoma"/>
          <w:sz w:val="20"/>
          <w:szCs w:val="20"/>
        </w:rPr>
        <w:t xml:space="preserve">, ale je nutný pro evidenci poskytnutých dotací v internetové aplikaci </w:t>
      </w:r>
      <w:r w:rsidR="00D91896" w:rsidRPr="00D91896">
        <w:rPr>
          <w:rFonts w:ascii="Tahoma" w:hAnsi="Tahoma" w:cs="Tahoma"/>
          <w:sz w:val="20"/>
          <w:szCs w:val="20"/>
        </w:rPr>
        <w:t>„</w:t>
      </w:r>
      <w:r w:rsidRPr="00D91896">
        <w:rPr>
          <w:rFonts w:ascii="Tahoma" w:hAnsi="Tahoma" w:cs="Tahoma"/>
          <w:sz w:val="20"/>
          <w:szCs w:val="20"/>
        </w:rPr>
        <w:t xml:space="preserve">OKslužby </w:t>
      </w:r>
      <w:r w:rsidR="00D91896" w:rsidRPr="00D91896">
        <w:rPr>
          <w:rFonts w:ascii="Tahoma" w:hAnsi="Tahoma" w:cs="Tahoma"/>
          <w:sz w:val="20"/>
          <w:szCs w:val="20"/>
        </w:rPr>
        <w:t>–</w:t>
      </w:r>
      <w:r w:rsidRPr="00D91896">
        <w:rPr>
          <w:rFonts w:ascii="Tahoma" w:hAnsi="Tahoma" w:cs="Tahoma"/>
          <w:sz w:val="20"/>
          <w:szCs w:val="20"/>
        </w:rPr>
        <w:t xml:space="preserve"> poskytovatel</w:t>
      </w:r>
      <w:r w:rsidR="00D91896" w:rsidRPr="00D91896">
        <w:rPr>
          <w:rFonts w:ascii="Tahoma" w:hAnsi="Tahoma" w:cs="Tahoma"/>
          <w:sz w:val="20"/>
          <w:szCs w:val="20"/>
        </w:rPr>
        <w:t>“</w:t>
      </w:r>
      <w:r w:rsidR="00D0447A" w:rsidRPr="00D91896">
        <w:rPr>
          <w:rFonts w:ascii="Tahoma" w:hAnsi="Tahoma" w:cs="Tahoma"/>
          <w:sz w:val="20"/>
          <w:szCs w:val="20"/>
        </w:rPr>
        <w:t>.</w:t>
      </w:r>
    </w:p>
    <w:p w14:paraId="1D3BC917" w14:textId="77777777" w:rsidR="00922473" w:rsidRPr="00EB5804" w:rsidRDefault="00922473" w:rsidP="00EB5804">
      <w:pPr>
        <w:rPr>
          <w:rFonts w:ascii="Tahoma" w:hAnsi="Tahoma" w:cs="Tahoma"/>
          <w:sz w:val="20"/>
          <w:szCs w:val="20"/>
        </w:rPr>
      </w:pPr>
    </w:p>
    <w:p w14:paraId="0B6C79DF" w14:textId="0A1A5F79" w:rsidR="008C5F8D" w:rsidRDefault="00780291" w:rsidP="000F6853">
      <w:pPr>
        <w:pStyle w:val="Nadpis1"/>
        <w:numPr>
          <w:ilvl w:val="0"/>
          <w:numId w:val="46"/>
        </w:numPr>
        <w:ind w:left="567" w:hanging="567"/>
      </w:pPr>
      <w:r>
        <w:lastRenderedPageBreak/>
        <w:t xml:space="preserve">Stanovení a úprava nákladových </w:t>
      </w:r>
      <w:r w:rsidR="008C5F8D">
        <w:t>limitů</w:t>
      </w:r>
    </w:p>
    <w:p w14:paraId="1D826E66" w14:textId="77777777" w:rsidR="00D44388" w:rsidRDefault="00D44388" w:rsidP="00D44388">
      <w:pPr>
        <w:pStyle w:val="Odstavecseseznamem"/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B8C1D74" w14:textId="714A68BD" w:rsidR="00412A4B" w:rsidRDefault="00412A4B" w:rsidP="00780291">
      <w:pPr>
        <w:pStyle w:val="Odstavecseseznamem"/>
        <w:numPr>
          <w:ilvl w:val="0"/>
          <w:numId w:val="38"/>
        </w:numPr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780291">
        <w:rPr>
          <w:rFonts w:ascii="Tahoma" w:hAnsi="Tahoma" w:cs="Tahoma"/>
          <w:b/>
          <w:sz w:val="20"/>
          <w:szCs w:val="20"/>
        </w:rPr>
        <w:t xml:space="preserve">Stanovení </w:t>
      </w:r>
      <w:r w:rsidR="00780291" w:rsidRPr="00780291">
        <w:rPr>
          <w:rFonts w:ascii="Tahoma" w:hAnsi="Tahoma" w:cs="Tahoma"/>
          <w:b/>
          <w:sz w:val="20"/>
          <w:szCs w:val="20"/>
        </w:rPr>
        <w:t>nákladových</w:t>
      </w:r>
      <w:r w:rsidRPr="00780291">
        <w:rPr>
          <w:rFonts w:ascii="Tahoma" w:hAnsi="Tahoma" w:cs="Tahoma"/>
          <w:b/>
          <w:sz w:val="20"/>
          <w:szCs w:val="20"/>
        </w:rPr>
        <w:t xml:space="preserve"> limitů pro nové služby</w:t>
      </w:r>
      <w:r w:rsidR="00955AAA">
        <w:rPr>
          <w:rFonts w:ascii="Tahoma" w:hAnsi="Tahoma" w:cs="Tahoma"/>
          <w:b/>
          <w:sz w:val="20"/>
          <w:szCs w:val="20"/>
        </w:rPr>
        <w:t xml:space="preserve"> </w:t>
      </w:r>
    </w:p>
    <w:p w14:paraId="6E5F6772" w14:textId="77777777" w:rsidR="000A0023" w:rsidRPr="00780291" w:rsidRDefault="000A0023" w:rsidP="000A0023">
      <w:pPr>
        <w:pStyle w:val="Odstavecseseznamem"/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399CAD97" w14:textId="77777777" w:rsidR="00780291" w:rsidRPr="004A1DBB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Základem pro stanovení </w:t>
      </w:r>
      <w:r>
        <w:rPr>
          <w:rFonts w:ascii="Tahoma" w:hAnsi="Tahoma" w:cs="Tahoma"/>
          <w:sz w:val="20"/>
          <w:szCs w:val="20"/>
        </w:rPr>
        <w:t>nákladových</w:t>
      </w:r>
      <w:r w:rsidRPr="004A1DBB">
        <w:rPr>
          <w:rFonts w:ascii="Tahoma" w:hAnsi="Tahoma" w:cs="Tahoma"/>
          <w:sz w:val="20"/>
          <w:szCs w:val="20"/>
        </w:rPr>
        <w:t xml:space="preserve"> limitů je požadovaná dotace na osobní náklady a provozní náklady. </w:t>
      </w:r>
    </w:p>
    <w:p w14:paraId="4ABC56B1" w14:textId="4093BCF2" w:rsidR="00780291" w:rsidRPr="004A1DBB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Nákladový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b/>
          <w:sz w:val="20"/>
          <w:szCs w:val="20"/>
        </w:rPr>
        <w:t>limit na osobní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 osobní náklady</w:t>
      </w:r>
      <w:r w:rsidR="00EB5804">
        <w:rPr>
          <w:rFonts w:ascii="Tahoma" w:hAnsi="Tahoma" w:cs="Tahoma"/>
          <w:sz w:val="20"/>
          <w:szCs w:val="20"/>
        </w:rPr>
        <w:t>.</w:t>
      </w:r>
      <w:r w:rsidRPr="004A1DBB">
        <w:rPr>
          <w:rFonts w:ascii="Tahoma" w:hAnsi="Tahoma" w:cs="Tahoma"/>
          <w:sz w:val="20"/>
          <w:szCs w:val="20"/>
        </w:rPr>
        <w:t xml:space="preserve"> </w:t>
      </w:r>
    </w:p>
    <w:p w14:paraId="3656A02A" w14:textId="7EC479DC" w:rsidR="00780291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Nákladový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b/>
          <w:sz w:val="20"/>
          <w:szCs w:val="20"/>
        </w:rPr>
        <w:t>limit na provozní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 </w:t>
      </w:r>
      <w:r w:rsidR="00632895">
        <w:rPr>
          <w:rFonts w:ascii="Tahoma" w:hAnsi="Tahoma" w:cs="Tahoma"/>
          <w:sz w:val="20"/>
          <w:szCs w:val="20"/>
        </w:rPr>
        <w:t>provozní</w:t>
      </w:r>
      <w:r w:rsidRPr="004A1DBB">
        <w:rPr>
          <w:rFonts w:ascii="Tahoma" w:hAnsi="Tahoma" w:cs="Tahoma"/>
          <w:sz w:val="20"/>
          <w:szCs w:val="20"/>
        </w:rPr>
        <w:t xml:space="preserve"> náklady</w:t>
      </w:r>
      <w:r w:rsidR="00EB5804">
        <w:rPr>
          <w:rFonts w:ascii="Tahoma" w:hAnsi="Tahoma" w:cs="Tahoma"/>
          <w:sz w:val="20"/>
          <w:szCs w:val="20"/>
        </w:rPr>
        <w:t>.</w:t>
      </w:r>
    </w:p>
    <w:p w14:paraId="5707DACB" w14:textId="77777777" w:rsidR="003E6D27" w:rsidRPr="004A1DBB" w:rsidRDefault="003E6D27" w:rsidP="003E6D27">
      <w:pPr>
        <w:pStyle w:val="Odstavecseseznamem"/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</w:p>
    <w:p w14:paraId="1A0F53FF" w14:textId="70B27FBB" w:rsidR="00412A4B" w:rsidRDefault="00C56FA5" w:rsidP="00780291">
      <w:pPr>
        <w:pStyle w:val="Odstavecseseznamem"/>
        <w:numPr>
          <w:ilvl w:val="0"/>
          <w:numId w:val="38"/>
        </w:numPr>
        <w:spacing w:before="120" w:after="120" w:line="240" w:lineRule="auto"/>
        <w:ind w:left="70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Úprava nákladových</w:t>
      </w:r>
      <w:r w:rsidR="00412A4B">
        <w:rPr>
          <w:rFonts w:ascii="Tahoma" w:hAnsi="Tahoma" w:cs="Tahoma"/>
          <w:b/>
          <w:sz w:val="20"/>
          <w:szCs w:val="20"/>
        </w:rPr>
        <w:t xml:space="preserve"> limitů </w:t>
      </w:r>
      <w:r w:rsidR="00B3327A">
        <w:rPr>
          <w:rFonts w:ascii="Tahoma" w:hAnsi="Tahoma" w:cs="Tahoma"/>
          <w:b/>
          <w:sz w:val="20"/>
          <w:szCs w:val="20"/>
        </w:rPr>
        <w:t>u žádostí podaných přes internetovou aplikaci</w:t>
      </w:r>
      <w:r w:rsidR="00E80405">
        <w:rPr>
          <w:rFonts w:ascii="Tahoma" w:hAnsi="Tahoma" w:cs="Tahoma"/>
          <w:b/>
          <w:sz w:val="20"/>
          <w:szCs w:val="20"/>
        </w:rPr>
        <w:t xml:space="preserve"> „OKslužby – poskytovatel“</w:t>
      </w:r>
    </w:p>
    <w:p w14:paraId="5916306E" w14:textId="2470C83C" w:rsidR="00412A4B" w:rsidRDefault="00412A4B" w:rsidP="00780291">
      <w:pPr>
        <w:pStyle w:val="Odstavecseseznamem"/>
        <w:spacing w:before="120" w:after="12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FD4D0E">
        <w:rPr>
          <w:rFonts w:ascii="Tahoma" w:hAnsi="Tahoma" w:cs="Tahoma"/>
          <w:sz w:val="20"/>
          <w:szCs w:val="20"/>
        </w:rPr>
        <w:t>K </w:t>
      </w:r>
      <w:r w:rsidR="00C56FA5" w:rsidRPr="00FD4D0E">
        <w:rPr>
          <w:rFonts w:ascii="Tahoma" w:hAnsi="Tahoma" w:cs="Tahoma"/>
          <w:sz w:val="20"/>
          <w:szCs w:val="20"/>
        </w:rPr>
        <w:t>nákladovým</w:t>
      </w:r>
      <w:r w:rsidRPr="00FD4D0E">
        <w:rPr>
          <w:rFonts w:ascii="Tahoma" w:hAnsi="Tahoma" w:cs="Tahoma"/>
          <w:sz w:val="20"/>
          <w:szCs w:val="20"/>
        </w:rPr>
        <w:t xml:space="preserve"> </w:t>
      </w:r>
      <w:r w:rsidR="00F952A0" w:rsidRPr="00FD4D0E">
        <w:rPr>
          <w:rFonts w:ascii="Tahoma" w:hAnsi="Tahoma" w:cs="Tahoma"/>
          <w:sz w:val="20"/>
          <w:szCs w:val="20"/>
        </w:rPr>
        <w:t xml:space="preserve">limitům stanoveným zastupitelstvem kraje usnesením č. </w:t>
      </w:r>
      <w:r w:rsidR="000173E1">
        <w:rPr>
          <w:rFonts w:ascii="Tahoma" w:hAnsi="Tahoma" w:cs="Tahoma"/>
          <w:sz w:val="20"/>
          <w:szCs w:val="20"/>
        </w:rPr>
        <w:t>3</w:t>
      </w:r>
      <w:r w:rsidR="00F952A0" w:rsidRPr="00FD4D0E">
        <w:rPr>
          <w:rFonts w:ascii="Tahoma" w:hAnsi="Tahoma" w:cs="Tahoma"/>
          <w:sz w:val="20"/>
          <w:szCs w:val="20"/>
        </w:rPr>
        <w:t>/</w:t>
      </w:r>
      <w:r w:rsidR="000173E1">
        <w:rPr>
          <w:rFonts w:ascii="Tahoma" w:hAnsi="Tahoma" w:cs="Tahoma"/>
          <w:sz w:val="20"/>
          <w:szCs w:val="20"/>
        </w:rPr>
        <w:t>230</w:t>
      </w:r>
      <w:r w:rsidR="00F952A0" w:rsidRPr="00FD4D0E">
        <w:rPr>
          <w:rFonts w:ascii="Tahoma" w:hAnsi="Tahoma" w:cs="Tahoma"/>
          <w:sz w:val="20"/>
          <w:szCs w:val="20"/>
        </w:rPr>
        <w:t xml:space="preserve"> ze dne </w:t>
      </w:r>
      <w:r w:rsidR="000173E1">
        <w:rPr>
          <w:rFonts w:ascii="Tahoma" w:hAnsi="Tahoma" w:cs="Tahoma"/>
          <w:sz w:val="20"/>
          <w:szCs w:val="20"/>
        </w:rPr>
        <w:t>17</w:t>
      </w:r>
      <w:r w:rsidR="00F952A0" w:rsidRPr="00FD4D0E">
        <w:rPr>
          <w:rFonts w:ascii="Tahoma" w:hAnsi="Tahoma" w:cs="Tahoma"/>
          <w:sz w:val="20"/>
          <w:szCs w:val="20"/>
        </w:rPr>
        <w:t>.</w:t>
      </w:r>
      <w:r w:rsidR="0016308B">
        <w:rPr>
          <w:rFonts w:ascii="Tahoma" w:hAnsi="Tahoma" w:cs="Tahoma"/>
          <w:sz w:val="20"/>
          <w:szCs w:val="20"/>
        </w:rPr>
        <w:t> </w:t>
      </w:r>
      <w:r w:rsidR="00F952A0" w:rsidRPr="00FD4D0E">
        <w:rPr>
          <w:rFonts w:ascii="Tahoma" w:hAnsi="Tahoma" w:cs="Tahoma"/>
          <w:sz w:val="20"/>
          <w:szCs w:val="20"/>
        </w:rPr>
        <w:t>3.</w:t>
      </w:r>
      <w:r w:rsidR="001B52B8">
        <w:rPr>
          <w:rFonts w:ascii="Tahoma" w:hAnsi="Tahoma" w:cs="Tahoma"/>
          <w:sz w:val="20"/>
          <w:szCs w:val="20"/>
        </w:rPr>
        <w:t> </w:t>
      </w:r>
      <w:r w:rsidR="00F952A0" w:rsidRPr="00FD4D0E">
        <w:rPr>
          <w:rFonts w:ascii="Tahoma" w:hAnsi="Tahoma" w:cs="Tahoma"/>
          <w:sz w:val="20"/>
          <w:szCs w:val="20"/>
        </w:rPr>
        <w:t>20</w:t>
      </w:r>
      <w:r w:rsidR="00955AAA">
        <w:rPr>
          <w:rFonts w:ascii="Tahoma" w:hAnsi="Tahoma" w:cs="Tahoma"/>
          <w:sz w:val="20"/>
          <w:szCs w:val="20"/>
        </w:rPr>
        <w:t>2</w:t>
      </w:r>
      <w:r w:rsidR="005C4644">
        <w:rPr>
          <w:rFonts w:ascii="Tahoma" w:hAnsi="Tahoma" w:cs="Tahoma"/>
          <w:sz w:val="20"/>
          <w:szCs w:val="20"/>
        </w:rPr>
        <w:t>1</w:t>
      </w:r>
      <w:r w:rsidR="00F952A0" w:rsidRPr="00FD4D0E">
        <w:rPr>
          <w:rFonts w:ascii="Tahoma" w:hAnsi="Tahoma" w:cs="Tahoma"/>
          <w:sz w:val="20"/>
          <w:szCs w:val="20"/>
        </w:rPr>
        <w:t>, tj.</w:t>
      </w:r>
      <w:r w:rsidRPr="00FD4D0E">
        <w:rPr>
          <w:rFonts w:ascii="Tahoma" w:hAnsi="Tahoma" w:cs="Tahoma"/>
          <w:sz w:val="20"/>
          <w:szCs w:val="20"/>
        </w:rPr>
        <w:t xml:space="preserve"> v řádném kole</w:t>
      </w:r>
      <w:r w:rsidR="00F5533B">
        <w:rPr>
          <w:rFonts w:ascii="Tahoma" w:hAnsi="Tahoma" w:cs="Tahoma"/>
          <w:sz w:val="20"/>
          <w:szCs w:val="20"/>
        </w:rPr>
        <w:t>,</w:t>
      </w:r>
      <w:r w:rsidRPr="00FD4D0E">
        <w:rPr>
          <w:rFonts w:ascii="Tahoma" w:hAnsi="Tahoma" w:cs="Tahoma"/>
          <w:sz w:val="20"/>
          <w:szCs w:val="20"/>
        </w:rPr>
        <w:t xml:space="preserve"> jsou přičteny </w:t>
      </w:r>
      <w:r w:rsidR="00C56FA5" w:rsidRPr="00FD4D0E">
        <w:rPr>
          <w:rFonts w:ascii="Tahoma" w:hAnsi="Tahoma" w:cs="Tahoma"/>
          <w:sz w:val="20"/>
          <w:szCs w:val="20"/>
        </w:rPr>
        <w:t>nákladové</w:t>
      </w:r>
      <w:r w:rsidRPr="00FD4D0E">
        <w:rPr>
          <w:rFonts w:ascii="Tahoma" w:hAnsi="Tahoma" w:cs="Tahoma"/>
          <w:sz w:val="20"/>
          <w:szCs w:val="20"/>
        </w:rPr>
        <w:t xml:space="preserve"> </w:t>
      </w:r>
      <w:r w:rsidRPr="00926F32">
        <w:rPr>
          <w:rFonts w:ascii="Tahoma" w:hAnsi="Tahoma" w:cs="Tahoma"/>
          <w:sz w:val="20"/>
          <w:szCs w:val="20"/>
        </w:rPr>
        <w:t xml:space="preserve">limity </w:t>
      </w:r>
      <w:r w:rsidR="00926F32" w:rsidRPr="00926F32">
        <w:rPr>
          <w:rFonts w:ascii="Tahoma" w:hAnsi="Tahoma" w:cs="Tahoma"/>
          <w:sz w:val="20"/>
          <w:szCs w:val="20"/>
        </w:rPr>
        <w:t>dle podaných žádostí.</w:t>
      </w:r>
    </w:p>
    <w:sectPr w:rsidR="00412A4B" w:rsidSect="002C06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9DAE" w14:textId="77777777" w:rsidR="004463CE" w:rsidRDefault="004463CE" w:rsidP="00BD6677">
      <w:pPr>
        <w:spacing w:after="0" w:line="240" w:lineRule="auto"/>
      </w:pPr>
      <w:r>
        <w:separator/>
      </w:r>
    </w:p>
  </w:endnote>
  <w:endnote w:type="continuationSeparator" w:id="0">
    <w:p w14:paraId="2A408B53" w14:textId="77777777" w:rsidR="004463CE" w:rsidRDefault="004463CE" w:rsidP="00BD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939928"/>
      <w:docPartObj>
        <w:docPartGallery w:val="Page Numbers (Bottom of Page)"/>
        <w:docPartUnique/>
      </w:docPartObj>
    </w:sdtPr>
    <w:sdtEndPr/>
    <w:sdtContent>
      <w:p w14:paraId="398DAC17" w14:textId="77777777" w:rsidR="00532320" w:rsidRDefault="00FD4D0E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7E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B0FAF2C" w14:textId="77777777" w:rsidR="00532320" w:rsidRDefault="00532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4448" w14:textId="77777777" w:rsidR="004463CE" w:rsidRDefault="004463CE" w:rsidP="00BD6677">
      <w:pPr>
        <w:spacing w:after="0" w:line="240" w:lineRule="auto"/>
      </w:pPr>
      <w:r>
        <w:separator/>
      </w:r>
    </w:p>
  </w:footnote>
  <w:footnote w:type="continuationSeparator" w:id="0">
    <w:p w14:paraId="7417833C" w14:textId="77777777" w:rsidR="004463CE" w:rsidRDefault="004463CE" w:rsidP="00BD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7EE"/>
    <w:multiLevelType w:val="hybridMultilevel"/>
    <w:tmpl w:val="2DB611EC"/>
    <w:lvl w:ilvl="0" w:tplc="040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4569" w:hanging="360"/>
      </w:pPr>
    </w:lvl>
    <w:lvl w:ilvl="2" w:tplc="0405001B" w:tentative="1">
      <w:start w:val="1"/>
      <w:numFmt w:val="lowerRoman"/>
      <w:lvlText w:val="%3."/>
      <w:lvlJc w:val="right"/>
      <w:pPr>
        <w:ind w:left="5289" w:hanging="180"/>
      </w:pPr>
    </w:lvl>
    <w:lvl w:ilvl="3" w:tplc="0405000F" w:tentative="1">
      <w:start w:val="1"/>
      <w:numFmt w:val="decimal"/>
      <w:lvlText w:val="%4."/>
      <w:lvlJc w:val="left"/>
      <w:pPr>
        <w:ind w:left="6009" w:hanging="360"/>
      </w:pPr>
    </w:lvl>
    <w:lvl w:ilvl="4" w:tplc="04050019" w:tentative="1">
      <w:start w:val="1"/>
      <w:numFmt w:val="lowerLetter"/>
      <w:lvlText w:val="%5."/>
      <w:lvlJc w:val="left"/>
      <w:pPr>
        <w:ind w:left="6729" w:hanging="360"/>
      </w:pPr>
    </w:lvl>
    <w:lvl w:ilvl="5" w:tplc="0405001B" w:tentative="1">
      <w:start w:val="1"/>
      <w:numFmt w:val="lowerRoman"/>
      <w:lvlText w:val="%6."/>
      <w:lvlJc w:val="right"/>
      <w:pPr>
        <w:ind w:left="7449" w:hanging="180"/>
      </w:pPr>
    </w:lvl>
    <w:lvl w:ilvl="6" w:tplc="0405000F" w:tentative="1">
      <w:start w:val="1"/>
      <w:numFmt w:val="decimal"/>
      <w:lvlText w:val="%7."/>
      <w:lvlJc w:val="left"/>
      <w:pPr>
        <w:ind w:left="8169" w:hanging="360"/>
      </w:pPr>
    </w:lvl>
    <w:lvl w:ilvl="7" w:tplc="04050019" w:tentative="1">
      <w:start w:val="1"/>
      <w:numFmt w:val="lowerLetter"/>
      <w:lvlText w:val="%8."/>
      <w:lvlJc w:val="left"/>
      <w:pPr>
        <w:ind w:left="8889" w:hanging="360"/>
      </w:pPr>
    </w:lvl>
    <w:lvl w:ilvl="8" w:tplc="0405001B" w:tentative="1">
      <w:start w:val="1"/>
      <w:numFmt w:val="lowerRoman"/>
      <w:lvlText w:val="%9."/>
      <w:lvlJc w:val="right"/>
      <w:pPr>
        <w:ind w:left="9609" w:hanging="180"/>
      </w:pPr>
    </w:lvl>
  </w:abstractNum>
  <w:abstractNum w:abstractNumId="1" w15:restartNumberingAfterBreak="0">
    <w:nsid w:val="0101358C"/>
    <w:multiLevelType w:val="hybridMultilevel"/>
    <w:tmpl w:val="5C908E66"/>
    <w:lvl w:ilvl="0" w:tplc="3A6EE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93AE7"/>
    <w:multiLevelType w:val="hybridMultilevel"/>
    <w:tmpl w:val="BBC03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0DBF"/>
    <w:multiLevelType w:val="multilevel"/>
    <w:tmpl w:val="33E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410EB"/>
    <w:multiLevelType w:val="hybridMultilevel"/>
    <w:tmpl w:val="16C25EF8"/>
    <w:lvl w:ilvl="0" w:tplc="DEBED014">
      <w:start w:val="2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DBE73D6"/>
    <w:multiLevelType w:val="hybridMultilevel"/>
    <w:tmpl w:val="23526E90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87F42"/>
    <w:multiLevelType w:val="hybridMultilevel"/>
    <w:tmpl w:val="061488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D42200C"/>
    <w:multiLevelType w:val="hybridMultilevel"/>
    <w:tmpl w:val="BC5A448C"/>
    <w:lvl w:ilvl="0" w:tplc="040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3E00ECC"/>
    <w:multiLevelType w:val="hybridMultilevel"/>
    <w:tmpl w:val="D870C68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A5328"/>
    <w:multiLevelType w:val="hybridMultilevel"/>
    <w:tmpl w:val="CA0EF14C"/>
    <w:lvl w:ilvl="0" w:tplc="A62C64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45203"/>
    <w:multiLevelType w:val="multilevel"/>
    <w:tmpl w:val="F124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B13997"/>
    <w:multiLevelType w:val="hybridMultilevel"/>
    <w:tmpl w:val="3E4EB7F4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9141B94"/>
    <w:multiLevelType w:val="multilevel"/>
    <w:tmpl w:val="4CA4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91CF2"/>
    <w:multiLevelType w:val="hybridMultilevel"/>
    <w:tmpl w:val="A9A0D34C"/>
    <w:lvl w:ilvl="0" w:tplc="0405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DFB3E7D"/>
    <w:multiLevelType w:val="multilevel"/>
    <w:tmpl w:val="F2D8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F50B6"/>
    <w:multiLevelType w:val="hybridMultilevel"/>
    <w:tmpl w:val="3678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710A5"/>
    <w:multiLevelType w:val="hybridMultilevel"/>
    <w:tmpl w:val="5FDE3E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0FF5C41"/>
    <w:multiLevelType w:val="hybridMultilevel"/>
    <w:tmpl w:val="032C2A80"/>
    <w:lvl w:ilvl="0" w:tplc="D4EA8C8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202AAA"/>
    <w:multiLevelType w:val="hybridMultilevel"/>
    <w:tmpl w:val="875EBE38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715FC"/>
    <w:multiLevelType w:val="hybridMultilevel"/>
    <w:tmpl w:val="079C56AE"/>
    <w:lvl w:ilvl="0" w:tplc="88E2DA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59EE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67268"/>
    <w:multiLevelType w:val="hybridMultilevel"/>
    <w:tmpl w:val="7A44F086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00935"/>
    <w:multiLevelType w:val="hybridMultilevel"/>
    <w:tmpl w:val="CC9E73FA"/>
    <w:lvl w:ilvl="0" w:tplc="2BCA3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C55D6"/>
    <w:multiLevelType w:val="hybridMultilevel"/>
    <w:tmpl w:val="737CF69E"/>
    <w:lvl w:ilvl="0" w:tplc="73AAB70A">
      <w:start w:val="2"/>
      <w:numFmt w:val="bullet"/>
      <w:lvlText w:val="-"/>
      <w:lvlJc w:val="left"/>
      <w:pPr>
        <w:ind w:left="1860" w:hanging="360"/>
      </w:pPr>
      <w:rPr>
        <w:rFonts w:ascii="Tahoma" w:eastAsiaTheme="minorHAnsi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9538B"/>
    <w:multiLevelType w:val="hybridMultilevel"/>
    <w:tmpl w:val="274C149E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34786"/>
    <w:multiLevelType w:val="hybridMultilevel"/>
    <w:tmpl w:val="3F16C3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3509B"/>
    <w:multiLevelType w:val="hybridMultilevel"/>
    <w:tmpl w:val="3C00176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44CAD"/>
    <w:multiLevelType w:val="hybridMultilevel"/>
    <w:tmpl w:val="043E1908"/>
    <w:lvl w:ilvl="0" w:tplc="B7D64588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F357A76"/>
    <w:multiLevelType w:val="hybridMultilevel"/>
    <w:tmpl w:val="58C039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6B7C1F"/>
    <w:multiLevelType w:val="hybridMultilevel"/>
    <w:tmpl w:val="3B4E749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5DC1D38"/>
    <w:multiLevelType w:val="hybridMultilevel"/>
    <w:tmpl w:val="C098F71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9B5A83"/>
    <w:multiLevelType w:val="hybridMultilevel"/>
    <w:tmpl w:val="1C0C75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2013C8"/>
    <w:multiLevelType w:val="hybridMultilevel"/>
    <w:tmpl w:val="8F842C28"/>
    <w:lvl w:ilvl="0" w:tplc="78BC4DB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13999"/>
    <w:multiLevelType w:val="hybridMultilevel"/>
    <w:tmpl w:val="D3A4B3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A2A19"/>
    <w:multiLevelType w:val="hybridMultilevel"/>
    <w:tmpl w:val="90E643EA"/>
    <w:lvl w:ilvl="0" w:tplc="CCB860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007C6"/>
    <w:multiLevelType w:val="hybridMultilevel"/>
    <w:tmpl w:val="AE962EAE"/>
    <w:lvl w:ilvl="0" w:tplc="F58CA288">
      <w:start w:val="5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1364" w:hanging="180"/>
      </w:pPr>
    </w:lvl>
    <w:lvl w:ilvl="3" w:tplc="0405000F" w:tentative="1">
      <w:start w:val="1"/>
      <w:numFmt w:val="decimal"/>
      <w:lvlText w:val="%4."/>
      <w:lvlJc w:val="left"/>
      <w:pPr>
        <w:ind w:left="2084" w:hanging="360"/>
      </w:pPr>
    </w:lvl>
    <w:lvl w:ilvl="4" w:tplc="04050019" w:tentative="1">
      <w:start w:val="1"/>
      <w:numFmt w:val="lowerLetter"/>
      <w:lvlText w:val="%5."/>
      <w:lvlJc w:val="left"/>
      <w:pPr>
        <w:ind w:left="2804" w:hanging="360"/>
      </w:pPr>
    </w:lvl>
    <w:lvl w:ilvl="5" w:tplc="0405001B" w:tentative="1">
      <w:start w:val="1"/>
      <w:numFmt w:val="lowerRoman"/>
      <w:lvlText w:val="%6."/>
      <w:lvlJc w:val="right"/>
      <w:pPr>
        <w:ind w:left="3524" w:hanging="180"/>
      </w:pPr>
    </w:lvl>
    <w:lvl w:ilvl="6" w:tplc="0405000F" w:tentative="1">
      <w:start w:val="1"/>
      <w:numFmt w:val="decimal"/>
      <w:lvlText w:val="%7."/>
      <w:lvlJc w:val="left"/>
      <w:pPr>
        <w:ind w:left="4244" w:hanging="360"/>
      </w:pPr>
    </w:lvl>
    <w:lvl w:ilvl="7" w:tplc="04050019" w:tentative="1">
      <w:start w:val="1"/>
      <w:numFmt w:val="lowerLetter"/>
      <w:lvlText w:val="%8."/>
      <w:lvlJc w:val="left"/>
      <w:pPr>
        <w:ind w:left="4964" w:hanging="360"/>
      </w:pPr>
    </w:lvl>
    <w:lvl w:ilvl="8" w:tplc="040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0" w15:restartNumberingAfterBreak="0">
    <w:nsid w:val="6A9401A5"/>
    <w:multiLevelType w:val="hybridMultilevel"/>
    <w:tmpl w:val="826E54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F9330FF"/>
    <w:multiLevelType w:val="hybridMultilevel"/>
    <w:tmpl w:val="ACD030DA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FD810A6"/>
    <w:multiLevelType w:val="hybridMultilevel"/>
    <w:tmpl w:val="47C82FB0"/>
    <w:lvl w:ilvl="0" w:tplc="D9589F80">
      <w:start w:val="1"/>
      <w:numFmt w:val="upperLetter"/>
      <w:lvlText w:val="%1."/>
      <w:lvlJc w:val="left"/>
      <w:pPr>
        <w:ind w:left="1776" w:hanging="360"/>
      </w:pPr>
      <w:rPr>
        <w:rFonts w:ascii="Tahoma" w:eastAsiaTheme="minorHAnsi" w:hAnsi="Tahoma" w:cs="Tahoma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21D04DB"/>
    <w:multiLevelType w:val="hybridMultilevel"/>
    <w:tmpl w:val="DCE84AD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FF195F"/>
    <w:multiLevelType w:val="hybridMultilevel"/>
    <w:tmpl w:val="860CF046"/>
    <w:lvl w:ilvl="0" w:tplc="46F20A4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E7162"/>
    <w:multiLevelType w:val="hybridMultilevel"/>
    <w:tmpl w:val="3FE24390"/>
    <w:lvl w:ilvl="0" w:tplc="E1E6DD56">
      <w:start w:val="1"/>
      <w:numFmt w:val="bullet"/>
      <w:lvlText w:val="-"/>
      <w:lvlJc w:val="left"/>
      <w:pPr>
        <w:ind w:left="25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6" w15:restartNumberingAfterBreak="0">
    <w:nsid w:val="7A1D72B6"/>
    <w:multiLevelType w:val="hybridMultilevel"/>
    <w:tmpl w:val="06C8A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73A19"/>
    <w:multiLevelType w:val="hybridMultilevel"/>
    <w:tmpl w:val="19A4FA38"/>
    <w:lvl w:ilvl="0" w:tplc="8A80CE98">
      <w:start w:val="144"/>
      <w:numFmt w:val="bullet"/>
      <w:lvlText w:val="-"/>
      <w:lvlJc w:val="left"/>
      <w:pPr>
        <w:ind w:left="720" w:hanging="360"/>
      </w:pPr>
      <w:rPr>
        <w:rFonts w:ascii="Tahoma" w:eastAsia="Droid Sans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55BF0"/>
    <w:multiLevelType w:val="hybridMultilevel"/>
    <w:tmpl w:val="EA44BB24"/>
    <w:lvl w:ilvl="0" w:tplc="0405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3918" w:hanging="360"/>
      </w:pPr>
    </w:lvl>
    <w:lvl w:ilvl="2" w:tplc="0405001B" w:tentative="1">
      <w:start w:val="1"/>
      <w:numFmt w:val="lowerRoman"/>
      <w:lvlText w:val="%3."/>
      <w:lvlJc w:val="right"/>
      <w:pPr>
        <w:ind w:left="4638" w:hanging="180"/>
      </w:pPr>
    </w:lvl>
    <w:lvl w:ilvl="3" w:tplc="0405000F" w:tentative="1">
      <w:start w:val="1"/>
      <w:numFmt w:val="decimal"/>
      <w:lvlText w:val="%4."/>
      <w:lvlJc w:val="left"/>
      <w:pPr>
        <w:ind w:left="5358" w:hanging="360"/>
      </w:pPr>
    </w:lvl>
    <w:lvl w:ilvl="4" w:tplc="04050019" w:tentative="1">
      <w:start w:val="1"/>
      <w:numFmt w:val="lowerLetter"/>
      <w:lvlText w:val="%5."/>
      <w:lvlJc w:val="left"/>
      <w:pPr>
        <w:ind w:left="6078" w:hanging="360"/>
      </w:pPr>
    </w:lvl>
    <w:lvl w:ilvl="5" w:tplc="0405001B" w:tentative="1">
      <w:start w:val="1"/>
      <w:numFmt w:val="lowerRoman"/>
      <w:lvlText w:val="%6."/>
      <w:lvlJc w:val="right"/>
      <w:pPr>
        <w:ind w:left="6798" w:hanging="180"/>
      </w:pPr>
    </w:lvl>
    <w:lvl w:ilvl="6" w:tplc="0405000F" w:tentative="1">
      <w:start w:val="1"/>
      <w:numFmt w:val="decimal"/>
      <w:lvlText w:val="%7."/>
      <w:lvlJc w:val="left"/>
      <w:pPr>
        <w:ind w:left="7518" w:hanging="360"/>
      </w:pPr>
    </w:lvl>
    <w:lvl w:ilvl="7" w:tplc="04050019" w:tentative="1">
      <w:start w:val="1"/>
      <w:numFmt w:val="lowerLetter"/>
      <w:lvlText w:val="%8."/>
      <w:lvlJc w:val="left"/>
      <w:pPr>
        <w:ind w:left="8238" w:hanging="360"/>
      </w:pPr>
    </w:lvl>
    <w:lvl w:ilvl="8" w:tplc="040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49" w15:restartNumberingAfterBreak="0">
    <w:nsid w:val="7CFC24F8"/>
    <w:multiLevelType w:val="hybridMultilevel"/>
    <w:tmpl w:val="E32E1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1"/>
  </w:num>
  <w:num w:numId="3">
    <w:abstractNumId w:val="6"/>
  </w:num>
  <w:num w:numId="4">
    <w:abstractNumId w:val="0"/>
  </w:num>
  <w:num w:numId="5">
    <w:abstractNumId w:val="22"/>
  </w:num>
  <w:num w:numId="6">
    <w:abstractNumId w:val="4"/>
  </w:num>
  <w:num w:numId="7">
    <w:abstractNumId w:val="9"/>
  </w:num>
  <w:num w:numId="8">
    <w:abstractNumId w:val="16"/>
  </w:num>
  <w:num w:numId="9">
    <w:abstractNumId w:val="25"/>
  </w:num>
  <w:num w:numId="10">
    <w:abstractNumId w:val="8"/>
  </w:num>
  <w:num w:numId="11">
    <w:abstractNumId w:val="48"/>
  </w:num>
  <w:num w:numId="12">
    <w:abstractNumId w:val="45"/>
  </w:num>
  <w:num w:numId="13">
    <w:abstractNumId w:val="28"/>
  </w:num>
  <w:num w:numId="14">
    <w:abstractNumId w:val="33"/>
  </w:num>
  <w:num w:numId="15">
    <w:abstractNumId w:val="37"/>
  </w:num>
  <w:num w:numId="16">
    <w:abstractNumId w:val="21"/>
  </w:num>
  <w:num w:numId="17">
    <w:abstractNumId w:val="35"/>
  </w:num>
  <w:num w:numId="18">
    <w:abstractNumId w:val="40"/>
  </w:num>
  <w:num w:numId="19">
    <w:abstractNumId w:val="20"/>
  </w:num>
  <w:num w:numId="20">
    <w:abstractNumId w:val="10"/>
  </w:num>
  <w:num w:numId="21">
    <w:abstractNumId w:val="32"/>
  </w:num>
  <w:num w:numId="22">
    <w:abstractNumId w:val="3"/>
  </w:num>
  <w:num w:numId="23">
    <w:abstractNumId w:val="17"/>
  </w:num>
  <w:num w:numId="24">
    <w:abstractNumId w:val="18"/>
  </w:num>
  <w:num w:numId="25">
    <w:abstractNumId w:val="1"/>
  </w:num>
  <w:num w:numId="26">
    <w:abstractNumId w:val="49"/>
  </w:num>
  <w:num w:numId="27">
    <w:abstractNumId w:val="43"/>
  </w:num>
  <w:num w:numId="28">
    <w:abstractNumId w:val="30"/>
  </w:num>
  <w:num w:numId="29">
    <w:abstractNumId w:val="27"/>
  </w:num>
  <w:num w:numId="30">
    <w:abstractNumId w:val="34"/>
  </w:num>
  <w:num w:numId="31">
    <w:abstractNumId w:val="7"/>
  </w:num>
  <w:num w:numId="32">
    <w:abstractNumId w:val="2"/>
  </w:num>
  <w:num w:numId="33">
    <w:abstractNumId w:val="26"/>
  </w:num>
  <w:num w:numId="34">
    <w:abstractNumId w:val="36"/>
  </w:num>
  <w:num w:numId="35">
    <w:abstractNumId w:val="39"/>
  </w:num>
  <w:num w:numId="36">
    <w:abstractNumId w:val="11"/>
  </w:num>
  <w:num w:numId="37">
    <w:abstractNumId w:val="23"/>
  </w:num>
  <w:num w:numId="38">
    <w:abstractNumId w:val="42"/>
  </w:num>
  <w:num w:numId="39">
    <w:abstractNumId w:val="47"/>
  </w:num>
  <w:num w:numId="40">
    <w:abstractNumId w:val="14"/>
  </w:num>
  <w:num w:numId="41">
    <w:abstractNumId w:val="19"/>
  </w:num>
  <w:num w:numId="42">
    <w:abstractNumId w:val="46"/>
  </w:num>
  <w:num w:numId="43">
    <w:abstractNumId w:val="41"/>
  </w:num>
  <w:num w:numId="44">
    <w:abstractNumId w:val="29"/>
  </w:num>
  <w:num w:numId="45">
    <w:abstractNumId w:val="5"/>
  </w:num>
  <w:num w:numId="46">
    <w:abstractNumId w:val="24"/>
  </w:num>
  <w:num w:numId="47">
    <w:abstractNumId w:val="13"/>
  </w:num>
  <w:num w:numId="48">
    <w:abstractNumId w:val="15"/>
  </w:num>
  <w:num w:numId="49">
    <w:abstractNumId w:val="1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97"/>
    <w:rsid w:val="00003177"/>
    <w:rsid w:val="00003AF1"/>
    <w:rsid w:val="000049DF"/>
    <w:rsid w:val="000154D9"/>
    <w:rsid w:val="00016949"/>
    <w:rsid w:val="000173E1"/>
    <w:rsid w:val="00022924"/>
    <w:rsid w:val="00025B85"/>
    <w:rsid w:val="00030AC3"/>
    <w:rsid w:val="000376F0"/>
    <w:rsid w:val="0004675B"/>
    <w:rsid w:val="00047E28"/>
    <w:rsid w:val="000528AF"/>
    <w:rsid w:val="0005416A"/>
    <w:rsid w:val="000545D0"/>
    <w:rsid w:val="00055048"/>
    <w:rsid w:val="00071980"/>
    <w:rsid w:val="000725A7"/>
    <w:rsid w:val="0007451D"/>
    <w:rsid w:val="0009435C"/>
    <w:rsid w:val="000A0023"/>
    <w:rsid w:val="000A2E77"/>
    <w:rsid w:val="000B3303"/>
    <w:rsid w:val="000B4E85"/>
    <w:rsid w:val="000B6525"/>
    <w:rsid w:val="000C1CC1"/>
    <w:rsid w:val="000C2A85"/>
    <w:rsid w:val="000E12B2"/>
    <w:rsid w:val="000E5E7C"/>
    <w:rsid w:val="000E6979"/>
    <w:rsid w:val="000E6CBB"/>
    <w:rsid w:val="000F1346"/>
    <w:rsid w:val="000F4ECB"/>
    <w:rsid w:val="000F6853"/>
    <w:rsid w:val="000F750A"/>
    <w:rsid w:val="00106EE7"/>
    <w:rsid w:val="00110595"/>
    <w:rsid w:val="00125824"/>
    <w:rsid w:val="00125E2E"/>
    <w:rsid w:val="0013061F"/>
    <w:rsid w:val="001405B1"/>
    <w:rsid w:val="001415C6"/>
    <w:rsid w:val="001415C7"/>
    <w:rsid w:val="00143612"/>
    <w:rsid w:val="00154541"/>
    <w:rsid w:val="001610B1"/>
    <w:rsid w:val="00161FF6"/>
    <w:rsid w:val="0016308B"/>
    <w:rsid w:val="00166612"/>
    <w:rsid w:val="00167D35"/>
    <w:rsid w:val="00173D23"/>
    <w:rsid w:val="00176125"/>
    <w:rsid w:val="00182075"/>
    <w:rsid w:val="00192176"/>
    <w:rsid w:val="001A11F4"/>
    <w:rsid w:val="001A710A"/>
    <w:rsid w:val="001B5283"/>
    <w:rsid w:val="001B52B8"/>
    <w:rsid w:val="001B7102"/>
    <w:rsid w:val="001C01A9"/>
    <w:rsid w:val="001C7CED"/>
    <w:rsid w:val="001D27B3"/>
    <w:rsid w:val="001D6DA7"/>
    <w:rsid w:val="00201889"/>
    <w:rsid w:val="0020511F"/>
    <w:rsid w:val="002159F7"/>
    <w:rsid w:val="00216A4F"/>
    <w:rsid w:val="00231A7F"/>
    <w:rsid w:val="00233E4A"/>
    <w:rsid w:val="0023419E"/>
    <w:rsid w:val="00250A7B"/>
    <w:rsid w:val="002511E7"/>
    <w:rsid w:val="0025233D"/>
    <w:rsid w:val="002774B8"/>
    <w:rsid w:val="00282A83"/>
    <w:rsid w:val="00283F90"/>
    <w:rsid w:val="002846F5"/>
    <w:rsid w:val="00294675"/>
    <w:rsid w:val="002B3C87"/>
    <w:rsid w:val="002B7FAD"/>
    <w:rsid w:val="002C06B6"/>
    <w:rsid w:val="002C0750"/>
    <w:rsid w:val="002C34B5"/>
    <w:rsid w:val="002D4B16"/>
    <w:rsid w:val="002E12C1"/>
    <w:rsid w:val="002E54DC"/>
    <w:rsid w:val="002E6401"/>
    <w:rsid w:val="002F0918"/>
    <w:rsid w:val="002F29F9"/>
    <w:rsid w:val="002F394B"/>
    <w:rsid w:val="003079EE"/>
    <w:rsid w:val="00311290"/>
    <w:rsid w:val="003119A8"/>
    <w:rsid w:val="00311DD5"/>
    <w:rsid w:val="00314F07"/>
    <w:rsid w:val="003163F3"/>
    <w:rsid w:val="00331CA0"/>
    <w:rsid w:val="00335B95"/>
    <w:rsid w:val="00346D5A"/>
    <w:rsid w:val="003656C8"/>
    <w:rsid w:val="003659D6"/>
    <w:rsid w:val="00374B60"/>
    <w:rsid w:val="00387C3F"/>
    <w:rsid w:val="003A4258"/>
    <w:rsid w:val="003A7193"/>
    <w:rsid w:val="003A7950"/>
    <w:rsid w:val="003B1060"/>
    <w:rsid w:val="003B1DFD"/>
    <w:rsid w:val="003B3A05"/>
    <w:rsid w:val="003C0D72"/>
    <w:rsid w:val="003C1491"/>
    <w:rsid w:val="003C2674"/>
    <w:rsid w:val="003C2A3B"/>
    <w:rsid w:val="003C4980"/>
    <w:rsid w:val="003D0000"/>
    <w:rsid w:val="003E3049"/>
    <w:rsid w:val="003E4B60"/>
    <w:rsid w:val="003E6D27"/>
    <w:rsid w:val="003E6F54"/>
    <w:rsid w:val="003F5082"/>
    <w:rsid w:val="0041056E"/>
    <w:rsid w:val="00412A4B"/>
    <w:rsid w:val="004243C8"/>
    <w:rsid w:val="00425BA8"/>
    <w:rsid w:val="00426705"/>
    <w:rsid w:val="00434B14"/>
    <w:rsid w:val="00443EC1"/>
    <w:rsid w:val="00444F78"/>
    <w:rsid w:val="004463CE"/>
    <w:rsid w:val="00450500"/>
    <w:rsid w:val="00452FA3"/>
    <w:rsid w:val="0045342D"/>
    <w:rsid w:val="00463A86"/>
    <w:rsid w:val="004726EF"/>
    <w:rsid w:val="0048406F"/>
    <w:rsid w:val="0048769C"/>
    <w:rsid w:val="00490616"/>
    <w:rsid w:val="004A0537"/>
    <w:rsid w:val="004A206E"/>
    <w:rsid w:val="004A2D9E"/>
    <w:rsid w:val="004B2A4D"/>
    <w:rsid w:val="004B5182"/>
    <w:rsid w:val="004B7F05"/>
    <w:rsid w:val="004D23E2"/>
    <w:rsid w:val="004D37F5"/>
    <w:rsid w:val="004D3914"/>
    <w:rsid w:val="004D7530"/>
    <w:rsid w:val="004D7943"/>
    <w:rsid w:val="004F2323"/>
    <w:rsid w:val="004F4668"/>
    <w:rsid w:val="004F7D86"/>
    <w:rsid w:val="005022E0"/>
    <w:rsid w:val="005110A7"/>
    <w:rsid w:val="00516B1D"/>
    <w:rsid w:val="00522E88"/>
    <w:rsid w:val="005274BD"/>
    <w:rsid w:val="00532320"/>
    <w:rsid w:val="00534FDE"/>
    <w:rsid w:val="00541B5E"/>
    <w:rsid w:val="00554729"/>
    <w:rsid w:val="00581F5A"/>
    <w:rsid w:val="00585519"/>
    <w:rsid w:val="00587B99"/>
    <w:rsid w:val="00590016"/>
    <w:rsid w:val="00592BF2"/>
    <w:rsid w:val="005A1352"/>
    <w:rsid w:val="005B0B3E"/>
    <w:rsid w:val="005C4644"/>
    <w:rsid w:val="005C5112"/>
    <w:rsid w:val="005C74ED"/>
    <w:rsid w:val="005D0FED"/>
    <w:rsid w:val="005D3E1F"/>
    <w:rsid w:val="005E1306"/>
    <w:rsid w:val="005F16AF"/>
    <w:rsid w:val="005F5D2C"/>
    <w:rsid w:val="00600467"/>
    <w:rsid w:val="0060251C"/>
    <w:rsid w:val="006055B5"/>
    <w:rsid w:val="00611739"/>
    <w:rsid w:val="00622FEA"/>
    <w:rsid w:val="006243AD"/>
    <w:rsid w:val="00631DD6"/>
    <w:rsid w:val="00632895"/>
    <w:rsid w:val="00640135"/>
    <w:rsid w:val="00644872"/>
    <w:rsid w:val="006458D4"/>
    <w:rsid w:val="00652F7B"/>
    <w:rsid w:val="006546E2"/>
    <w:rsid w:val="00660032"/>
    <w:rsid w:val="00663C62"/>
    <w:rsid w:val="00672D7E"/>
    <w:rsid w:val="006800E5"/>
    <w:rsid w:val="00690D2E"/>
    <w:rsid w:val="006B00BD"/>
    <w:rsid w:val="006B3632"/>
    <w:rsid w:val="006D0363"/>
    <w:rsid w:val="006D36D7"/>
    <w:rsid w:val="006D521C"/>
    <w:rsid w:val="006E47D6"/>
    <w:rsid w:val="006F687E"/>
    <w:rsid w:val="006F6D6F"/>
    <w:rsid w:val="006F7113"/>
    <w:rsid w:val="00702F81"/>
    <w:rsid w:val="00706392"/>
    <w:rsid w:val="007077E8"/>
    <w:rsid w:val="00707A5D"/>
    <w:rsid w:val="007126CE"/>
    <w:rsid w:val="007136F2"/>
    <w:rsid w:val="00714BD2"/>
    <w:rsid w:val="00714DE4"/>
    <w:rsid w:val="007376AD"/>
    <w:rsid w:val="0074091A"/>
    <w:rsid w:val="00742E32"/>
    <w:rsid w:val="00751EFD"/>
    <w:rsid w:val="00755D44"/>
    <w:rsid w:val="00757DBF"/>
    <w:rsid w:val="007649A0"/>
    <w:rsid w:val="00767927"/>
    <w:rsid w:val="00780291"/>
    <w:rsid w:val="007816E2"/>
    <w:rsid w:val="00785C91"/>
    <w:rsid w:val="007A16FE"/>
    <w:rsid w:val="007C12B9"/>
    <w:rsid w:val="007C2EFC"/>
    <w:rsid w:val="007D1677"/>
    <w:rsid w:val="007D62AC"/>
    <w:rsid w:val="007E36B3"/>
    <w:rsid w:val="007E4572"/>
    <w:rsid w:val="007F7B7F"/>
    <w:rsid w:val="0080447D"/>
    <w:rsid w:val="00820768"/>
    <w:rsid w:val="008246B9"/>
    <w:rsid w:val="008268F4"/>
    <w:rsid w:val="00841497"/>
    <w:rsid w:val="00842D30"/>
    <w:rsid w:val="00855561"/>
    <w:rsid w:val="008A6166"/>
    <w:rsid w:val="008B75B0"/>
    <w:rsid w:val="008C5F8D"/>
    <w:rsid w:val="008C7C1D"/>
    <w:rsid w:val="008D1FB2"/>
    <w:rsid w:val="008F0155"/>
    <w:rsid w:val="008F3E13"/>
    <w:rsid w:val="008F4676"/>
    <w:rsid w:val="009062F8"/>
    <w:rsid w:val="00907F30"/>
    <w:rsid w:val="00915F88"/>
    <w:rsid w:val="00922473"/>
    <w:rsid w:val="00922A28"/>
    <w:rsid w:val="00926F32"/>
    <w:rsid w:val="00932B19"/>
    <w:rsid w:val="0093699A"/>
    <w:rsid w:val="00943E1D"/>
    <w:rsid w:val="0094494B"/>
    <w:rsid w:val="00953070"/>
    <w:rsid w:val="00955AAA"/>
    <w:rsid w:val="009629EC"/>
    <w:rsid w:val="009723D8"/>
    <w:rsid w:val="00974C06"/>
    <w:rsid w:val="009774F7"/>
    <w:rsid w:val="00980091"/>
    <w:rsid w:val="00984717"/>
    <w:rsid w:val="00985A56"/>
    <w:rsid w:val="00991125"/>
    <w:rsid w:val="009A4AEA"/>
    <w:rsid w:val="009B2445"/>
    <w:rsid w:val="009B41F7"/>
    <w:rsid w:val="009B61EC"/>
    <w:rsid w:val="009C0E2F"/>
    <w:rsid w:val="009D1EBF"/>
    <w:rsid w:val="009D714E"/>
    <w:rsid w:val="009D79BD"/>
    <w:rsid w:val="009E0B6E"/>
    <w:rsid w:val="009F0BB7"/>
    <w:rsid w:val="009F0D1B"/>
    <w:rsid w:val="009F3E6F"/>
    <w:rsid w:val="009F7E0D"/>
    <w:rsid w:val="00A06FE6"/>
    <w:rsid w:val="00A116D6"/>
    <w:rsid w:val="00A24879"/>
    <w:rsid w:val="00A25106"/>
    <w:rsid w:val="00A41897"/>
    <w:rsid w:val="00A42A59"/>
    <w:rsid w:val="00A4306C"/>
    <w:rsid w:val="00A43219"/>
    <w:rsid w:val="00A4358C"/>
    <w:rsid w:val="00A46615"/>
    <w:rsid w:val="00A51B8B"/>
    <w:rsid w:val="00A613A1"/>
    <w:rsid w:val="00A6245F"/>
    <w:rsid w:val="00A645AC"/>
    <w:rsid w:val="00A71493"/>
    <w:rsid w:val="00A72179"/>
    <w:rsid w:val="00A7405F"/>
    <w:rsid w:val="00A75581"/>
    <w:rsid w:val="00A90C01"/>
    <w:rsid w:val="00AA7EC5"/>
    <w:rsid w:val="00AB09B9"/>
    <w:rsid w:val="00AB6F1B"/>
    <w:rsid w:val="00AE0266"/>
    <w:rsid w:val="00AE1D1F"/>
    <w:rsid w:val="00AE7E8B"/>
    <w:rsid w:val="00AE7EF7"/>
    <w:rsid w:val="00AF1F76"/>
    <w:rsid w:val="00B04F40"/>
    <w:rsid w:val="00B05BFD"/>
    <w:rsid w:val="00B16641"/>
    <w:rsid w:val="00B25530"/>
    <w:rsid w:val="00B26EB9"/>
    <w:rsid w:val="00B27734"/>
    <w:rsid w:val="00B30D1A"/>
    <w:rsid w:val="00B30E43"/>
    <w:rsid w:val="00B3327A"/>
    <w:rsid w:val="00B3667A"/>
    <w:rsid w:val="00B376A3"/>
    <w:rsid w:val="00B419B8"/>
    <w:rsid w:val="00B45202"/>
    <w:rsid w:val="00B47EB7"/>
    <w:rsid w:val="00B5099B"/>
    <w:rsid w:val="00B54F15"/>
    <w:rsid w:val="00B55A2D"/>
    <w:rsid w:val="00B55E0E"/>
    <w:rsid w:val="00B606E1"/>
    <w:rsid w:val="00B63D05"/>
    <w:rsid w:val="00B72622"/>
    <w:rsid w:val="00B75ABA"/>
    <w:rsid w:val="00B81A37"/>
    <w:rsid w:val="00B941F3"/>
    <w:rsid w:val="00B94D6F"/>
    <w:rsid w:val="00BA07F5"/>
    <w:rsid w:val="00BA2287"/>
    <w:rsid w:val="00BB1DEF"/>
    <w:rsid w:val="00BC38C2"/>
    <w:rsid w:val="00BD086F"/>
    <w:rsid w:val="00BD6219"/>
    <w:rsid w:val="00BD6677"/>
    <w:rsid w:val="00BE1847"/>
    <w:rsid w:val="00C06479"/>
    <w:rsid w:val="00C10C2A"/>
    <w:rsid w:val="00C2344E"/>
    <w:rsid w:val="00C324BE"/>
    <w:rsid w:val="00C33C6F"/>
    <w:rsid w:val="00C43496"/>
    <w:rsid w:val="00C43A8C"/>
    <w:rsid w:val="00C507FB"/>
    <w:rsid w:val="00C55B96"/>
    <w:rsid w:val="00C56FA5"/>
    <w:rsid w:val="00C71555"/>
    <w:rsid w:val="00C74449"/>
    <w:rsid w:val="00C75950"/>
    <w:rsid w:val="00C75EC2"/>
    <w:rsid w:val="00C81434"/>
    <w:rsid w:val="00C9033E"/>
    <w:rsid w:val="00C9154D"/>
    <w:rsid w:val="00C95E67"/>
    <w:rsid w:val="00CB0B3B"/>
    <w:rsid w:val="00CB4557"/>
    <w:rsid w:val="00CB5A4D"/>
    <w:rsid w:val="00CB7E7C"/>
    <w:rsid w:val="00CC1901"/>
    <w:rsid w:val="00CD243E"/>
    <w:rsid w:val="00CD5B83"/>
    <w:rsid w:val="00CE4D37"/>
    <w:rsid w:val="00CE60C2"/>
    <w:rsid w:val="00CE68AB"/>
    <w:rsid w:val="00CE69EA"/>
    <w:rsid w:val="00CE6B3D"/>
    <w:rsid w:val="00CF6FBF"/>
    <w:rsid w:val="00D0447A"/>
    <w:rsid w:val="00D07EE9"/>
    <w:rsid w:val="00D11609"/>
    <w:rsid w:val="00D2055E"/>
    <w:rsid w:val="00D20D5B"/>
    <w:rsid w:val="00D44388"/>
    <w:rsid w:val="00D46798"/>
    <w:rsid w:val="00D515F3"/>
    <w:rsid w:val="00D658A1"/>
    <w:rsid w:val="00D65942"/>
    <w:rsid w:val="00D871D5"/>
    <w:rsid w:val="00D91896"/>
    <w:rsid w:val="00D95BE5"/>
    <w:rsid w:val="00DB55DA"/>
    <w:rsid w:val="00DB5AFE"/>
    <w:rsid w:val="00DB64DA"/>
    <w:rsid w:val="00DC579A"/>
    <w:rsid w:val="00DD1F22"/>
    <w:rsid w:val="00DD790E"/>
    <w:rsid w:val="00DE271A"/>
    <w:rsid w:val="00DE6083"/>
    <w:rsid w:val="00DF1BC3"/>
    <w:rsid w:val="00E03BE5"/>
    <w:rsid w:val="00E178D6"/>
    <w:rsid w:val="00E2635C"/>
    <w:rsid w:val="00E53EAA"/>
    <w:rsid w:val="00E562B8"/>
    <w:rsid w:val="00E7770C"/>
    <w:rsid w:val="00E80405"/>
    <w:rsid w:val="00E840CD"/>
    <w:rsid w:val="00E84B5D"/>
    <w:rsid w:val="00E9183B"/>
    <w:rsid w:val="00E93575"/>
    <w:rsid w:val="00E94A22"/>
    <w:rsid w:val="00EA07F3"/>
    <w:rsid w:val="00EA43DE"/>
    <w:rsid w:val="00EA4E72"/>
    <w:rsid w:val="00EA7E6D"/>
    <w:rsid w:val="00EB1588"/>
    <w:rsid w:val="00EB5804"/>
    <w:rsid w:val="00ED2A4F"/>
    <w:rsid w:val="00ED5DD6"/>
    <w:rsid w:val="00EF63CA"/>
    <w:rsid w:val="00EF7579"/>
    <w:rsid w:val="00F1535F"/>
    <w:rsid w:val="00F50B69"/>
    <w:rsid w:val="00F5533B"/>
    <w:rsid w:val="00F65008"/>
    <w:rsid w:val="00F7095B"/>
    <w:rsid w:val="00F73102"/>
    <w:rsid w:val="00F751B5"/>
    <w:rsid w:val="00F77A44"/>
    <w:rsid w:val="00F81E79"/>
    <w:rsid w:val="00F86F43"/>
    <w:rsid w:val="00F91CFE"/>
    <w:rsid w:val="00F92D7F"/>
    <w:rsid w:val="00F952A0"/>
    <w:rsid w:val="00FA70E2"/>
    <w:rsid w:val="00FA7538"/>
    <w:rsid w:val="00FB216C"/>
    <w:rsid w:val="00FC4291"/>
    <w:rsid w:val="00FC47EE"/>
    <w:rsid w:val="00FC7D42"/>
    <w:rsid w:val="00FD1267"/>
    <w:rsid w:val="00FD343E"/>
    <w:rsid w:val="00FD49AE"/>
    <w:rsid w:val="00FD4D0E"/>
    <w:rsid w:val="00FE069F"/>
    <w:rsid w:val="00FE0A9B"/>
    <w:rsid w:val="00FE188E"/>
    <w:rsid w:val="00FE1AFC"/>
    <w:rsid w:val="00FE442E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906F"/>
  <w15:docId w15:val="{9F62437A-43B3-4967-B01B-C1FA6B1A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7F5"/>
  </w:style>
  <w:style w:type="paragraph" w:styleId="Nadpis1">
    <w:name w:val="heading 1"/>
    <w:basedOn w:val="Normln"/>
    <w:next w:val="Normln"/>
    <w:link w:val="Nadpis1Char"/>
    <w:uiPriority w:val="9"/>
    <w:qFormat/>
    <w:rsid w:val="00C10C2A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0C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4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A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7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10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677"/>
  </w:style>
  <w:style w:type="paragraph" w:styleId="Zpat">
    <w:name w:val="footer"/>
    <w:basedOn w:val="Normln"/>
    <w:link w:val="Zpat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677"/>
  </w:style>
  <w:style w:type="character" w:styleId="Siln">
    <w:name w:val="Strong"/>
    <w:basedOn w:val="Standardnpsmoodstavce"/>
    <w:uiPriority w:val="22"/>
    <w:qFormat/>
    <w:rsid w:val="003B1060"/>
    <w:rPr>
      <w:b/>
      <w:bCs/>
      <w:i w:val="0"/>
      <w:iCs w:val="0"/>
    </w:rPr>
  </w:style>
  <w:style w:type="character" w:customStyle="1" w:styleId="MSKNormalChar">
    <w:name w:val="MSK_Normal Char"/>
    <w:basedOn w:val="Standardnpsmoodstavce"/>
    <w:link w:val="MSKNormal"/>
    <w:locked/>
    <w:rsid w:val="004D753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4D7530"/>
    <w:pPr>
      <w:spacing w:after="0" w:line="240" w:lineRule="auto"/>
      <w:jc w:val="both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10C2A"/>
    <w:rPr>
      <w:rFonts w:ascii="Tahoma" w:eastAsiaTheme="majorEastAsia" w:hAnsi="Tahoma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10C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F03-013D-4F68-B543-6DB434BF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9</Pages>
  <Words>2663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Běhálková Karin</cp:lastModifiedBy>
  <cp:revision>203</cp:revision>
  <cp:lastPrinted>2019-08-14T12:13:00Z</cp:lastPrinted>
  <dcterms:created xsi:type="dcterms:W3CDTF">2018-08-20T07:15:00Z</dcterms:created>
  <dcterms:modified xsi:type="dcterms:W3CDTF">2021-08-23T09:41:00Z</dcterms:modified>
</cp:coreProperties>
</file>