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8F3B" w14:textId="77777777" w:rsidR="00D370EB" w:rsidRPr="00921C78" w:rsidRDefault="00D370EB" w:rsidP="00D370EB">
      <w:pPr>
        <w:rPr>
          <w:b/>
          <w:bCs/>
          <w:sz w:val="30"/>
        </w:rPr>
      </w:pPr>
    </w:p>
    <w:p w14:paraId="76BE8B2B" w14:textId="77777777" w:rsidR="00D370EB" w:rsidRPr="00CA64A1" w:rsidRDefault="00D370EB" w:rsidP="00D370EB">
      <w:pPr>
        <w:rPr>
          <w:rFonts w:ascii="Tahoma" w:hAnsi="Tahoma" w:cs="Tahoma"/>
          <w:bCs/>
          <w:sz w:val="30"/>
        </w:rPr>
      </w:pPr>
      <w:r>
        <w:rPr>
          <w:rFonts w:ascii="Tahoma" w:hAnsi="Tahoma" w:cs="Tahoma"/>
          <w:bCs/>
          <w:noProof/>
          <w:sz w:val="20"/>
        </w:rPr>
        <w:drawing>
          <wp:anchor distT="0" distB="0" distL="114300" distR="114300" simplePos="0" relativeHeight="251659264" behindDoc="0" locked="0" layoutInCell="1" allowOverlap="0" wp14:anchorId="0732AF4E" wp14:editId="3E7C08DF">
            <wp:simplePos x="0" y="0"/>
            <wp:positionH relativeFrom="column">
              <wp:posOffset>114300</wp:posOffset>
            </wp:positionH>
            <wp:positionV relativeFrom="paragraph">
              <wp:posOffset>9525</wp:posOffset>
            </wp:positionV>
            <wp:extent cx="1190625" cy="1460500"/>
            <wp:effectExtent l="0" t="0" r="0" b="0"/>
            <wp:wrapSquare wrapText="bothSides"/>
            <wp:docPr id="6" name="obrázek 6" descr="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0500"/>
                    </a:xfrm>
                    <a:prstGeom prst="rect">
                      <a:avLst/>
                    </a:prstGeom>
                    <a:noFill/>
                  </pic:spPr>
                </pic:pic>
              </a:graphicData>
            </a:graphic>
            <wp14:sizeRelH relativeFrom="page">
              <wp14:pctWidth>0</wp14:pctWidth>
            </wp14:sizeRelH>
            <wp14:sizeRelV relativeFrom="page">
              <wp14:pctHeight>0</wp14:pctHeight>
            </wp14:sizeRelV>
          </wp:anchor>
        </w:drawing>
      </w:r>
      <w:r w:rsidRPr="00CA64A1">
        <w:rPr>
          <w:rFonts w:ascii="Tahoma" w:hAnsi="Tahoma" w:cs="Tahoma"/>
          <w:bCs/>
          <w:sz w:val="30"/>
        </w:rPr>
        <w:t xml:space="preserve">    MORAVSKOSLEZSKÝ</w:t>
      </w:r>
    </w:p>
    <w:p w14:paraId="06EDEE6E" w14:textId="77777777" w:rsidR="00D370EB" w:rsidRPr="00CA64A1" w:rsidRDefault="00D370EB" w:rsidP="00D370EB">
      <w:pPr>
        <w:rPr>
          <w:rFonts w:ascii="Tahoma" w:hAnsi="Tahoma" w:cs="Tahoma"/>
        </w:rPr>
      </w:pPr>
      <w:r w:rsidRPr="00CA64A1">
        <w:rPr>
          <w:rFonts w:ascii="Tahoma" w:hAnsi="Tahoma" w:cs="Tahoma"/>
          <w:bCs/>
          <w:sz w:val="30"/>
        </w:rPr>
        <w:t xml:space="preserve">    KRAJ</w:t>
      </w:r>
    </w:p>
    <w:p w14:paraId="70E0A489" w14:textId="77777777" w:rsidR="00D370EB" w:rsidRPr="00921C78" w:rsidRDefault="00D370EB" w:rsidP="00D370EB">
      <w:pPr>
        <w:jc w:val="center"/>
      </w:pPr>
    </w:p>
    <w:p w14:paraId="75150CE9" w14:textId="77777777" w:rsidR="00D370EB" w:rsidRPr="00921C78" w:rsidRDefault="00D370EB" w:rsidP="00D370EB">
      <w:pPr>
        <w:jc w:val="center"/>
      </w:pPr>
    </w:p>
    <w:p w14:paraId="439D2B46" w14:textId="77777777" w:rsidR="00D370EB" w:rsidRPr="00921C78" w:rsidRDefault="00D370EB" w:rsidP="00D370EB">
      <w:pPr>
        <w:jc w:val="center"/>
      </w:pPr>
    </w:p>
    <w:p w14:paraId="7F91F42B" w14:textId="77777777" w:rsidR="00D370EB" w:rsidRPr="00921C78" w:rsidRDefault="00D370EB" w:rsidP="00D370EB">
      <w:pPr>
        <w:jc w:val="center"/>
      </w:pPr>
    </w:p>
    <w:p w14:paraId="1D510A5D" w14:textId="77777777" w:rsidR="00D370EB" w:rsidRPr="00921C78" w:rsidRDefault="00D370EB" w:rsidP="00D370EB">
      <w:pPr>
        <w:jc w:val="center"/>
      </w:pPr>
    </w:p>
    <w:p w14:paraId="49074543" w14:textId="77777777" w:rsidR="00D370EB" w:rsidRPr="00921C78" w:rsidRDefault="00D370EB" w:rsidP="00D370EB">
      <w:pPr>
        <w:jc w:val="center"/>
      </w:pPr>
    </w:p>
    <w:p w14:paraId="36F8ED03" w14:textId="77777777" w:rsidR="00D370EB" w:rsidRPr="00921C78" w:rsidRDefault="00D370EB" w:rsidP="00D370EB">
      <w:pPr>
        <w:jc w:val="center"/>
      </w:pPr>
    </w:p>
    <w:p w14:paraId="06A9657C" w14:textId="77777777" w:rsidR="00D370EB" w:rsidRPr="00921C78" w:rsidRDefault="00D370EB" w:rsidP="00D370EB">
      <w:pPr>
        <w:jc w:val="center"/>
      </w:pPr>
    </w:p>
    <w:p w14:paraId="2BA6EDE9" w14:textId="77777777" w:rsidR="00D370EB" w:rsidRPr="00921C78" w:rsidRDefault="00D370EB" w:rsidP="00D370EB">
      <w:pPr>
        <w:jc w:val="center"/>
      </w:pPr>
    </w:p>
    <w:p w14:paraId="3E01CF66" w14:textId="77777777" w:rsidR="00D370EB" w:rsidRPr="00921C78" w:rsidRDefault="00D370EB" w:rsidP="00D370EB">
      <w:pPr>
        <w:jc w:val="center"/>
      </w:pPr>
    </w:p>
    <w:p w14:paraId="667E4808" w14:textId="77777777" w:rsidR="00D370EB" w:rsidRPr="00921C78" w:rsidRDefault="00D370EB" w:rsidP="00D370EB">
      <w:pPr>
        <w:jc w:val="center"/>
      </w:pPr>
    </w:p>
    <w:p w14:paraId="159E3BCB" w14:textId="77777777" w:rsidR="00D370EB" w:rsidRPr="00921C78" w:rsidRDefault="00D370EB" w:rsidP="00D370EB">
      <w:pPr>
        <w:jc w:val="center"/>
      </w:pPr>
    </w:p>
    <w:p w14:paraId="726888E6" w14:textId="77777777" w:rsidR="00D370EB" w:rsidRPr="00921C78" w:rsidRDefault="00D370EB" w:rsidP="00D370EB">
      <w:pPr>
        <w:jc w:val="center"/>
      </w:pPr>
    </w:p>
    <w:p w14:paraId="2F58DB90" w14:textId="77777777" w:rsidR="00D370EB" w:rsidRPr="00921C78" w:rsidRDefault="00D370EB" w:rsidP="00D370EB">
      <w:pPr>
        <w:jc w:val="center"/>
      </w:pPr>
    </w:p>
    <w:p w14:paraId="7EEBEE76" w14:textId="77777777" w:rsidR="00D370EB" w:rsidRPr="00921C78" w:rsidRDefault="00D370EB" w:rsidP="00D370EB">
      <w:pPr>
        <w:jc w:val="center"/>
      </w:pPr>
    </w:p>
    <w:p w14:paraId="3C282C30" w14:textId="77777777" w:rsidR="00D370EB" w:rsidRPr="00921C78" w:rsidRDefault="00D370EB" w:rsidP="00D370EB">
      <w:pPr>
        <w:jc w:val="center"/>
      </w:pPr>
    </w:p>
    <w:p w14:paraId="6C340913" w14:textId="77777777" w:rsidR="00D370EB" w:rsidRPr="00921C78" w:rsidRDefault="00D370EB" w:rsidP="00D370EB">
      <w:pPr>
        <w:jc w:val="center"/>
      </w:pPr>
    </w:p>
    <w:p w14:paraId="234CFD5D" w14:textId="77777777" w:rsidR="00D370EB" w:rsidRPr="00921C78" w:rsidRDefault="00D370EB" w:rsidP="00D370EB">
      <w:pPr>
        <w:jc w:val="center"/>
      </w:pPr>
    </w:p>
    <w:p w14:paraId="5BA09C25" w14:textId="77777777" w:rsidR="00D370EB" w:rsidRPr="00921C78" w:rsidRDefault="00D370EB" w:rsidP="00D370EB">
      <w:pPr>
        <w:jc w:val="center"/>
      </w:pPr>
    </w:p>
    <w:p w14:paraId="3B931C98" w14:textId="77777777" w:rsidR="00D370EB" w:rsidRPr="00921C78" w:rsidRDefault="00D370EB" w:rsidP="00D370EB">
      <w:pPr>
        <w:jc w:val="center"/>
      </w:pPr>
    </w:p>
    <w:p w14:paraId="15BCD54E" w14:textId="77777777" w:rsidR="00D370EB" w:rsidRPr="00921C78" w:rsidRDefault="00D370EB" w:rsidP="00D370EB">
      <w:pPr>
        <w:jc w:val="center"/>
      </w:pPr>
    </w:p>
    <w:p w14:paraId="084FBBE6" w14:textId="77777777" w:rsidR="00D370EB" w:rsidRPr="00921C78" w:rsidRDefault="00D370EB" w:rsidP="00D370EB">
      <w:pPr>
        <w:jc w:val="center"/>
      </w:pPr>
    </w:p>
    <w:p w14:paraId="75E8209F" w14:textId="77777777" w:rsidR="00D370EB" w:rsidRPr="00921C78" w:rsidRDefault="00D370EB" w:rsidP="00D370EB">
      <w:pPr>
        <w:pStyle w:val="Zkladntext"/>
      </w:pPr>
    </w:p>
    <w:p w14:paraId="65386B32" w14:textId="77777777" w:rsidR="00D370EB" w:rsidRPr="00921C78" w:rsidRDefault="00D370EB" w:rsidP="00D370EB">
      <w:pPr>
        <w:pStyle w:val="Zkladntext"/>
      </w:pPr>
    </w:p>
    <w:p w14:paraId="40754BAF" w14:textId="77777777" w:rsidR="00D370EB" w:rsidRPr="00921C78" w:rsidRDefault="00D370EB" w:rsidP="00D370EB">
      <w:pPr>
        <w:pStyle w:val="Zkladntext"/>
      </w:pPr>
    </w:p>
    <w:p w14:paraId="6EE54F57" w14:textId="10A1EE61" w:rsidR="00D370EB" w:rsidRPr="00921C78" w:rsidRDefault="0003240C" w:rsidP="00D370EB">
      <w:pPr>
        <w:jc w:val="right"/>
        <w:rPr>
          <w:rFonts w:ascii="Lucida Sans Unicode" w:hAnsi="Lucida Sans Unicode" w:cs="Lucida Sans Unicode"/>
          <w:sz w:val="50"/>
        </w:rPr>
      </w:pPr>
      <w:r>
        <w:rPr>
          <w:rFonts w:ascii="Lucida Sans Unicode" w:hAnsi="Lucida Sans Unicode" w:cs="Lucida Sans Unicode"/>
          <w:sz w:val="50"/>
        </w:rPr>
        <w:t>Střednědobý výhled rozpočtu</w:t>
      </w:r>
    </w:p>
    <w:p w14:paraId="6E21A37B" w14:textId="77777777" w:rsidR="00D370EB" w:rsidRPr="00921C78" w:rsidRDefault="00D370EB" w:rsidP="00D370EB">
      <w:pPr>
        <w:jc w:val="right"/>
        <w:rPr>
          <w:rFonts w:ascii="Lucida Sans Unicode" w:hAnsi="Lucida Sans Unicode" w:cs="Lucida Sans Unicode"/>
          <w:sz w:val="50"/>
        </w:rPr>
      </w:pPr>
      <w:r w:rsidRPr="00921C78">
        <w:rPr>
          <w:rFonts w:ascii="Lucida Sans Unicode" w:hAnsi="Lucida Sans Unicode" w:cs="Lucida Sans Unicode"/>
          <w:sz w:val="50"/>
        </w:rPr>
        <w:t>Moravskoslezského kraje</w:t>
      </w:r>
    </w:p>
    <w:p w14:paraId="1B898EA9" w14:textId="059D74AD" w:rsidR="009B5AB7" w:rsidRDefault="0003240C" w:rsidP="00D370EB">
      <w:pPr>
        <w:jc w:val="right"/>
        <w:rPr>
          <w:rFonts w:ascii="Lucida Sans Unicode" w:hAnsi="Lucida Sans Unicode" w:cs="Lucida Sans Unicode"/>
          <w:sz w:val="50"/>
        </w:rPr>
      </w:pPr>
      <w:r>
        <w:rPr>
          <w:rFonts w:ascii="Lucida Sans Unicode" w:hAnsi="Lucida Sans Unicode" w:cs="Lucida Sans Unicode"/>
          <w:sz w:val="50"/>
        </w:rPr>
        <w:t>n</w:t>
      </w:r>
      <w:r w:rsidR="00D370EB" w:rsidRPr="00921C78">
        <w:rPr>
          <w:rFonts w:ascii="Lucida Sans Unicode" w:hAnsi="Lucida Sans Unicode" w:cs="Lucida Sans Unicode"/>
          <w:sz w:val="50"/>
        </w:rPr>
        <w:t xml:space="preserve">a </w:t>
      </w:r>
      <w:r>
        <w:rPr>
          <w:rFonts w:ascii="Lucida Sans Unicode" w:hAnsi="Lucida Sans Unicode" w:cs="Lucida Sans Unicode"/>
          <w:sz w:val="50"/>
        </w:rPr>
        <w:t>léta</w:t>
      </w:r>
      <w:r w:rsidR="00D370EB" w:rsidRPr="00921C78">
        <w:rPr>
          <w:rFonts w:ascii="Lucida Sans Unicode" w:hAnsi="Lucida Sans Unicode" w:cs="Lucida Sans Unicode"/>
          <w:sz w:val="50"/>
        </w:rPr>
        <w:t xml:space="preserve"> </w:t>
      </w:r>
      <w:proofErr w:type="gramStart"/>
      <w:r w:rsidR="00D370EB" w:rsidRPr="00921C78">
        <w:rPr>
          <w:rFonts w:ascii="Lucida Sans Unicode" w:hAnsi="Lucida Sans Unicode" w:cs="Lucida Sans Unicode"/>
          <w:sz w:val="50"/>
        </w:rPr>
        <w:t>20</w:t>
      </w:r>
      <w:r w:rsidR="00D370EB">
        <w:rPr>
          <w:rFonts w:ascii="Lucida Sans Unicode" w:hAnsi="Lucida Sans Unicode" w:cs="Lucida Sans Unicode"/>
          <w:sz w:val="50"/>
        </w:rPr>
        <w:t>2</w:t>
      </w:r>
      <w:r>
        <w:rPr>
          <w:rFonts w:ascii="Lucida Sans Unicode" w:hAnsi="Lucida Sans Unicode" w:cs="Lucida Sans Unicode"/>
          <w:sz w:val="50"/>
        </w:rPr>
        <w:t>2 - 2025</w:t>
      </w:r>
      <w:proofErr w:type="gramEnd"/>
    </w:p>
    <w:p w14:paraId="28325661" w14:textId="77777777" w:rsidR="009B5AB7" w:rsidRDefault="009B5AB7">
      <w:pPr>
        <w:rPr>
          <w:rFonts w:ascii="Lucida Sans Unicode" w:hAnsi="Lucida Sans Unicode" w:cs="Lucida Sans Unicode"/>
          <w:sz w:val="50"/>
        </w:rPr>
      </w:pPr>
      <w:r>
        <w:rPr>
          <w:rFonts w:ascii="Lucida Sans Unicode" w:hAnsi="Lucida Sans Unicode" w:cs="Lucida Sans Unicode"/>
          <w:sz w:val="50"/>
        </w:rPr>
        <w:br w:type="page"/>
      </w:r>
    </w:p>
    <w:sdt>
      <w:sdtPr>
        <w:rPr>
          <w:rFonts w:ascii="Tahoma" w:eastAsia="Times New Roman" w:hAnsi="Tahoma" w:cs="Tahoma"/>
          <w:color w:val="auto"/>
          <w:sz w:val="24"/>
          <w:szCs w:val="24"/>
        </w:rPr>
        <w:id w:val="1845350953"/>
        <w:docPartObj>
          <w:docPartGallery w:val="Table of Contents"/>
          <w:docPartUnique/>
        </w:docPartObj>
      </w:sdtPr>
      <w:sdtEndPr>
        <w:rPr>
          <w:b/>
          <w:bCs/>
        </w:rPr>
      </w:sdtEndPr>
      <w:sdtContent>
        <w:p w14:paraId="50E5A769" w14:textId="0AF01268" w:rsidR="00F04EF7" w:rsidRPr="00FC76F2" w:rsidRDefault="00F04EF7">
          <w:pPr>
            <w:pStyle w:val="Nadpisobsahu"/>
            <w:rPr>
              <w:rFonts w:ascii="Tahoma" w:hAnsi="Tahoma" w:cs="Tahoma"/>
              <w:color w:val="auto"/>
              <w:sz w:val="24"/>
              <w:szCs w:val="24"/>
              <w:u w:val="single"/>
            </w:rPr>
          </w:pPr>
          <w:r w:rsidRPr="00FC76F2">
            <w:rPr>
              <w:rFonts w:ascii="Tahoma" w:hAnsi="Tahoma" w:cs="Tahoma"/>
              <w:color w:val="auto"/>
              <w:sz w:val="24"/>
              <w:szCs w:val="24"/>
              <w:u w:val="single"/>
            </w:rPr>
            <w:t>Obsah</w:t>
          </w:r>
        </w:p>
        <w:p w14:paraId="52B05DDD" w14:textId="360B782C" w:rsidR="007466D0" w:rsidRPr="00FC76F2" w:rsidRDefault="00F04EF7" w:rsidP="00FC76F2">
          <w:pPr>
            <w:pStyle w:val="Obsah1"/>
            <w:spacing w:after="100"/>
            <w:rPr>
              <w:rFonts w:eastAsiaTheme="minorEastAsia"/>
              <w:b w:val="0"/>
              <w:bCs w:val="0"/>
              <w:sz w:val="22"/>
              <w:szCs w:val="22"/>
            </w:rPr>
          </w:pPr>
          <w:r w:rsidRPr="00FC76F2">
            <w:rPr>
              <w:b w:val="0"/>
              <w:bCs w:val="0"/>
            </w:rPr>
            <w:fldChar w:fldCharType="begin"/>
          </w:r>
          <w:r w:rsidRPr="00FC76F2">
            <w:rPr>
              <w:b w:val="0"/>
              <w:bCs w:val="0"/>
            </w:rPr>
            <w:instrText xml:space="preserve"> TOC \o "1-3" \h \z \u </w:instrText>
          </w:r>
          <w:r w:rsidRPr="00FC76F2">
            <w:rPr>
              <w:b w:val="0"/>
              <w:bCs w:val="0"/>
            </w:rPr>
            <w:fldChar w:fldCharType="separate"/>
          </w:r>
          <w:hyperlink w:anchor="_Toc72408813" w:history="1">
            <w:r w:rsidR="007466D0" w:rsidRPr="00FC76F2">
              <w:rPr>
                <w:rStyle w:val="Hypertextovodkaz"/>
                <w:rFonts w:cs="Tahoma"/>
                <w:b w:val="0"/>
                <w:bCs w:val="0"/>
              </w:rPr>
              <w:t>Úvod</w:t>
            </w:r>
            <w:r w:rsidR="007466D0" w:rsidRPr="00FC76F2">
              <w:rPr>
                <w:b w:val="0"/>
                <w:bCs w:val="0"/>
                <w:webHidden/>
              </w:rPr>
              <w:tab/>
            </w:r>
            <w:r w:rsidR="007466D0" w:rsidRPr="00FC76F2">
              <w:rPr>
                <w:b w:val="0"/>
                <w:bCs w:val="0"/>
                <w:webHidden/>
              </w:rPr>
              <w:fldChar w:fldCharType="begin"/>
            </w:r>
            <w:r w:rsidR="007466D0" w:rsidRPr="00FC76F2">
              <w:rPr>
                <w:b w:val="0"/>
                <w:bCs w:val="0"/>
                <w:webHidden/>
              </w:rPr>
              <w:instrText xml:space="preserve"> PAGEREF _Toc72408813 \h </w:instrText>
            </w:r>
            <w:r w:rsidR="007466D0" w:rsidRPr="00FC76F2">
              <w:rPr>
                <w:b w:val="0"/>
                <w:bCs w:val="0"/>
                <w:webHidden/>
              </w:rPr>
            </w:r>
            <w:r w:rsidR="007466D0" w:rsidRPr="00FC76F2">
              <w:rPr>
                <w:b w:val="0"/>
                <w:bCs w:val="0"/>
                <w:webHidden/>
              </w:rPr>
              <w:fldChar w:fldCharType="separate"/>
            </w:r>
            <w:r w:rsidR="00832011">
              <w:rPr>
                <w:b w:val="0"/>
                <w:bCs w:val="0"/>
                <w:webHidden/>
              </w:rPr>
              <w:t>3</w:t>
            </w:r>
            <w:r w:rsidR="007466D0" w:rsidRPr="00FC76F2">
              <w:rPr>
                <w:b w:val="0"/>
                <w:bCs w:val="0"/>
                <w:webHidden/>
              </w:rPr>
              <w:fldChar w:fldCharType="end"/>
            </w:r>
          </w:hyperlink>
        </w:p>
        <w:p w14:paraId="530DC9BD" w14:textId="5E380125" w:rsidR="007466D0" w:rsidRPr="00FC76F2" w:rsidRDefault="00DC1A43" w:rsidP="00FC76F2">
          <w:pPr>
            <w:pStyle w:val="Obsah3"/>
            <w:rPr>
              <w:rFonts w:ascii="Tahoma" w:eastAsiaTheme="minorEastAsia" w:hAnsi="Tahoma" w:cs="Tahoma"/>
              <w:noProof/>
              <w:sz w:val="22"/>
              <w:szCs w:val="22"/>
            </w:rPr>
          </w:pPr>
          <w:hyperlink w:anchor="_Toc72408814" w:history="1">
            <w:r w:rsidR="007466D0" w:rsidRPr="00FC76F2">
              <w:rPr>
                <w:rStyle w:val="Hypertextovodkaz"/>
                <w:rFonts w:ascii="Tahoma" w:hAnsi="Tahoma" w:cs="Tahoma"/>
                <w:noProof/>
              </w:rPr>
              <w:t>PLÁNOVANÉ PŘÍJMY kraje v období let 2022 – 2025</w:t>
            </w:r>
            <w:r w:rsidR="007466D0" w:rsidRPr="00FC76F2">
              <w:rPr>
                <w:rFonts w:ascii="Tahoma" w:hAnsi="Tahoma" w:cs="Tahoma"/>
                <w:noProof/>
                <w:webHidden/>
              </w:rPr>
              <w:tab/>
            </w:r>
            <w:r w:rsidR="007466D0" w:rsidRPr="00FC76F2">
              <w:rPr>
                <w:rFonts w:ascii="Tahoma" w:hAnsi="Tahoma" w:cs="Tahoma"/>
                <w:noProof/>
                <w:webHidden/>
              </w:rPr>
              <w:fldChar w:fldCharType="begin"/>
            </w:r>
            <w:r w:rsidR="007466D0" w:rsidRPr="00FC76F2">
              <w:rPr>
                <w:rFonts w:ascii="Tahoma" w:hAnsi="Tahoma" w:cs="Tahoma"/>
                <w:noProof/>
                <w:webHidden/>
              </w:rPr>
              <w:instrText xml:space="preserve"> PAGEREF _Toc72408814 \h </w:instrText>
            </w:r>
            <w:r w:rsidR="007466D0" w:rsidRPr="00FC76F2">
              <w:rPr>
                <w:rFonts w:ascii="Tahoma" w:hAnsi="Tahoma" w:cs="Tahoma"/>
                <w:noProof/>
                <w:webHidden/>
              </w:rPr>
            </w:r>
            <w:r w:rsidR="007466D0" w:rsidRPr="00FC76F2">
              <w:rPr>
                <w:rFonts w:ascii="Tahoma" w:hAnsi="Tahoma" w:cs="Tahoma"/>
                <w:noProof/>
                <w:webHidden/>
              </w:rPr>
              <w:fldChar w:fldCharType="separate"/>
            </w:r>
            <w:r w:rsidR="00832011">
              <w:rPr>
                <w:rFonts w:ascii="Tahoma" w:hAnsi="Tahoma" w:cs="Tahoma"/>
                <w:noProof/>
                <w:webHidden/>
              </w:rPr>
              <w:t>5</w:t>
            </w:r>
            <w:r w:rsidR="007466D0" w:rsidRPr="00FC76F2">
              <w:rPr>
                <w:rFonts w:ascii="Tahoma" w:hAnsi="Tahoma" w:cs="Tahoma"/>
                <w:noProof/>
                <w:webHidden/>
              </w:rPr>
              <w:fldChar w:fldCharType="end"/>
            </w:r>
          </w:hyperlink>
        </w:p>
        <w:p w14:paraId="53014B6C" w14:textId="3CE49C8E" w:rsidR="007466D0" w:rsidRPr="00FC76F2" w:rsidRDefault="00DC1A43" w:rsidP="00FC76F2">
          <w:pPr>
            <w:pStyle w:val="Obsah3"/>
            <w:rPr>
              <w:rFonts w:ascii="Tahoma" w:eastAsiaTheme="minorEastAsia" w:hAnsi="Tahoma" w:cs="Tahoma"/>
              <w:noProof/>
              <w:sz w:val="22"/>
              <w:szCs w:val="22"/>
            </w:rPr>
          </w:pPr>
          <w:hyperlink w:anchor="_Toc72408815" w:history="1">
            <w:r w:rsidR="007466D0" w:rsidRPr="00FC76F2">
              <w:rPr>
                <w:rStyle w:val="Hypertextovodkaz"/>
                <w:rFonts w:ascii="Tahoma" w:hAnsi="Tahoma" w:cs="Tahoma"/>
                <w:noProof/>
              </w:rPr>
              <w:t>PLÁNOVANÉ VÝDAJE kraje v období let 2022 – 2025</w:t>
            </w:r>
            <w:r w:rsidR="007466D0" w:rsidRPr="00FC76F2">
              <w:rPr>
                <w:rFonts w:ascii="Tahoma" w:hAnsi="Tahoma" w:cs="Tahoma"/>
                <w:noProof/>
                <w:webHidden/>
              </w:rPr>
              <w:tab/>
            </w:r>
            <w:r w:rsidR="007466D0" w:rsidRPr="00FC76F2">
              <w:rPr>
                <w:rFonts w:ascii="Tahoma" w:hAnsi="Tahoma" w:cs="Tahoma"/>
                <w:noProof/>
                <w:webHidden/>
              </w:rPr>
              <w:fldChar w:fldCharType="begin"/>
            </w:r>
            <w:r w:rsidR="007466D0" w:rsidRPr="00FC76F2">
              <w:rPr>
                <w:rFonts w:ascii="Tahoma" w:hAnsi="Tahoma" w:cs="Tahoma"/>
                <w:noProof/>
                <w:webHidden/>
              </w:rPr>
              <w:instrText xml:space="preserve"> PAGEREF _Toc72408815 \h </w:instrText>
            </w:r>
            <w:r w:rsidR="007466D0" w:rsidRPr="00FC76F2">
              <w:rPr>
                <w:rFonts w:ascii="Tahoma" w:hAnsi="Tahoma" w:cs="Tahoma"/>
                <w:noProof/>
                <w:webHidden/>
              </w:rPr>
            </w:r>
            <w:r w:rsidR="007466D0" w:rsidRPr="00FC76F2">
              <w:rPr>
                <w:rFonts w:ascii="Tahoma" w:hAnsi="Tahoma" w:cs="Tahoma"/>
                <w:noProof/>
                <w:webHidden/>
              </w:rPr>
              <w:fldChar w:fldCharType="separate"/>
            </w:r>
            <w:r w:rsidR="00832011">
              <w:rPr>
                <w:rFonts w:ascii="Tahoma" w:hAnsi="Tahoma" w:cs="Tahoma"/>
                <w:noProof/>
                <w:webHidden/>
              </w:rPr>
              <w:t>8</w:t>
            </w:r>
            <w:r w:rsidR="007466D0" w:rsidRPr="00FC76F2">
              <w:rPr>
                <w:rFonts w:ascii="Tahoma" w:hAnsi="Tahoma" w:cs="Tahoma"/>
                <w:noProof/>
                <w:webHidden/>
              </w:rPr>
              <w:fldChar w:fldCharType="end"/>
            </w:r>
          </w:hyperlink>
        </w:p>
        <w:p w14:paraId="73B7606C" w14:textId="7FA0FC75" w:rsidR="007466D0" w:rsidRPr="00FC76F2" w:rsidRDefault="00DC1A43" w:rsidP="00FC76F2">
          <w:pPr>
            <w:pStyle w:val="Obsah3"/>
            <w:rPr>
              <w:rFonts w:ascii="Tahoma" w:eastAsiaTheme="minorEastAsia" w:hAnsi="Tahoma" w:cs="Tahoma"/>
              <w:noProof/>
              <w:sz w:val="22"/>
              <w:szCs w:val="22"/>
            </w:rPr>
          </w:pPr>
          <w:hyperlink w:anchor="_Toc72408816" w:history="1">
            <w:r w:rsidR="007466D0" w:rsidRPr="00FC76F2">
              <w:rPr>
                <w:rStyle w:val="Hypertextovodkaz"/>
                <w:rFonts w:ascii="Tahoma" w:hAnsi="Tahoma" w:cs="Tahoma"/>
                <w:noProof/>
              </w:rPr>
              <w:t>FINANCOVÁNÍ kraje v období let 2022 – 2025</w:t>
            </w:r>
            <w:r w:rsidR="007466D0" w:rsidRPr="00FC76F2">
              <w:rPr>
                <w:rFonts w:ascii="Tahoma" w:hAnsi="Tahoma" w:cs="Tahoma"/>
                <w:noProof/>
                <w:webHidden/>
              </w:rPr>
              <w:tab/>
            </w:r>
            <w:r w:rsidR="007466D0" w:rsidRPr="00FC76F2">
              <w:rPr>
                <w:rFonts w:ascii="Tahoma" w:hAnsi="Tahoma" w:cs="Tahoma"/>
                <w:noProof/>
                <w:webHidden/>
              </w:rPr>
              <w:fldChar w:fldCharType="begin"/>
            </w:r>
            <w:r w:rsidR="007466D0" w:rsidRPr="00FC76F2">
              <w:rPr>
                <w:rFonts w:ascii="Tahoma" w:hAnsi="Tahoma" w:cs="Tahoma"/>
                <w:noProof/>
                <w:webHidden/>
              </w:rPr>
              <w:instrText xml:space="preserve"> PAGEREF _Toc72408816 \h </w:instrText>
            </w:r>
            <w:r w:rsidR="007466D0" w:rsidRPr="00FC76F2">
              <w:rPr>
                <w:rFonts w:ascii="Tahoma" w:hAnsi="Tahoma" w:cs="Tahoma"/>
                <w:noProof/>
                <w:webHidden/>
              </w:rPr>
            </w:r>
            <w:r w:rsidR="007466D0" w:rsidRPr="00FC76F2">
              <w:rPr>
                <w:rFonts w:ascii="Tahoma" w:hAnsi="Tahoma" w:cs="Tahoma"/>
                <w:noProof/>
                <w:webHidden/>
              </w:rPr>
              <w:fldChar w:fldCharType="separate"/>
            </w:r>
            <w:r w:rsidR="00832011">
              <w:rPr>
                <w:rFonts w:ascii="Tahoma" w:hAnsi="Tahoma" w:cs="Tahoma"/>
                <w:noProof/>
                <w:webHidden/>
              </w:rPr>
              <w:t>14</w:t>
            </w:r>
            <w:r w:rsidR="007466D0" w:rsidRPr="00FC76F2">
              <w:rPr>
                <w:rFonts w:ascii="Tahoma" w:hAnsi="Tahoma" w:cs="Tahoma"/>
                <w:noProof/>
                <w:webHidden/>
              </w:rPr>
              <w:fldChar w:fldCharType="end"/>
            </w:r>
          </w:hyperlink>
        </w:p>
        <w:p w14:paraId="5CFB088B" w14:textId="13371A9B" w:rsidR="007466D0" w:rsidRPr="00FC76F2" w:rsidRDefault="00DC1A43" w:rsidP="00FC76F2">
          <w:pPr>
            <w:pStyle w:val="Obsah3"/>
            <w:rPr>
              <w:rFonts w:ascii="Tahoma" w:eastAsiaTheme="minorEastAsia" w:hAnsi="Tahoma" w:cs="Tahoma"/>
              <w:noProof/>
              <w:sz w:val="22"/>
              <w:szCs w:val="22"/>
            </w:rPr>
          </w:pPr>
          <w:hyperlink w:anchor="_Toc72408817" w:history="1">
            <w:r w:rsidR="007466D0" w:rsidRPr="00FC76F2">
              <w:rPr>
                <w:rStyle w:val="Hypertextovodkaz"/>
                <w:rFonts w:ascii="Tahoma" w:hAnsi="Tahoma" w:cs="Tahoma"/>
                <w:noProof/>
              </w:rPr>
              <w:t>UKAZATELE ZADLUŽENOSTI KRAJE</w:t>
            </w:r>
            <w:r w:rsidR="007466D0" w:rsidRPr="00FC76F2">
              <w:rPr>
                <w:rFonts w:ascii="Tahoma" w:hAnsi="Tahoma" w:cs="Tahoma"/>
                <w:noProof/>
                <w:webHidden/>
              </w:rPr>
              <w:tab/>
            </w:r>
            <w:r w:rsidR="007466D0" w:rsidRPr="00FC76F2">
              <w:rPr>
                <w:rFonts w:ascii="Tahoma" w:hAnsi="Tahoma" w:cs="Tahoma"/>
                <w:noProof/>
                <w:webHidden/>
              </w:rPr>
              <w:fldChar w:fldCharType="begin"/>
            </w:r>
            <w:r w:rsidR="007466D0" w:rsidRPr="00FC76F2">
              <w:rPr>
                <w:rFonts w:ascii="Tahoma" w:hAnsi="Tahoma" w:cs="Tahoma"/>
                <w:noProof/>
                <w:webHidden/>
              </w:rPr>
              <w:instrText xml:space="preserve"> PAGEREF _Toc72408817 \h </w:instrText>
            </w:r>
            <w:r w:rsidR="007466D0" w:rsidRPr="00FC76F2">
              <w:rPr>
                <w:rFonts w:ascii="Tahoma" w:hAnsi="Tahoma" w:cs="Tahoma"/>
                <w:noProof/>
                <w:webHidden/>
              </w:rPr>
            </w:r>
            <w:r w:rsidR="007466D0" w:rsidRPr="00FC76F2">
              <w:rPr>
                <w:rFonts w:ascii="Tahoma" w:hAnsi="Tahoma" w:cs="Tahoma"/>
                <w:noProof/>
                <w:webHidden/>
              </w:rPr>
              <w:fldChar w:fldCharType="separate"/>
            </w:r>
            <w:r w:rsidR="00832011">
              <w:rPr>
                <w:rFonts w:ascii="Tahoma" w:hAnsi="Tahoma" w:cs="Tahoma"/>
                <w:noProof/>
                <w:webHidden/>
              </w:rPr>
              <w:t>15</w:t>
            </w:r>
            <w:r w:rsidR="007466D0" w:rsidRPr="00FC76F2">
              <w:rPr>
                <w:rFonts w:ascii="Tahoma" w:hAnsi="Tahoma" w:cs="Tahoma"/>
                <w:noProof/>
                <w:webHidden/>
              </w:rPr>
              <w:fldChar w:fldCharType="end"/>
            </w:r>
          </w:hyperlink>
        </w:p>
        <w:p w14:paraId="25839956" w14:textId="75DB9F33" w:rsidR="007466D0" w:rsidRPr="00FC76F2" w:rsidRDefault="00DC1A43" w:rsidP="00FC76F2">
          <w:pPr>
            <w:pStyle w:val="Obsah3"/>
            <w:rPr>
              <w:rFonts w:ascii="Tahoma" w:eastAsiaTheme="minorEastAsia" w:hAnsi="Tahoma" w:cs="Tahoma"/>
              <w:noProof/>
              <w:sz w:val="22"/>
              <w:szCs w:val="22"/>
            </w:rPr>
          </w:pPr>
          <w:hyperlink w:anchor="_Toc72408818" w:history="1">
            <w:r w:rsidR="007466D0" w:rsidRPr="00FC76F2">
              <w:rPr>
                <w:rStyle w:val="Hypertextovodkaz"/>
                <w:rFonts w:ascii="Tahoma" w:hAnsi="Tahoma" w:cs="Tahoma"/>
                <w:noProof/>
              </w:rPr>
              <w:t>Závěr</w:t>
            </w:r>
            <w:r w:rsidR="007466D0" w:rsidRPr="00FC76F2">
              <w:rPr>
                <w:rFonts w:ascii="Tahoma" w:hAnsi="Tahoma" w:cs="Tahoma"/>
                <w:noProof/>
                <w:webHidden/>
              </w:rPr>
              <w:tab/>
            </w:r>
            <w:r w:rsidR="007466D0" w:rsidRPr="00FC76F2">
              <w:rPr>
                <w:rFonts w:ascii="Tahoma" w:hAnsi="Tahoma" w:cs="Tahoma"/>
                <w:noProof/>
                <w:webHidden/>
              </w:rPr>
              <w:fldChar w:fldCharType="begin"/>
            </w:r>
            <w:r w:rsidR="007466D0" w:rsidRPr="00FC76F2">
              <w:rPr>
                <w:rFonts w:ascii="Tahoma" w:hAnsi="Tahoma" w:cs="Tahoma"/>
                <w:noProof/>
                <w:webHidden/>
              </w:rPr>
              <w:instrText xml:space="preserve"> PAGEREF _Toc72408818 \h </w:instrText>
            </w:r>
            <w:r w:rsidR="007466D0" w:rsidRPr="00FC76F2">
              <w:rPr>
                <w:rFonts w:ascii="Tahoma" w:hAnsi="Tahoma" w:cs="Tahoma"/>
                <w:noProof/>
                <w:webHidden/>
              </w:rPr>
            </w:r>
            <w:r w:rsidR="007466D0" w:rsidRPr="00FC76F2">
              <w:rPr>
                <w:rFonts w:ascii="Tahoma" w:hAnsi="Tahoma" w:cs="Tahoma"/>
                <w:noProof/>
                <w:webHidden/>
              </w:rPr>
              <w:fldChar w:fldCharType="separate"/>
            </w:r>
            <w:r w:rsidR="00832011">
              <w:rPr>
                <w:rFonts w:ascii="Tahoma" w:hAnsi="Tahoma" w:cs="Tahoma"/>
                <w:noProof/>
                <w:webHidden/>
              </w:rPr>
              <w:t>16</w:t>
            </w:r>
            <w:r w:rsidR="007466D0" w:rsidRPr="00FC76F2">
              <w:rPr>
                <w:rFonts w:ascii="Tahoma" w:hAnsi="Tahoma" w:cs="Tahoma"/>
                <w:noProof/>
                <w:webHidden/>
              </w:rPr>
              <w:fldChar w:fldCharType="end"/>
            </w:r>
          </w:hyperlink>
        </w:p>
        <w:p w14:paraId="15544901" w14:textId="449E2DBE" w:rsidR="00F04EF7" w:rsidRPr="00D60E66" w:rsidRDefault="00F04EF7">
          <w:pPr>
            <w:rPr>
              <w:rFonts w:ascii="Tahoma" w:hAnsi="Tahoma" w:cs="Tahoma"/>
            </w:rPr>
          </w:pPr>
          <w:r w:rsidRPr="00FC76F2">
            <w:rPr>
              <w:rFonts w:ascii="Tahoma" w:hAnsi="Tahoma" w:cs="Tahoma"/>
            </w:rPr>
            <w:fldChar w:fldCharType="end"/>
          </w:r>
        </w:p>
      </w:sdtContent>
    </w:sdt>
    <w:p w14:paraId="5092BCFA" w14:textId="6A9790AB" w:rsidR="000A509D" w:rsidRPr="00D60E66" w:rsidRDefault="007406F7" w:rsidP="00C01B85">
      <w:pPr>
        <w:pStyle w:val="Obsah1"/>
        <w:rPr>
          <w:rStyle w:val="Hypertextovodkaz"/>
          <w:rFonts w:cs="Tahoma"/>
          <w:b w:val="0"/>
          <w:bCs w:val="0"/>
          <w:color w:val="auto"/>
          <w:u w:val="none"/>
        </w:rPr>
      </w:pPr>
      <w:r>
        <w:rPr>
          <w:rStyle w:val="Hypertextovodkaz"/>
          <w:rFonts w:cs="Tahoma"/>
          <w:b w:val="0"/>
          <w:bCs w:val="0"/>
          <w:color w:val="auto"/>
          <w:u w:val="none"/>
        </w:rPr>
        <w:t xml:space="preserve">Příloha - </w:t>
      </w:r>
      <w:r w:rsidR="00444249" w:rsidRPr="00D60E66">
        <w:rPr>
          <w:rStyle w:val="Hypertextovodkaz"/>
          <w:rFonts w:cs="Tahoma"/>
          <w:b w:val="0"/>
          <w:bCs w:val="0"/>
          <w:color w:val="auto"/>
          <w:u w:val="none"/>
        </w:rPr>
        <w:t>Tabulk</w:t>
      </w:r>
      <w:r w:rsidR="005A1964" w:rsidRPr="00D60E66">
        <w:rPr>
          <w:rStyle w:val="Hypertextovodkaz"/>
          <w:rFonts w:cs="Tahoma"/>
          <w:b w:val="0"/>
          <w:bCs w:val="0"/>
          <w:color w:val="auto"/>
          <w:u w:val="none"/>
        </w:rPr>
        <w:t>ová část</w:t>
      </w:r>
    </w:p>
    <w:p w14:paraId="210B509D" w14:textId="16AB9694"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1</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Bilance příjmů a výdajů v letech 202</w:t>
      </w:r>
      <w:r w:rsidR="00244853">
        <w:rPr>
          <w:rStyle w:val="Hypertextovodkaz"/>
          <w:rFonts w:cs="Tahoma"/>
          <w:b w:val="0"/>
          <w:bCs w:val="0"/>
          <w:color w:val="auto"/>
          <w:u w:val="none"/>
        </w:rPr>
        <w:t>2</w:t>
      </w:r>
      <w:r w:rsidRPr="00D60E66">
        <w:rPr>
          <w:rStyle w:val="Hypertextovodkaz"/>
          <w:rFonts w:cs="Tahoma"/>
          <w:b w:val="0"/>
          <w:bCs w:val="0"/>
          <w:color w:val="auto"/>
          <w:u w:val="none"/>
        </w:rPr>
        <w:t xml:space="preserve"> - 202</w:t>
      </w:r>
      <w:r w:rsidR="00244853">
        <w:rPr>
          <w:rStyle w:val="Hypertextovodkaz"/>
          <w:rFonts w:cs="Tahoma"/>
          <w:b w:val="0"/>
          <w:bCs w:val="0"/>
          <w:color w:val="auto"/>
          <w:u w:val="none"/>
        </w:rPr>
        <w:t>5</w:t>
      </w:r>
      <w:r w:rsidRPr="00D60E66">
        <w:rPr>
          <w:rStyle w:val="Hypertextovodkaz"/>
          <w:rFonts w:cs="Tahoma"/>
          <w:b w:val="0"/>
          <w:bCs w:val="0"/>
          <w:color w:val="auto"/>
          <w:u w:val="none"/>
        </w:rPr>
        <w:t xml:space="preserve"> </w:t>
      </w:r>
      <w:r w:rsidRPr="00D60E66">
        <w:rPr>
          <w:rStyle w:val="Hypertextovodkaz"/>
          <w:rFonts w:cs="Tahoma"/>
          <w:b w:val="0"/>
          <w:bCs w:val="0"/>
          <w:color w:val="auto"/>
          <w:u w:val="none"/>
        </w:rPr>
        <w:tab/>
      </w:r>
      <w:r w:rsidR="00D60E66" w:rsidRPr="00D60E66">
        <w:rPr>
          <w:rStyle w:val="Hypertextovodkaz"/>
          <w:rFonts w:cs="Tahoma"/>
          <w:b w:val="0"/>
          <w:bCs w:val="0"/>
          <w:color w:val="auto"/>
          <w:u w:val="none"/>
        </w:rPr>
        <w:t>2</w:t>
      </w:r>
    </w:p>
    <w:p w14:paraId="5398181B" w14:textId="0710F902"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2</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očekávaných účelových dotací v letech 202</w:t>
      </w:r>
      <w:r w:rsidR="00244853">
        <w:rPr>
          <w:rStyle w:val="Hypertextovodkaz"/>
          <w:rFonts w:cs="Tahoma"/>
          <w:b w:val="0"/>
          <w:bCs w:val="0"/>
          <w:color w:val="auto"/>
          <w:u w:val="none"/>
        </w:rPr>
        <w:t>2</w:t>
      </w:r>
      <w:r w:rsidRPr="00D60E66">
        <w:rPr>
          <w:rStyle w:val="Hypertextovodkaz"/>
          <w:rFonts w:cs="Tahoma"/>
          <w:b w:val="0"/>
          <w:bCs w:val="0"/>
          <w:color w:val="auto"/>
          <w:u w:val="none"/>
        </w:rPr>
        <w:t xml:space="preserve"> – 202</w:t>
      </w:r>
      <w:r w:rsidR="00244853">
        <w:rPr>
          <w:rStyle w:val="Hypertextovodkaz"/>
          <w:rFonts w:cs="Tahoma"/>
          <w:b w:val="0"/>
          <w:bCs w:val="0"/>
          <w:color w:val="auto"/>
          <w:u w:val="none"/>
        </w:rPr>
        <w:t>5</w:t>
      </w:r>
      <w:r w:rsidRPr="00D60E66">
        <w:rPr>
          <w:rStyle w:val="Hypertextovodkaz"/>
          <w:rFonts w:cs="Tahoma"/>
          <w:b w:val="0"/>
          <w:bCs w:val="0"/>
          <w:color w:val="auto"/>
          <w:u w:val="none"/>
        </w:rPr>
        <w:tab/>
      </w:r>
      <w:r w:rsidR="007406F7">
        <w:rPr>
          <w:rStyle w:val="Hypertextovodkaz"/>
          <w:rFonts w:cs="Tahoma"/>
          <w:b w:val="0"/>
          <w:bCs w:val="0"/>
          <w:color w:val="auto"/>
          <w:u w:val="none"/>
        </w:rPr>
        <w:t>4</w:t>
      </w:r>
    </w:p>
    <w:p w14:paraId="486F23B3" w14:textId="3632D1DE"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3</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Přehled závazků kraje u akcí spolufinancovaných z evropských finančních zdrojů </w:t>
      </w:r>
      <w:r w:rsidRPr="00D60E66">
        <w:rPr>
          <w:rStyle w:val="Hypertextovodkaz"/>
          <w:rFonts w:cs="Tahoma"/>
          <w:b w:val="0"/>
          <w:bCs w:val="0"/>
          <w:color w:val="auto"/>
          <w:u w:val="none"/>
        </w:rPr>
        <w:tab/>
      </w:r>
      <w:r w:rsidR="007406F7">
        <w:rPr>
          <w:rStyle w:val="Hypertextovodkaz"/>
          <w:rFonts w:cs="Tahoma"/>
          <w:b w:val="0"/>
          <w:bCs w:val="0"/>
          <w:color w:val="auto"/>
          <w:u w:val="none"/>
        </w:rPr>
        <w:t>6</w:t>
      </w:r>
    </w:p>
    <w:p w14:paraId="63396457" w14:textId="7888B822"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4</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Přehled závazků kraje u akcí reprodukce majetku kraje </w:t>
      </w:r>
      <w:r w:rsidRPr="00D60E66">
        <w:rPr>
          <w:rStyle w:val="Hypertextovodkaz"/>
          <w:rFonts w:cs="Tahoma"/>
          <w:b w:val="0"/>
          <w:bCs w:val="0"/>
          <w:color w:val="auto"/>
          <w:u w:val="none"/>
        </w:rPr>
        <w:tab/>
        <w:t>1</w:t>
      </w:r>
      <w:r w:rsidR="00827D4D">
        <w:rPr>
          <w:rStyle w:val="Hypertextovodkaz"/>
          <w:rFonts w:cs="Tahoma"/>
          <w:b w:val="0"/>
          <w:bCs w:val="0"/>
          <w:color w:val="auto"/>
          <w:u w:val="none"/>
        </w:rPr>
        <w:t>3</w:t>
      </w:r>
    </w:p>
    <w:p w14:paraId="2EBBDAD8" w14:textId="39D2DDD3"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5</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ostatních dlouhodobých závazků kraje</w:t>
      </w:r>
      <w:r w:rsidRPr="00D60E66">
        <w:rPr>
          <w:rStyle w:val="Hypertextovodkaz"/>
          <w:rFonts w:cs="Tahoma"/>
          <w:b w:val="0"/>
          <w:bCs w:val="0"/>
          <w:color w:val="auto"/>
          <w:u w:val="none"/>
        </w:rPr>
        <w:tab/>
        <w:t>1</w:t>
      </w:r>
      <w:r w:rsidR="00FC76F2">
        <w:rPr>
          <w:rStyle w:val="Hypertextovodkaz"/>
          <w:rFonts w:cs="Tahoma"/>
          <w:b w:val="0"/>
          <w:bCs w:val="0"/>
          <w:color w:val="auto"/>
          <w:u w:val="none"/>
        </w:rPr>
        <w:t>6</w:t>
      </w:r>
    </w:p>
    <w:p w14:paraId="381DEC2F" w14:textId="0A5715E1"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6</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výdajů na zajištění udržitelnosti akcí spolufinancovaných z evropských finančních zdrojů</w:t>
      </w:r>
      <w:r w:rsidRPr="00D60E66">
        <w:rPr>
          <w:rStyle w:val="Hypertextovodkaz"/>
          <w:rFonts w:cs="Tahoma"/>
          <w:b w:val="0"/>
          <w:bCs w:val="0"/>
          <w:color w:val="auto"/>
          <w:u w:val="none"/>
        </w:rPr>
        <w:tab/>
      </w:r>
      <w:r w:rsidR="007406F7">
        <w:rPr>
          <w:rStyle w:val="Hypertextovodkaz"/>
          <w:rFonts w:cs="Tahoma"/>
          <w:b w:val="0"/>
          <w:bCs w:val="0"/>
          <w:color w:val="auto"/>
          <w:u w:val="none"/>
        </w:rPr>
        <w:t>3</w:t>
      </w:r>
      <w:r w:rsidR="00FC76F2">
        <w:rPr>
          <w:rStyle w:val="Hypertextovodkaz"/>
          <w:rFonts w:cs="Tahoma"/>
          <w:b w:val="0"/>
          <w:bCs w:val="0"/>
          <w:color w:val="auto"/>
          <w:u w:val="none"/>
        </w:rPr>
        <w:t>4</w:t>
      </w:r>
    </w:p>
    <w:p w14:paraId="1D10A44F" w14:textId="75944A8B"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7</w:t>
      </w:r>
      <w:r w:rsidR="007637B6" w:rsidRPr="00D60E66">
        <w:rPr>
          <w:rStyle w:val="Hypertextovodkaz"/>
          <w:rFonts w:cs="Tahoma"/>
          <w:b w:val="0"/>
          <w:bCs w:val="0"/>
          <w:color w:val="auto"/>
          <w:u w:val="none"/>
        </w:rPr>
        <w:t xml:space="preserve"> P</w:t>
      </w:r>
      <w:r w:rsidRPr="00D60E66">
        <w:rPr>
          <w:rStyle w:val="Hypertextovodkaz"/>
          <w:rFonts w:cs="Tahoma"/>
          <w:b w:val="0"/>
          <w:bCs w:val="0"/>
          <w:color w:val="auto"/>
          <w:u w:val="none"/>
        </w:rPr>
        <w:t>řehled splácení jistiny a úroků z úvěrů čerpaných Moravskoslezským krajem</w:t>
      </w:r>
      <w:r w:rsidRPr="00D60E66">
        <w:rPr>
          <w:rStyle w:val="Hypertextovodkaz"/>
          <w:rFonts w:cs="Tahoma"/>
          <w:b w:val="0"/>
          <w:bCs w:val="0"/>
          <w:color w:val="auto"/>
          <w:u w:val="none"/>
        </w:rPr>
        <w:tab/>
        <w:t>3</w:t>
      </w:r>
      <w:r w:rsidR="00FC76F2">
        <w:rPr>
          <w:rStyle w:val="Hypertextovodkaz"/>
          <w:rFonts w:cs="Tahoma"/>
          <w:b w:val="0"/>
          <w:bCs w:val="0"/>
          <w:color w:val="auto"/>
          <w:u w:val="none"/>
        </w:rPr>
        <w:t>7</w:t>
      </w:r>
    </w:p>
    <w:p w14:paraId="0E2B7B32" w14:textId="758DF9DC"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8</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Ukazatele zadluženosti </w:t>
      </w:r>
      <w:r w:rsidRPr="00D60E66">
        <w:rPr>
          <w:rStyle w:val="Hypertextovodkaz"/>
          <w:rFonts w:cs="Tahoma"/>
          <w:b w:val="0"/>
          <w:bCs w:val="0"/>
          <w:color w:val="auto"/>
          <w:u w:val="none"/>
        </w:rPr>
        <w:tab/>
      </w:r>
      <w:r w:rsidR="00FC76F2">
        <w:rPr>
          <w:rStyle w:val="Hypertextovodkaz"/>
          <w:rFonts w:cs="Tahoma"/>
          <w:b w:val="0"/>
          <w:bCs w:val="0"/>
          <w:color w:val="auto"/>
          <w:u w:val="none"/>
        </w:rPr>
        <w:t>38</w:t>
      </w:r>
    </w:p>
    <w:p w14:paraId="7F3EA163" w14:textId="77777777" w:rsidR="000A509D" w:rsidRPr="00D60E66" w:rsidRDefault="000A509D" w:rsidP="00C01B85">
      <w:pPr>
        <w:pStyle w:val="Obsah1"/>
        <w:rPr>
          <w:rStyle w:val="Hypertextovodkaz"/>
          <w:rFonts w:cs="Tahoma"/>
          <w:color w:val="auto"/>
        </w:rPr>
      </w:pPr>
    </w:p>
    <w:p w14:paraId="57A4A579" w14:textId="77777777" w:rsidR="000A509D" w:rsidRDefault="000A509D" w:rsidP="006D3DC0">
      <w:pPr>
        <w:pStyle w:val="Nadpis1"/>
        <w:spacing w:before="120" w:after="0" w:line="240" w:lineRule="auto"/>
        <w:jc w:val="center"/>
        <w:rPr>
          <w:rFonts w:ascii="Tahoma" w:hAnsi="Tahoma" w:cs="Tahoma"/>
          <w:sz w:val="28"/>
          <w:szCs w:val="28"/>
        </w:rPr>
      </w:pPr>
    </w:p>
    <w:p w14:paraId="06A2CCD9" w14:textId="77777777" w:rsidR="000A509D" w:rsidRDefault="000A509D" w:rsidP="006D3DC0">
      <w:pPr>
        <w:pStyle w:val="Nadpis1"/>
        <w:spacing w:before="120" w:after="0" w:line="240" w:lineRule="auto"/>
        <w:jc w:val="center"/>
        <w:rPr>
          <w:rFonts w:ascii="Tahoma" w:hAnsi="Tahoma" w:cs="Tahoma"/>
          <w:sz w:val="28"/>
          <w:szCs w:val="28"/>
        </w:rPr>
      </w:pPr>
    </w:p>
    <w:p w14:paraId="39325365" w14:textId="77777777" w:rsidR="00AA103A" w:rsidRDefault="00AA103A">
      <w:pPr>
        <w:rPr>
          <w:rFonts w:ascii="Tahoma" w:hAnsi="Tahoma" w:cs="Tahoma"/>
          <w:b/>
          <w:bCs/>
          <w:kern w:val="32"/>
          <w:sz w:val="28"/>
          <w:szCs w:val="28"/>
        </w:rPr>
      </w:pPr>
      <w:r>
        <w:rPr>
          <w:rFonts w:ascii="Tahoma" w:hAnsi="Tahoma" w:cs="Tahoma"/>
          <w:sz w:val="28"/>
          <w:szCs w:val="28"/>
        </w:rPr>
        <w:br w:type="page"/>
      </w:r>
    </w:p>
    <w:p w14:paraId="29AC954C" w14:textId="77777777" w:rsidR="00AC799A" w:rsidRDefault="00AC799A" w:rsidP="00C50B43">
      <w:pPr>
        <w:pStyle w:val="Nadpis1"/>
        <w:spacing w:before="120" w:after="0" w:line="240" w:lineRule="auto"/>
        <w:rPr>
          <w:rFonts w:ascii="Tahoma" w:hAnsi="Tahoma" w:cs="Tahoma"/>
          <w:sz w:val="28"/>
          <w:szCs w:val="28"/>
        </w:rPr>
      </w:pPr>
      <w:bookmarkStart w:id="0" w:name="_Toc72408813"/>
      <w:r>
        <w:rPr>
          <w:rFonts w:ascii="Tahoma" w:hAnsi="Tahoma" w:cs="Tahoma"/>
          <w:sz w:val="28"/>
          <w:szCs w:val="28"/>
        </w:rPr>
        <w:t>Úvod</w:t>
      </w:r>
      <w:bookmarkEnd w:id="0"/>
    </w:p>
    <w:p w14:paraId="31B17019" w14:textId="77777777" w:rsidR="00554BCE" w:rsidRPr="00554BCE" w:rsidRDefault="00554BCE" w:rsidP="00554BCE"/>
    <w:p w14:paraId="43BD9CD6" w14:textId="1E438BFB" w:rsidR="00666E3B" w:rsidRDefault="005738C9" w:rsidP="00F53BE6">
      <w:pPr>
        <w:pStyle w:val="Zkladntext"/>
        <w:rPr>
          <w:rFonts w:ascii="Tahoma" w:hAnsi="Tahoma" w:cs="Tahoma"/>
          <w:sz w:val="24"/>
          <w:szCs w:val="24"/>
        </w:rPr>
      </w:pPr>
      <w:r w:rsidRPr="00826D55">
        <w:rPr>
          <w:rFonts w:ascii="Tahoma" w:hAnsi="Tahoma" w:cs="Tahoma"/>
          <w:sz w:val="24"/>
          <w:szCs w:val="24"/>
        </w:rPr>
        <w:t xml:space="preserve">Střednědobý </w:t>
      </w:r>
      <w:r w:rsidR="008E7B37" w:rsidRPr="00826D55">
        <w:rPr>
          <w:rFonts w:ascii="Tahoma" w:hAnsi="Tahoma" w:cs="Tahoma"/>
          <w:sz w:val="24"/>
          <w:szCs w:val="24"/>
        </w:rPr>
        <w:t>výhled</w:t>
      </w:r>
      <w:r w:rsidRPr="00826D55">
        <w:rPr>
          <w:rFonts w:ascii="Tahoma" w:hAnsi="Tahoma" w:cs="Tahoma"/>
          <w:sz w:val="24"/>
          <w:szCs w:val="24"/>
        </w:rPr>
        <w:t xml:space="preserve"> rozpočtu</w:t>
      </w:r>
      <w:r w:rsidR="008E7B37" w:rsidRPr="00826D55">
        <w:rPr>
          <w:rFonts w:ascii="Tahoma" w:hAnsi="Tahoma" w:cs="Tahoma"/>
          <w:sz w:val="24"/>
          <w:szCs w:val="24"/>
        </w:rPr>
        <w:t xml:space="preserve"> </w:t>
      </w:r>
      <w:r w:rsidRPr="00826D55">
        <w:rPr>
          <w:rFonts w:ascii="Tahoma" w:hAnsi="Tahoma" w:cs="Tahoma"/>
          <w:sz w:val="24"/>
          <w:szCs w:val="24"/>
        </w:rPr>
        <w:t xml:space="preserve">kraje na léta </w:t>
      </w:r>
      <w:proofErr w:type="gramStart"/>
      <w:r w:rsidRPr="00826D55">
        <w:rPr>
          <w:rFonts w:ascii="Tahoma" w:hAnsi="Tahoma" w:cs="Tahoma"/>
          <w:sz w:val="24"/>
          <w:szCs w:val="24"/>
        </w:rPr>
        <w:t>20</w:t>
      </w:r>
      <w:r w:rsidR="003332B7" w:rsidRPr="00826D55">
        <w:rPr>
          <w:rFonts w:ascii="Tahoma" w:hAnsi="Tahoma" w:cs="Tahoma"/>
          <w:sz w:val="24"/>
          <w:szCs w:val="24"/>
        </w:rPr>
        <w:t>2</w:t>
      </w:r>
      <w:r w:rsidR="002934F2">
        <w:rPr>
          <w:rFonts w:ascii="Tahoma" w:hAnsi="Tahoma" w:cs="Tahoma"/>
          <w:sz w:val="24"/>
          <w:szCs w:val="24"/>
        </w:rPr>
        <w:t>2</w:t>
      </w:r>
      <w:r w:rsidRPr="00826D55">
        <w:rPr>
          <w:rFonts w:ascii="Tahoma" w:hAnsi="Tahoma" w:cs="Tahoma"/>
          <w:sz w:val="24"/>
          <w:szCs w:val="24"/>
        </w:rPr>
        <w:t xml:space="preserve"> – 202</w:t>
      </w:r>
      <w:r w:rsidR="002559B6">
        <w:rPr>
          <w:rFonts w:ascii="Tahoma" w:hAnsi="Tahoma" w:cs="Tahoma"/>
          <w:sz w:val="24"/>
          <w:szCs w:val="24"/>
        </w:rPr>
        <w:t>5</w:t>
      </w:r>
      <w:proofErr w:type="gramEnd"/>
      <w:r w:rsidRPr="00826D55">
        <w:rPr>
          <w:rFonts w:ascii="Tahoma" w:hAnsi="Tahoma" w:cs="Tahoma"/>
          <w:sz w:val="24"/>
          <w:szCs w:val="24"/>
        </w:rPr>
        <w:t xml:space="preserve"> (dále jen „výhled“) </w:t>
      </w:r>
      <w:r w:rsidR="008E7B37" w:rsidRPr="00826D55">
        <w:rPr>
          <w:rFonts w:ascii="Tahoma" w:hAnsi="Tahoma" w:cs="Tahoma"/>
          <w:sz w:val="24"/>
          <w:szCs w:val="24"/>
        </w:rPr>
        <w:t>vychází z</w:t>
      </w:r>
      <w:r w:rsidRPr="00826D55">
        <w:rPr>
          <w:rFonts w:ascii="Tahoma" w:hAnsi="Tahoma" w:cs="Tahoma"/>
          <w:sz w:val="24"/>
          <w:szCs w:val="24"/>
        </w:rPr>
        <w:t>e</w:t>
      </w:r>
      <w:r w:rsidR="000A5170" w:rsidRPr="00826D55">
        <w:rPr>
          <w:rFonts w:ascii="Tahoma" w:hAnsi="Tahoma" w:cs="Tahoma"/>
          <w:sz w:val="24"/>
          <w:szCs w:val="24"/>
        </w:rPr>
        <w:t> </w:t>
      </w:r>
      <w:r w:rsidRPr="00826D55">
        <w:rPr>
          <w:rFonts w:ascii="Tahoma" w:hAnsi="Tahoma" w:cs="Tahoma"/>
          <w:sz w:val="24"/>
          <w:szCs w:val="24"/>
        </w:rPr>
        <w:t xml:space="preserve">strategických dokumentů </w:t>
      </w:r>
      <w:r w:rsidRPr="00813FF5">
        <w:rPr>
          <w:rFonts w:ascii="Tahoma" w:hAnsi="Tahoma" w:cs="Tahoma"/>
          <w:sz w:val="24"/>
          <w:szCs w:val="24"/>
        </w:rPr>
        <w:t>kraje a navazuje na rozpočet kraje na rok 20</w:t>
      </w:r>
      <w:r w:rsidR="00CC32F5" w:rsidRPr="00813FF5">
        <w:rPr>
          <w:rFonts w:ascii="Tahoma" w:hAnsi="Tahoma" w:cs="Tahoma"/>
          <w:sz w:val="24"/>
          <w:szCs w:val="24"/>
        </w:rPr>
        <w:t>2</w:t>
      </w:r>
      <w:r w:rsidR="002559B6" w:rsidRPr="00813FF5">
        <w:rPr>
          <w:rFonts w:ascii="Tahoma" w:hAnsi="Tahoma" w:cs="Tahoma"/>
          <w:sz w:val="24"/>
          <w:szCs w:val="24"/>
        </w:rPr>
        <w:t>1</w:t>
      </w:r>
      <w:r w:rsidRPr="00813FF5">
        <w:rPr>
          <w:rFonts w:ascii="Tahoma" w:hAnsi="Tahoma" w:cs="Tahoma"/>
          <w:sz w:val="24"/>
          <w:szCs w:val="24"/>
        </w:rPr>
        <w:t>.</w:t>
      </w:r>
      <w:r w:rsidRPr="00826D55">
        <w:rPr>
          <w:rFonts w:ascii="Tahoma" w:hAnsi="Tahoma" w:cs="Tahoma"/>
          <w:sz w:val="24"/>
          <w:szCs w:val="24"/>
        </w:rPr>
        <w:t xml:space="preserve"> </w:t>
      </w:r>
      <w:r w:rsidR="00E11C73">
        <w:rPr>
          <w:rFonts w:ascii="Tahoma" w:hAnsi="Tahoma" w:cs="Tahoma"/>
          <w:sz w:val="24"/>
          <w:szCs w:val="24"/>
        </w:rPr>
        <w:t xml:space="preserve">Základním </w:t>
      </w:r>
      <w:r w:rsidR="008E7B37" w:rsidRPr="00826D55">
        <w:rPr>
          <w:rFonts w:ascii="Tahoma" w:hAnsi="Tahoma" w:cs="Tahoma"/>
          <w:sz w:val="24"/>
          <w:szCs w:val="24"/>
        </w:rPr>
        <w:t>dlouhodobým dokumentem kraje je Strategie rozvoje Moravskoslezského kraje</w:t>
      </w:r>
      <w:r w:rsidR="00FC2BF0" w:rsidRPr="00826D55">
        <w:rPr>
          <w:rFonts w:ascii="Tahoma" w:hAnsi="Tahoma" w:cs="Tahoma"/>
          <w:sz w:val="24"/>
          <w:szCs w:val="24"/>
        </w:rPr>
        <w:t xml:space="preserve"> </w:t>
      </w:r>
      <w:r w:rsidR="008E7B37" w:rsidRPr="00826D55">
        <w:rPr>
          <w:rFonts w:ascii="Tahoma" w:hAnsi="Tahoma" w:cs="Tahoma"/>
          <w:sz w:val="24"/>
          <w:szCs w:val="24"/>
        </w:rPr>
        <w:t>na léta 20</w:t>
      </w:r>
      <w:r w:rsidR="00CC32F5">
        <w:rPr>
          <w:rFonts w:ascii="Tahoma" w:hAnsi="Tahoma" w:cs="Tahoma"/>
          <w:sz w:val="24"/>
          <w:szCs w:val="24"/>
        </w:rPr>
        <w:t>19</w:t>
      </w:r>
      <w:r w:rsidR="008E7B37" w:rsidRPr="00826D55">
        <w:rPr>
          <w:rFonts w:ascii="Tahoma" w:hAnsi="Tahoma" w:cs="Tahoma"/>
          <w:sz w:val="24"/>
          <w:szCs w:val="24"/>
        </w:rPr>
        <w:t> </w:t>
      </w:r>
      <w:r w:rsidR="008E7B37" w:rsidRPr="00826D55">
        <w:rPr>
          <w:rFonts w:ascii="Tahoma" w:hAnsi="Tahoma" w:cs="Tahoma"/>
          <w:sz w:val="24"/>
          <w:szCs w:val="24"/>
        </w:rPr>
        <w:noBreakHyphen/>
        <w:t> 202</w:t>
      </w:r>
      <w:r w:rsidR="00CC32F5">
        <w:rPr>
          <w:rFonts w:ascii="Tahoma" w:hAnsi="Tahoma" w:cs="Tahoma"/>
          <w:sz w:val="24"/>
          <w:szCs w:val="24"/>
        </w:rPr>
        <w:t>7</w:t>
      </w:r>
      <w:r w:rsidR="008E7B37" w:rsidRPr="00826D55">
        <w:rPr>
          <w:rFonts w:ascii="Tahoma" w:hAnsi="Tahoma" w:cs="Tahoma"/>
          <w:sz w:val="24"/>
          <w:szCs w:val="24"/>
        </w:rPr>
        <w:t xml:space="preserve">, </w:t>
      </w:r>
      <w:r w:rsidR="00E11C73">
        <w:rPr>
          <w:rFonts w:ascii="Tahoma" w:hAnsi="Tahoma" w:cs="Tahoma"/>
          <w:sz w:val="24"/>
          <w:szCs w:val="24"/>
        </w:rPr>
        <w:t xml:space="preserve">který </w:t>
      </w:r>
      <w:r w:rsidR="009345BB">
        <w:rPr>
          <w:rFonts w:ascii="Tahoma" w:hAnsi="Tahoma" w:cs="Tahoma"/>
          <w:sz w:val="24"/>
          <w:szCs w:val="24"/>
        </w:rPr>
        <w:t>schválilo z</w:t>
      </w:r>
      <w:r w:rsidR="009345BB">
        <w:rPr>
          <w:rFonts w:ascii="Arial" w:hAnsi="Arial" w:cs="Arial"/>
          <w:color w:val="000000"/>
          <w:sz w:val="26"/>
          <w:szCs w:val="26"/>
        </w:rPr>
        <w:t>astupitelstvo svým usnesením č. 14/1717 ze dne 12.</w:t>
      </w:r>
      <w:r w:rsidR="007406F7">
        <w:rPr>
          <w:rFonts w:ascii="Arial" w:hAnsi="Arial" w:cs="Arial"/>
          <w:color w:val="000000"/>
          <w:sz w:val="26"/>
          <w:szCs w:val="26"/>
        </w:rPr>
        <w:t> </w:t>
      </w:r>
      <w:r w:rsidR="009345BB">
        <w:rPr>
          <w:rFonts w:ascii="Arial" w:hAnsi="Arial" w:cs="Arial"/>
          <w:color w:val="000000"/>
          <w:sz w:val="26"/>
          <w:szCs w:val="26"/>
        </w:rPr>
        <w:t xml:space="preserve">12. 2019. </w:t>
      </w:r>
      <w:r w:rsidR="00D35418">
        <w:rPr>
          <w:rFonts w:ascii="Tahoma" w:hAnsi="Tahoma" w:cs="Tahoma"/>
          <w:sz w:val="24"/>
          <w:szCs w:val="24"/>
        </w:rPr>
        <w:t xml:space="preserve">Strategie vychází z dlouhodobé vize, určuje prioritní témata rozvoje, stanovuje strategické oblasti změn, kterých chce kraj dosáhnout, navrhuje opatření </w:t>
      </w:r>
      <w:proofErr w:type="gramStart"/>
      <w:r w:rsidR="00D35418">
        <w:rPr>
          <w:rFonts w:ascii="Tahoma" w:hAnsi="Tahoma" w:cs="Tahoma"/>
          <w:sz w:val="24"/>
          <w:szCs w:val="24"/>
        </w:rPr>
        <w:t>a</w:t>
      </w:r>
      <w:r w:rsidR="007406F7">
        <w:rPr>
          <w:rFonts w:ascii="Tahoma" w:hAnsi="Tahoma" w:cs="Tahoma"/>
          <w:sz w:val="24"/>
          <w:szCs w:val="24"/>
        </w:rPr>
        <w:t> </w:t>
      </w:r>
      <w:r w:rsidR="00D35418">
        <w:rPr>
          <w:rFonts w:ascii="Tahoma" w:hAnsi="Tahoma" w:cs="Tahoma"/>
          <w:sz w:val="24"/>
          <w:szCs w:val="24"/>
        </w:rPr>
        <w:t xml:space="preserve"> typové</w:t>
      </w:r>
      <w:proofErr w:type="gramEnd"/>
      <w:r w:rsidR="00D35418">
        <w:rPr>
          <w:rFonts w:ascii="Tahoma" w:hAnsi="Tahoma" w:cs="Tahoma"/>
          <w:sz w:val="24"/>
          <w:szCs w:val="24"/>
        </w:rPr>
        <w:t xml:space="preserve"> aktivity, včetně návrhu strategických projektů, které mají k dosažení cílů vést. </w:t>
      </w:r>
      <w:r w:rsidR="00D1567B" w:rsidRPr="006F52CC">
        <w:rPr>
          <w:rFonts w:ascii="Tahoma" w:hAnsi="Tahoma" w:cs="Tahoma"/>
          <w:sz w:val="24"/>
          <w:szCs w:val="24"/>
        </w:rPr>
        <w:t xml:space="preserve">Výhled </w:t>
      </w:r>
      <w:r w:rsidR="006F52CC" w:rsidRPr="006F52CC">
        <w:rPr>
          <w:rFonts w:ascii="Tahoma" w:hAnsi="Tahoma" w:cs="Tahoma"/>
          <w:sz w:val="24"/>
          <w:szCs w:val="24"/>
        </w:rPr>
        <w:t xml:space="preserve">respektuje </w:t>
      </w:r>
      <w:r w:rsidR="00D1567B" w:rsidRPr="006F52CC">
        <w:rPr>
          <w:rFonts w:ascii="Tahoma" w:hAnsi="Tahoma" w:cs="Tahoma"/>
          <w:sz w:val="24"/>
          <w:szCs w:val="24"/>
        </w:rPr>
        <w:t>programového prohlášení rady kraje VIZE 20</w:t>
      </w:r>
      <w:r w:rsidR="008418FE">
        <w:rPr>
          <w:rFonts w:ascii="Tahoma" w:hAnsi="Tahoma" w:cs="Tahoma"/>
          <w:sz w:val="24"/>
          <w:szCs w:val="24"/>
        </w:rPr>
        <w:t>30</w:t>
      </w:r>
      <w:r w:rsidR="00D1567B" w:rsidRPr="006F52CC">
        <w:rPr>
          <w:rFonts w:ascii="Tahoma" w:hAnsi="Tahoma" w:cs="Tahoma"/>
          <w:sz w:val="24"/>
          <w:szCs w:val="24"/>
        </w:rPr>
        <w:t xml:space="preserve"> koaliční program pro Moravskoslezský kraj</w:t>
      </w:r>
      <w:r w:rsidR="00D1567B" w:rsidRPr="006F52CC">
        <w:rPr>
          <w:rFonts w:ascii="Tahoma" w:hAnsi="Tahoma" w:cs="Tahoma"/>
          <w:i/>
          <w:sz w:val="24"/>
          <w:szCs w:val="24"/>
        </w:rPr>
        <w:t>.</w:t>
      </w:r>
      <w:r w:rsidR="00E11C73" w:rsidRPr="006F52CC">
        <w:rPr>
          <w:rFonts w:ascii="Tahoma" w:hAnsi="Tahoma" w:cs="Tahoma"/>
          <w:i/>
          <w:sz w:val="24"/>
          <w:szCs w:val="24"/>
        </w:rPr>
        <w:t xml:space="preserve"> </w:t>
      </w:r>
      <w:r w:rsidR="008E7B37" w:rsidRPr="00826D55">
        <w:rPr>
          <w:rFonts w:ascii="Tahoma" w:hAnsi="Tahoma" w:cs="Tahoma"/>
          <w:sz w:val="24"/>
          <w:szCs w:val="24"/>
        </w:rPr>
        <w:t>Moravskoslezský kraj bude v období výhledu na</w:t>
      </w:r>
      <w:r w:rsidR="00EC5D06" w:rsidRPr="00826D55">
        <w:rPr>
          <w:rFonts w:ascii="Tahoma" w:hAnsi="Tahoma" w:cs="Tahoma"/>
          <w:sz w:val="24"/>
          <w:szCs w:val="24"/>
        </w:rPr>
        <w:t xml:space="preserve">plňovat </w:t>
      </w:r>
      <w:r w:rsidR="004959FD">
        <w:rPr>
          <w:rFonts w:ascii="Tahoma" w:hAnsi="Tahoma" w:cs="Tahoma"/>
          <w:sz w:val="24"/>
          <w:szCs w:val="24"/>
        </w:rPr>
        <w:t>schválené s</w:t>
      </w:r>
      <w:r w:rsidR="006F52CC">
        <w:rPr>
          <w:rFonts w:ascii="Tahoma" w:hAnsi="Tahoma" w:cs="Tahoma"/>
          <w:sz w:val="24"/>
          <w:szCs w:val="24"/>
        </w:rPr>
        <w:t>trategi</w:t>
      </w:r>
      <w:r w:rsidR="004959FD">
        <w:rPr>
          <w:rFonts w:ascii="Tahoma" w:hAnsi="Tahoma" w:cs="Tahoma"/>
          <w:sz w:val="24"/>
          <w:szCs w:val="24"/>
        </w:rPr>
        <w:t xml:space="preserve">e </w:t>
      </w:r>
      <w:r w:rsidR="006F52CC">
        <w:rPr>
          <w:rFonts w:ascii="Tahoma" w:hAnsi="Tahoma" w:cs="Tahoma"/>
          <w:sz w:val="24"/>
          <w:szCs w:val="24"/>
        </w:rPr>
        <w:t>kraje</w:t>
      </w:r>
      <w:r w:rsidR="00075236" w:rsidRPr="00826D55">
        <w:rPr>
          <w:rFonts w:ascii="Tahoma" w:hAnsi="Tahoma" w:cs="Tahoma"/>
          <w:sz w:val="24"/>
          <w:szCs w:val="24"/>
        </w:rPr>
        <w:t>, p</w:t>
      </w:r>
      <w:r w:rsidR="00EC5D06" w:rsidRPr="00826D55">
        <w:rPr>
          <w:rFonts w:ascii="Tahoma" w:hAnsi="Tahoma" w:cs="Tahoma"/>
          <w:sz w:val="24"/>
          <w:szCs w:val="24"/>
        </w:rPr>
        <w:t xml:space="preserve">řičemž </w:t>
      </w:r>
      <w:r w:rsidR="00075236" w:rsidRPr="00826D55">
        <w:rPr>
          <w:rFonts w:ascii="Tahoma" w:hAnsi="Tahoma" w:cs="Tahoma"/>
          <w:sz w:val="24"/>
          <w:szCs w:val="24"/>
        </w:rPr>
        <w:t xml:space="preserve">pro zajištění </w:t>
      </w:r>
      <w:r w:rsidR="002E3003">
        <w:rPr>
          <w:rFonts w:ascii="Tahoma" w:hAnsi="Tahoma" w:cs="Tahoma"/>
          <w:sz w:val="24"/>
          <w:szCs w:val="24"/>
        </w:rPr>
        <w:t xml:space="preserve">cílů </w:t>
      </w:r>
      <w:r w:rsidR="004959FD">
        <w:rPr>
          <w:rFonts w:ascii="Tahoma" w:hAnsi="Tahoma" w:cs="Tahoma"/>
          <w:sz w:val="24"/>
          <w:szCs w:val="24"/>
        </w:rPr>
        <w:t xml:space="preserve">těchto strategií </w:t>
      </w:r>
      <w:r w:rsidR="00F53BE6">
        <w:rPr>
          <w:rFonts w:ascii="Tahoma" w:hAnsi="Tahoma" w:cs="Tahoma"/>
          <w:sz w:val="24"/>
          <w:szCs w:val="24"/>
        </w:rPr>
        <w:t xml:space="preserve">budou </w:t>
      </w:r>
      <w:r w:rsidR="00EC5D06" w:rsidRPr="00826D55">
        <w:rPr>
          <w:rFonts w:ascii="Tahoma" w:hAnsi="Tahoma" w:cs="Tahoma"/>
          <w:sz w:val="24"/>
          <w:szCs w:val="24"/>
        </w:rPr>
        <w:t>max. využit</w:t>
      </w:r>
      <w:r w:rsidR="00075236" w:rsidRPr="00826D55">
        <w:rPr>
          <w:rFonts w:ascii="Tahoma" w:hAnsi="Tahoma" w:cs="Tahoma"/>
          <w:sz w:val="24"/>
          <w:szCs w:val="24"/>
        </w:rPr>
        <w:t>y</w:t>
      </w:r>
      <w:r w:rsidR="00EC5D06" w:rsidRPr="00826D55">
        <w:rPr>
          <w:rFonts w:ascii="Tahoma" w:hAnsi="Tahoma" w:cs="Tahoma"/>
          <w:sz w:val="24"/>
          <w:szCs w:val="24"/>
        </w:rPr>
        <w:t xml:space="preserve"> možnosti spolufinancování </w:t>
      </w:r>
      <w:r w:rsidR="008E7B37" w:rsidRPr="002E3003">
        <w:rPr>
          <w:rFonts w:ascii="Tahoma" w:hAnsi="Tahoma" w:cs="Tahoma"/>
          <w:sz w:val="24"/>
          <w:szCs w:val="24"/>
        </w:rPr>
        <w:t>z evropských finančních zdrojů</w:t>
      </w:r>
      <w:r w:rsidR="00EC5D06" w:rsidRPr="002E3003">
        <w:rPr>
          <w:rFonts w:ascii="Tahoma" w:hAnsi="Tahoma" w:cs="Tahoma"/>
          <w:sz w:val="24"/>
          <w:szCs w:val="24"/>
        </w:rPr>
        <w:t>, státního rozpočtu</w:t>
      </w:r>
      <w:r w:rsidR="00BA63FA" w:rsidRPr="002E3003">
        <w:rPr>
          <w:rFonts w:ascii="Tahoma" w:hAnsi="Tahoma" w:cs="Tahoma"/>
          <w:sz w:val="24"/>
          <w:szCs w:val="24"/>
        </w:rPr>
        <w:t>,</w:t>
      </w:r>
      <w:r w:rsidR="00EC5D06" w:rsidRPr="002E3003">
        <w:rPr>
          <w:rFonts w:ascii="Tahoma" w:hAnsi="Tahoma" w:cs="Tahoma"/>
          <w:sz w:val="24"/>
          <w:szCs w:val="24"/>
        </w:rPr>
        <w:t xml:space="preserve"> příp. dalších </w:t>
      </w:r>
      <w:r w:rsidR="00814244" w:rsidRPr="002E3003">
        <w:rPr>
          <w:rFonts w:ascii="Tahoma" w:hAnsi="Tahoma" w:cs="Tahoma"/>
          <w:sz w:val="24"/>
          <w:szCs w:val="24"/>
        </w:rPr>
        <w:t>subjektů</w:t>
      </w:r>
      <w:r w:rsidR="008E7B37" w:rsidRPr="002E3003">
        <w:rPr>
          <w:rFonts w:ascii="Tahoma" w:hAnsi="Tahoma" w:cs="Tahoma"/>
          <w:sz w:val="24"/>
          <w:szCs w:val="24"/>
        </w:rPr>
        <w:t>.</w:t>
      </w:r>
      <w:r w:rsidR="008765FC">
        <w:rPr>
          <w:rFonts w:ascii="Tahoma" w:hAnsi="Tahoma" w:cs="Tahoma"/>
          <w:sz w:val="24"/>
          <w:szCs w:val="24"/>
        </w:rPr>
        <w:t xml:space="preserve"> </w:t>
      </w:r>
      <w:r w:rsidR="00F756B9">
        <w:rPr>
          <w:rFonts w:ascii="Tahoma" w:hAnsi="Tahoma" w:cs="Tahoma"/>
          <w:sz w:val="24"/>
          <w:szCs w:val="24"/>
        </w:rPr>
        <w:t xml:space="preserve"> </w:t>
      </w:r>
      <w:r w:rsidR="00F53BE6">
        <w:rPr>
          <w:rFonts w:ascii="Tahoma" w:hAnsi="Tahoma" w:cs="Tahoma"/>
          <w:sz w:val="24"/>
          <w:szCs w:val="24"/>
        </w:rPr>
        <w:t>P</w:t>
      </w:r>
      <w:r w:rsidR="00F53BE6" w:rsidRPr="00826D55">
        <w:rPr>
          <w:rFonts w:ascii="Tahoma" w:hAnsi="Tahoma" w:cs="Tahoma"/>
          <w:sz w:val="24"/>
          <w:szCs w:val="24"/>
        </w:rPr>
        <w:t xml:space="preserve">ři sestavování výhledu se </w:t>
      </w:r>
      <w:r w:rsidR="00F53BE6">
        <w:rPr>
          <w:rFonts w:ascii="Tahoma" w:hAnsi="Tahoma" w:cs="Tahoma"/>
          <w:sz w:val="24"/>
          <w:szCs w:val="24"/>
        </w:rPr>
        <w:t xml:space="preserve">rovněž </w:t>
      </w:r>
      <w:r w:rsidR="00F53BE6" w:rsidRPr="00826D55">
        <w:rPr>
          <w:rFonts w:ascii="Tahoma" w:hAnsi="Tahoma" w:cs="Tahoma"/>
          <w:sz w:val="24"/>
          <w:szCs w:val="24"/>
        </w:rPr>
        <w:t>přihlédlo k</w:t>
      </w:r>
      <w:r w:rsidR="007406F7">
        <w:rPr>
          <w:rFonts w:ascii="Tahoma" w:hAnsi="Tahoma" w:cs="Tahoma"/>
          <w:sz w:val="24"/>
          <w:szCs w:val="24"/>
        </w:rPr>
        <w:t> </w:t>
      </w:r>
      <w:r w:rsidR="00666E3B" w:rsidRPr="00D06378">
        <w:rPr>
          <w:rFonts w:ascii="Tahoma" w:hAnsi="Tahoma" w:cs="Tahoma"/>
          <w:sz w:val="24"/>
          <w:szCs w:val="24"/>
        </w:rPr>
        <w:t>Makroekonomick</w:t>
      </w:r>
      <w:r w:rsidR="00D06378">
        <w:rPr>
          <w:rFonts w:ascii="Tahoma" w:hAnsi="Tahoma" w:cs="Tahoma"/>
          <w:sz w:val="24"/>
          <w:szCs w:val="24"/>
        </w:rPr>
        <w:t>é</w:t>
      </w:r>
      <w:r w:rsidR="00666E3B" w:rsidRPr="00D06378">
        <w:rPr>
          <w:rFonts w:ascii="Tahoma" w:hAnsi="Tahoma" w:cs="Tahoma"/>
          <w:sz w:val="24"/>
          <w:szCs w:val="24"/>
        </w:rPr>
        <w:t xml:space="preserve"> predikc</w:t>
      </w:r>
      <w:r w:rsidR="00D06378">
        <w:rPr>
          <w:rFonts w:ascii="Tahoma" w:hAnsi="Tahoma" w:cs="Tahoma"/>
          <w:sz w:val="24"/>
          <w:szCs w:val="24"/>
        </w:rPr>
        <w:t>i</w:t>
      </w:r>
      <w:r w:rsidR="00666E3B" w:rsidRPr="00D06378">
        <w:rPr>
          <w:rFonts w:ascii="Tahoma" w:hAnsi="Tahoma" w:cs="Tahoma"/>
          <w:sz w:val="24"/>
          <w:szCs w:val="24"/>
        </w:rPr>
        <w:t xml:space="preserve"> České republiky</w:t>
      </w:r>
      <w:r w:rsidR="00D06378" w:rsidRPr="00D06378">
        <w:rPr>
          <w:rFonts w:ascii="Tahoma" w:hAnsi="Tahoma" w:cs="Tahoma"/>
          <w:sz w:val="24"/>
          <w:szCs w:val="24"/>
        </w:rPr>
        <w:t xml:space="preserve"> </w:t>
      </w:r>
      <w:r w:rsidR="00666E3B" w:rsidRPr="00D06378">
        <w:rPr>
          <w:rFonts w:ascii="Tahoma" w:hAnsi="Tahoma" w:cs="Tahoma"/>
          <w:sz w:val="24"/>
          <w:szCs w:val="24"/>
        </w:rPr>
        <w:t xml:space="preserve">vydané Ministerstvem financí ČR, </w:t>
      </w:r>
      <w:r w:rsidR="000235AE" w:rsidRPr="000235AE">
        <w:rPr>
          <w:rFonts w:ascii="Tahoma" w:hAnsi="Tahoma" w:cs="Tahoma"/>
          <w:sz w:val="24"/>
          <w:szCs w:val="24"/>
        </w:rPr>
        <w:t>Zpráv</w:t>
      </w:r>
      <w:r w:rsidR="000235AE">
        <w:rPr>
          <w:rFonts w:ascii="Tahoma" w:hAnsi="Tahoma" w:cs="Tahoma"/>
          <w:sz w:val="24"/>
          <w:szCs w:val="24"/>
        </w:rPr>
        <w:t>ě</w:t>
      </w:r>
      <w:r w:rsidR="000235AE" w:rsidRPr="000235AE">
        <w:rPr>
          <w:rFonts w:ascii="Tahoma" w:hAnsi="Tahoma" w:cs="Tahoma"/>
          <w:sz w:val="24"/>
          <w:szCs w:val="24"/>
        </w:rPr>
        <w:t xml:space="preserve"> o měnové politice</w:t>
      </w:r>
      <w:r w:rsidR="000235AE">
        <w:rPr>
          <w:rFonts w:ascii="Tahoma" w:hAnsi="Tahoma" w:cs="Tahoma"/>
          <w:sz w:val="24"/>
          <w:szCs w:val="24"/>
        </w:rPr>
        <w:t xml:space="preserve"> vydané </w:t>
      </w:r>
      <w:r w:rsidR="00666E3B" w:rsidRPr="00D06378">
        <w:rPr>
          <w:rFonts w:ascii="Tahoma" w:hAnsi="Tahoma" w:cs="Tahoma"/>
          <w:sz w:val="24"/>
          <w:szCs w:val="24"/>
        </w:rPr>
        <w:t>Č</w:t>
      </w:r>
      <w:r w:rsidR="000235AE">
        <w:rPr>
          <w:rFonts w:ascii="Tahoma" w:hAnsi="Tahoma" w:cs="Tahoma"/>
          <w:sz w:val="24"/>
          <w:szCs w:val="24"/>
        </w:rPr>
        <w:t xml:space="preserve">eskou národní bankou a dalším dostupným odborným </w:t>
      </w:r>
      <w:r w:rsidR="00850791">
        <w:rPr>
          <w:rFonts w:ascii="Tahoma" w:hAnsi="Tahoma" w:cs="Tahoma"/>
          <w:sz w:val="24"/>
          <w:szCs w:val="24"/>
        </w:rPr>
        <w:t xml:space="preserve">statím. </w:t>
      </w:r>
      <w:r w:rsidR="00666E3B">
        <w:t xml:space="preserve">  </w:t>
      </w:r>
    </w:p>
    <w:p w14:paraId="34DAE6E1" w14:textId="77777777" w:rsidR="00666E3B" w:rsidRDefault="00666E3B" w:rsidP="00F53BE6">
      <w:pPr>
        <w:pStyle w:val="Zkladntext"/>
        <w:rPr>
          <w:rFonts w:ascii="Tahoma" w:hAnsi="Tahoma" w:cs="Tahoma"/>
          <w:sz w:val="24"/>
          <w:szCs w:val="24"/>
        </w:rPr>
      </w:pPr>
    </w:p>
    <w:p w14:paraId="3094A777" w14:textId="0E9BDEE9" w:rsidR="00F15DA0" w:rsidRDefault="00932A5B" w:rsidP="008A280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 xml:space="preserve">Po </w:t>
      </w:r>
      <w:r w:rsidRPr="000932ED">
        <w:rPr>
          <w:rFonts w:ascii="Tahoma" w:hAnsi="Tahoma" w:cs="Tahoma"/>
        </w:rPr>
        <w:t>období recese</w:t>
      </w:r>
      <w:r>
        <w:rPr>
          <w:rFonts w:ascii="Tahoma" w:hAnsi="Tahoma" w:cs="Tahoma"/>
        </w:rPr>
        <w:t xml:space="preserve"> v</w:t>
      </w:r>
      <w:r w:rsidRPr="000932ED">
        <w:rPr>
          <w:rFonts w:ascii="Tahoma" w:hAnsi="Tahoma" w:cs="Tahoma"/>
        </w:rPr>
        <w:t xml:space="preserve"> důsledku </w:t>
      </w:r>
      <w:r w:rsidR="008A2803" w:rsidRPr="008A2803">
        <w:rPr>
          <w:rFonts w:ascii="Tahoma" w:hAnsi="Tahoma" w:cs="Tahoma"/>
        </w:rPr>
        <w:t>propuknutím pandemického šíření onemocnění COVID-</w:t>
      </w:r>
      <w:r w:rsidR="007406F7">
        <w:rPr>
          <w:rFonts w:ascii="Tahoma" w:hAnsi="Tahoma" w:cs="Tahoma"/>
        </w:rPr>
        <w:t> </w:t>
      </w:r>
      <w:r w:rsidR="008A2803" w:rsidRPr="008A2803">
        <w:rPr>
          <w:rFonts w:ascii="Tahoma" w:hAnsi="Tahoma" w:cs="Tahoma"/>
        </w:rPr>
        <w:t xml:space="preserve">19 </w:t>
      </w:r>
      <w:r>
        <w:rPr>
          <w:rFonts w:ascii="Tahoma" w:hAnsi="Tahoma" w:cs="Tahoma"/>
        </w:rPr>
        <w:t xml:space="preserve">je </w:t>
      </w:r>
      <w:r w:rsidR="00EF6CC8" w:rsidRPr="00306E4B">
        <w:rPr>
          <w:rFonts w:ascii="Tahoma" w:hAnsi="Tahoma" w:cs="Tahoma"/>
        </w:rPr>
        <w:t xml:space="preserve">predikovaný růst výkonnosti české </w:t>
      </w:r>
      <w:r w:rsidR="00EF6CC8" w:rsidRPr="00017C58">
        <w:rPr>
          <w:rFonts w:ascii="Tahoma" w:hAnsi="Tahoma" w:cs="Tahoma"/>
        </w:rPr>
        <w:t>ekonomiky</w:t>
      </w:r>
      <w:r w:rsidR="00112FA8" w:rsidRPr="00017C58">
        <w:rPr>
          <w:rFonts w:ascii="Tahoma" w:hAnsi="Tahoma" w:cs="Tahoma"/>
        </w:rPr>
        <w:t xml:space="preserve">. Výhled </w:t>
      </w:r>
      <w:r w:rsidR="005F59D3" w:rsidRPr="00017C58">
        <w:rPr>
          <w:rFonts w:ascii="Tahoma" w:hAnsi="Tahoma" w:cs="Tahoma"/>
        </w:rPr>
        <w:t xml:space="preserve">proto </w:t>
      </w:r>
      <w:r w:rsidR="00EF6CC8" w:rsidRPr="00017C58">
        <w:rPr>
          <w:rFonts w:ascii="Tahoma" w:hAnsi="Tahoma" w:cs="Tahoma"/>
        </w:rPr>
        <w:t>očekává</w:t>
      </w:r>
      <w:r w:rsidR="005F59D3" w:rsidRPr="00017C58">
        <w:rPr>
          <w:rFonts w:ascii="Tahoma" w:hAnsi="Tahoma" w:cs="Tahoma"/>
        </w:rPr>
        <w:t xml:space="preserve"> </w:t>
      </w:r>
      <w:r w:rsidR="00EF6CC8" w:rsidRPr="00017C58">
        <w:rPr>
          <w:rFonts w:ascii="Tahoma" w:hAnsi="Tahoma" w:cs="Tahoma"/>
        </w:rPr>
        <w:t>postupný</w:t>
      </w:r>
      <w:r w:rsidR="00FB6127" w:rsidRPr="00017C58">
        <w:rPr>
          <w:rFonts w:ascii="Tahoma" w:hAnsi="Tahoma" w:cs="Tahoma"/>
        </w:rPr>
        <w:t xml:space="preserve"> </w:t>
      </w:r>
      <w:r w:rsidR="00EF6CC8" w:rsidRPr="00017C58">
        <w:rPr>
          <w:rFonts w:ascii="Tahoma" w:hAnsi="Tahoma" w:cs="Tahoma"/>
        </w:rPr>
        <w:t>meziroční růst</w:t>
      </w:r>
      <w:r w:rsidR="003B403C">
        <w:rPr>
          <w:rFonts w:ascii="Tahoma" w:hAnsi="Tahoma" w:cs="Tahoma"/>
        </w:rPr>
        <w:t xml:space="preserve"> </w:t>
      </w:r>
      <w:r w:rsidR="00984B1E">
        <w:rPr>
          <w:rFonts w:ascii="Tahoma" w:hAnsi="Tahoma" w:cs="Tahoma"/>
        </w:rPr>
        <w:t xml:space="preserve">objemu rozpočtů vyvolaný </w:t>
      </w:r>
      <w:r w:rsidR="00FB6127" w:rsidRPr="00017C58">
        <w:rPr>
          <w:rFonts w:ascii="Tahoma" w:hAnsi="Tahoma" w:cs="Tahoma"/>
        </w:rPr>
        <w:t>vyšším</w:t>
      </w:r>
      <w:r w:rsidR="00EF6CC8" w:rsidRPr="00017C58">
        <w:rPr>
          <w:rFonts w:ascii="Tahoma" w:hAnsi="Tahoma" w:cs="Tahoma"/>
        </w:rPr>
        <w:t xml:space="preserve"> inkas</w:t>
      </w:r>
      <w:r w:rsidR="00FB6127" w:rsidRPr="00017C58">
        <w:rPr>
          <w:rFonts w:ascii="Tahoma" w:hAnsi="Tahoma" w:cs="Tahoma"/>
        </w:rPr>
        <w:t>em</w:t>
      </w:r>
      <w:r w:rsidR="00EF6CC8" w:rsidRPr="00017C58">
        <w:rPr>
          <w:rFonts w:ascii="Tahoma" w:hAnsi="Tahoma" w:cs="Tahoma"/>
        </w:rPr>
        <w:t xml:space="preserve"> sdílených daní</w:t>
      </w:r>
      <w:r w:rsidR="0040738A" w:rsidRPr="00017C58">
        <w:rPr>
          <w:rFonts w:ascii="Tahoma" w:hAnsi="Tahoma" w:cs="Tahoma"/>
        </w:rPr>
        <w:t xml:space="preserve"> </w:t>
      </w:r>
      <w:proofErr w:type="gramStart"/>
      <w:r w:rsidR="0040738A" w:rsidRPr="00017C58">
        <w:rPr>
          <w:rFonts w:ascii="Tahoma" w:hAnsi="Tahoma" w:cs="Tahoma"/>
        </w:rPr>
        <w:t>a</w:t>
      </w:r>
      <w:r w:rsidR="007406F7">
        <w:rPr>
          <w:rFonts w:ascii="Tahoma" w:hAnsi="Tahoma" w:cs="Tahoma"/>
        </w:rPr>
        <w:t> </w:t>
      </w:r>
      <w:r w:rsidR="0040738A" w:rsidRPr="00017C58">
        <w:rPr>
          <w:rFonts w:ascii="Tahoma" w:hAnsi="Tahoma" w:cs="Tahoma"/>
        </w:rPr>
        <w:t xml:space="preserve"> </w:t>
      </w:r>
      <w:proofErr w:type="spellStart"/>
      <w:r w:rsidR="0040738A" w:rsidRPr="00017C58">
        <w:rPr>
          <w:rFonts w:ascii="Tahoma" w:hAnsi="Tahoma" w:cs="Tahoma"/>
        </w:rPr>
        <w:t>v</w:t>
      </w:r>
      <w:r w:rsidR="0050343D" w:rsidRPr="00017C58">
        <w:rPr>
          <w:rFonts w:ascii="Tahoma" w:hAnsi="Tahoma" w:cs="Tahoma"/>
        </w:rPr>
        <w:t>yužít</w:t>
      </w:r>
      <w:r w:rsidR="00EF7D09" w:rsidRPr="00017C58">
        <w:rPr>
          <w:rFonts w:ascii="Tahoma" w:hAnsi="Tahoma" w:cs="Tahoma"/>
        </w:rPr>
        <w:t>ím</w:t>
      </w:r>
      <w:proofErr w:type="spellEnd"/>
      <w:proofErr w:type="gramEnd"/>
      <w:r w:rsidR="0050343D" w:rsidRPr="00017C58">
        <w:rPr>
          <w:rFonts w:ascii="Tahoma" w:hAnsi="Tahoma" w:cs="Tahoma"/>
        </w:rPr>
        <w:t xml:space="preserve"> nových příležitost</w:t>
      </w:r>
      <w:r w:rsidR="00984B1E">
        <w:rPr>
          <w:rFonts w:ascii="Tahoma" w:hAnsi="Tahoma" w:cs="Tahoma"/>
        </w:rPr>
        <w:t>í</w:t>
      </w:r>
      <w:r w:rsidR="0050343D" w:rsidRPr="00017C58">
        <w:rPr>
          <w:rFonts w:ascii="Tahoma" w:hAnsi="Tahoma" w:cs="Tahoma"/>
        </w:rPr>
        <w:t xml:space="preserve"> </w:t>
      </w:r>
      <w:r w:rsidR="0040738A" w:rsidRPr="00017C58">
        <w:rPr>
          <w:rFonts w:ascii="Tahoma" w:hAnsi="Tahoma" w:cs="Tahoma"/>
        </w:rPr>
        <w:t xml:space="preserve">díky novému </w:t>
      </w:r>
      <w:r w:rsidR="00EF6CC8" w:rsidRPr="00017C58">
        <w:rPr>
          <w:rFonts w:ascii="Tahoma" w:hAnsi="Tahoma" w:cs="Tahoma"/>
        </w:rPr>
        <w:t>programové</w:t>
      </w:r>
      <w:r w:rsidR="009B561F">
        <w:rPr>
          <w:rFonts w:ascii="Tahoma" w:hAnsi="Tahoma" w:cs="Tahoma"/>
        </w:rPr>
        <w:t>mu</w:t>
      </w:r>
      <w:r w:rsidR="00EF6CC8" w:rsidRPr="00017C58">
        <w:rPr>
          <w:rFonts w:ascii="Tahoma" w:hAnsi="Tahoma" w:cs="Tahoma"/>
        </w:rPr>
        <w:t xml:space="preserve"> období</w:t>
      </w:r>
      <w:r w:rsidR="000202A0" w:rsidRPr="00017C58">
        <w:rPr>
          <w:rFonts w:ascii="Tahoma" w:hAnsi="Tahoma" w:cs="Tahoma"/>
        </w:rPr>
        <w:t xml:space="preserve"> 2021 - 2027</w:t>
      </w:r>
      <w:r w:rsidR="005403DF" w:rsidRPr="00017C58">
        <w:rPr>
          <w:rFonts w:ascii="Tahoma" w:hAnsi="Tahoma" w:cs="Tahoma"/>
        </w:rPr>
        <w:t xml:space="preserve">. </w:t>
      </w:r>
      <w:r w:rsidR="00AA37BD" w:rsidRPr="00017C58">
        <w:rPr>
          <w:rFonts w:ascii="Tahoma" w:hAnsi="Tahoma" w:cs="Tahoma"/>
        </w:rPr>
        <w:t>Je p</w:t>
      </w:r>
      <w:r w:rsidR="000202A0" w:rsidRPr="00017C58">
        <w:rPr>
          <w:rFonts w:ascii="Tahoma" w:hAnsi="Tahoma" w:cs="Tahoma"/>
        </w:rPr>
        <w:t xml:space="preserve">lánováno </w:t>
      </w:r>
      <w:r w:rsidR="00AA37BD" w:rsidRPr="00017C58">
        <w:rPr>
          <w:rFonts w:ascii="Tahoma" w:hAnsi="Tahoma" w:cs="Tahoma"/>
        </w:rPr>
        <w:t>v</w:t>
      </w:r>
      <w:r w:rsidR="000202A0" w:rsidRPr="00017C58">
        <w:rPr>
          <w:rFonts w:ascii="Tahoma" w:hAnsi="Tahoma" w:cs="Tahoma"/>
        </w:rPr>
        <w:t>y</w:t>
      </w:r>
      <w:r w:rsidR="00AA37BD" w:rsidRPr="00017C58">
        <w:rPr>
          <w:rFonts w:ascii="Tahoma" w:hAnsi="Tahoma" w:cs="Tahoma"/>
        </w:rPr>
        <w:t>čerpání přijatého investičního úvěru</w:t>
      </w:r>
      <w:r w:rsidR="000202A0" w:rsidRPr="00017C58">
        <w:rPr>
          <w:rFonts w:ascii="Tahoma" w:hAnsi="Tahoma" w:cs="Tahoma"/>
        </w:rPr>
        <w:t xml:space="preserve"> od České spořitelny ve výši </w:t>
      </w:r>
      <w:proofErr w:type="gramStart"/>
      <w:r w:rsidR="000202A0" w:rsidRPr="00017C58">
        <w:rPr>
          <w:rFonts w:ascii="Tahoma" w:hAnsi="Tahoma" w:cs="Tahoma"/>
        </w:rPr>
        <w:t>3</w:t>
      </w:r>
      <w:r w:rsidR="007406F7">
        <w:rPr>
          <w:rFonts w:ascii="Tahoma" w:hAnsi="Tahoma" w:cs="Tahoma"/>
        </w:rPr>
        <w:t> </w:t>
      </w:r>
      <w:r w:rsidR="000202A0" w:rsidRPr="00017C58">
        <w:rPr>
          <w:rFonts w:ascii="Tahoma" w:hAnsi="Tahoma" w:cs="Tahoma"/>
        </w:rPr>
        <w:t xml:space="preserve"> mld.</w:t>
      </w:r>
      <w:proofErr w:type="gramEnd"/>
      <w:r w:rsidR="007406F7">
        <w:rPr>
          <w:rFonts w:ascii="Tahoma" w:hAnsi="Tahoma" w:cs="Tahoma"/>
        </w:rPr>
        <w:t> </w:t>
      </w:r>
      <w:r w:rsidR="000202A0" w:rsidRPr="00017C58">
        <w:rPr>
          <w:rFonts w:ascii="Tahoma" w:hAnsi="Tahoma" w:cs="Tahoma"/>
        </w:rPr>
        <w:t xml:space="preserve"> Kč. </w:t>
      </w:r>
      <w:r w:rsidR="0017672C" w:rsidRPr="00017C58">
        <w:rPr>
          <w:rFonts w:ascii="Tahoma" w:hAnsi="Tahoma" w:cs="Tahoma"/>
        </w:rPr>
        <w:t>Přijetí dalšího úvěru je modelováno pouze v souvislosti s</w:t>
      </w:r>
      <w:r w:rsidR="003B65FA" w:rsidRPr="00017C58">
        <w:rPr>
          <w:rFonts w:ascii="Tahoma" w:hAnsi="Tahoma" w:cs="Tahoma"/>
        </w:rPr>
        <w:t> </w:t>
      </w:r>
      <w:r w:rsidR="0017672C" w:rsidRPr="00017C58">
        <w:rPr>
          <w:rFonts w:ascii="Tahoma" w:hAnsi="Tahoma" w:cs="Tahoma"/>
        </w:rPr>
        <w:t>ukončením</w:t>
      </w:r>
      <w:r w:rsidR="003B65FA" w:rsidRPr="00017C58">
        <w:rPr>
          <w:rFonts w:ascii="Tahoma" w:hAnsi="Tahoma" w:cs="Tahoma"/>
        </w:rPr>
        <w:t xml:space="preserve"> </w:t>
      </w:r>
      <w:r w:rsidR="00F74500" w:rsidRPr="00017C58">
        <w:rPr>
          <w:rFonts w:ascii="Tahoma" w:hAnsi="Tahoma" w:cs="Tahoma"/>
        </w:rPr>
        <w:t xml:space="preserve">čerpání </w:t>
      </w:r>
      <w:r w:rsidR="003B65FA" w:rsidRPr="00017C58">
        <w:rPr>
          <w:rFonts w:ascii="Tahoma" w:hAnsi="Tahoma" w:cs="Tahoma"/>
        </w:rPr>
        <w:t xml:space="preserve">úvěru od </w:t>
      </w:r>
      <w:r w:rsidR="002B089F" w:rsidRPr="00017C58">
        <w:rPr>
          <w:rFonts w:ascii="Tahoma" w:hAnsi="Tahoma" w:cs="Tahoma"/>
        </w:rPr>
        <w:t>UniCredit Bank Czech Republic and Slovakia, a.s.</w:t>
      </w:r>
      <w:r w:rsidR="00EF7D09" w:rsidRPr="00017C58">
        <w:rPr>
          <w:rFonts w:ascii="Tahoma" w:hAnsi="Tahoma" w:cs="Tahoma"/>
        </w:rPr>
        <w:t xml:space="preserve"> </w:t>
      </w:r>
      <w:r w:rsidR="005C0353" w:rsidRPr="00017C58">
        <w:rPr>
          <w:rFonts w:ascii="Tahoma" w:hAnsi="Tahoma" w:cs="Tahoma"/>
        </w:rPr>
        <w:t>na předfinancování akcí spolufinancovaných z evropských finančních zdrojů</w:t>
      </w:r>
      <w:r w:rsidR="00F74500" w:rsidRPr="00017C58">
        <w:rPr>
          <w:rFonts w:ascii="Tahoma" w:hAnsi="Tahoma" w:cs="Tahoma"/>
        </w:rPr>
        <w:t xml:space="preserve"> v roce 2023</w:t>
      </w:r>
      <w:r w:rsidR="005C0353" w:rsidRPr="00017C58">
        <w:rPr>
          <w:rFonts w:ascii="Tahoma" w:hAnsi="Tahoma" w:cs="Tahoma"/>
        </w:rPr>
        <w:t xml:space="preserve">. </w:t>
      </w:r>
      <w:r w:rsidR="009B561F">
        <w:rPr>
          <w:rFonts w:ascii="Tahoma" w:hAnsi="Tahoma" w:cs="Tahoma"/>
        </w:rPr>
        <w:t xml:space="preserve">Stávající </w:t>
      </w:r>
      <w:proofErr w:type="gramStart"/>
      <w:r w:rsidR="009B561F">
        <w:rPr>
          <w:rFonts w:ascii="Tahoma" w:hAnsi="Tahoma" w:cs="Tahoma"/>
        </w:rPr>
        <w:t>a</w:t>
      </w:r>
      <w:r w:rsidR="007406F7">
        <w:rPr>
          <w:rFonts w:ascii="Tahoma" w:hAnsi="Tahoma" w:cs="Tahoma"/>
        </w:rPr>
        <w:t> </w:t>
      </w:r>
      <w:r w:rsidR="009B561F">
        <w:rPr>
          <w:rFonts w:ascii="Tahoma" w:hAnsi="Tahoma" w:cs="Tahoma"/>
        </w:rPr>
        <w:t xml:space="preserve"> p</w:t>
      </w:r>
      <w:r w:rsidR="00017C58" w:rsidRPr="00017C58">
        <w:rPr>
          <w:rFonts w:ascii="Tahoma" w:hAnsi="Tahoma" w:cs="Tahoma"/>
        </w:rPr>
        <w:t>lánované</w:t>
      </w:r>
      <w:proofErr w:type="gramEnd"/>
      <w:r w:rsidR="00017C58" w:rsidRPr="00017C58">
        <w:rPr>
          <w:rFonts w:ascii="Tahoma" w:hAnsi="Tahoma" w:cs="Tahoma"/>
        </w:rPr>
        <w:t xml:space="preserve"> ú</w:t>
      </w:r>
      <w:r w:rsidR="005204F1" w:rsidRPr="00017C58">
        <w:rPr>
          <w:rFonts w:ascii="Tahoma" w:hAnsi="Tahoma" w:cs="Tahoma"/>
        </w:rPr>
        <w:t>věrové zdroje bud</w:t>
      </w:r>
      <w:r w:rsidR="00017C58" w:rsidRPr="00017C58">
        <w:rPr>
          <w:rFonts w:ascii="Tahoma" w:hAnsi="Tahoma" w:cs="Tahoma"/>
        </w:rPr>
        <w:t>e kraj</w:t>
      </w:r>
      <w:r w:rsidR="00017C58">
        <w:rPr>
          <w:rFonts w:ascii="Tahoma" w:hAnsi="Tahoma" w:cs="Tahoma"/>
        </w:rPr>
        <w:t xml:space="preserve"> </w:t>
      </w:r>
      <w:r w:rsidR="00ED168C">
        <w:rPr>
          <w:rFonts w:ascii="Tahoma" w:hAnsi="Tahoma" w:cs="Tahoma"/>
        </w:rPr>
        <w:t xml:space="preserve">výhradně </w:t>
      </w:r>
      <w:r w:rsidR="005204F1" w:rsidRPr="00E07213">
        <w:rPr>
          <w:rFonts w:ascii="Tahoma" w:hAnsi="Tahoma" w:cs="Tahoma"/>
        </w:rPr>
        <w:t>využív</w:t>
      </w:r>
      <w:r w:rsidR="00017C58">
        <w:rPr>
          <w:rFonts w:ascii="Tahoma" w:hAnsi="Tahoma" w:cs="Tahoma"/>
        </w:rPr>
        <w:t xml:space="preserve">at </w:t>
      </w:r>
      <w:r w:rsidR="005204F1" w:rsidRPr="00E07213">
        <w:rPr>
          <w:rFonts w:ascii="Tahoma" w:hAnsi="Tahoma" w:cs="Tahoma"/>
        </w:rPr>
        <w:t xml:space="preserve">na financování </w:t>
      </w:r>
      <w:r w:rsidR="005204F1" w:rsidRPr="00017C58">
        <w:rPr>
          <w:rFonts w:ascii="Tahoma" w:hAnsi="Tahoma" w:cs="Tahoma"/>
        </w:rPr>
        <w:t>akcí reprodukce majetku a</w:t>
      </w:r>
      <w:r w:rsidR="007406F7">
        <w:rPr>
          <w:rFonts w:ascii="Tahoma" w:hAnsi="Tahoma" w:cs="Tahoma"/>
        </w:rPr>
        <w:t> </w:t>
      </w:r>
      <w:r w:rsidR="005204F1" w:rsidRPr="00017C58">
        <w:rPr>
          <w:rFonts w:ascii="Tahoma" w:hAnsi="Tahoma" w:cs="Tahoma"/>
        </w:rPr>
        <w:t xml:space="preserve"> dále na krátkodobé předfinancování dotací, případně na částečné spolufinancování u akcí spolufinancovaných z EU a státního rozpočtu</w:t>
      </w:r>
      <w:r w:rsidR="00E07213" w:rsidRPr="00017C58">
        <w:rPr>
          <w:rFonts w:ascii="Tahoma" w:hAnsi="Tahoma" w:cs="Tahoma"/>
        </w:rPr>
        <w:t>,</w:t>
      </w:r>
      <w:r w:rsidR="005204F1" w:rsidRPr="00017C58">
        <w:rPr>
          <w:rFonts w:ascii="Tahoma" w:hAnsi="Tahoma" w:cs="Tahoma"/>
        </w:rPr>
        <w:t xml:space="preserve"> </w:t>
      </w:r>
      <w:r w:rsidR="00017C58" w:rsidRPr="00017C58">
        <w:rPr>
          <w:rFonts w:ascii="Tahoma" w:hAnsi="Tahoma" w:cs="Tahoma"/>
        </w:rPr>
        <w:t>čímž bude</w:t>
      </w:r>
      <w:r w:rsidR="00E07213" w:rsidRPr="00017C58">
        <w:rPr>
          <w:rFonts w:ascii="Tahoma" w:hAnsi="Tahoma" w:cs="Tahoma"/>
        </w:rPr>
        <w:t xml:space="preserve"> </w:t>
      </w:r>
      <w:r w:rsidR="005204F1" w:rsidRPr="00017C58">
        <w:rPr>
          <w:rFonts w:ascii="Tahoma" w:hAnsi="Tahoma" w:cs="Tahoma"/>
        </w:rPr>
        <w:t>udržena nízká zadluženost kraje.</w:t>
      </w:r>
      <w:r w:rsidR="00B21043">
        <w:rPr>
          <w:rFonts w:ascii="Tahoma" w:hAnsi="Tahoma" w:cs="Tahoma"/>
        </w:rPr>
        <w:t xml:space="preserve"> </w:t>
      </w:r>
      <w:r w:rsidR="006C43BA">
        <w:rPr>
          <w:rFonts w:ascii="Tahoma" w:hAnsi="Tahoma" w:cs="Tahoma"/>
        </w:rPr>
        <w:t>V</w:t>
      </w:r>
      <w:r w:rsidR="00340B9E">
        <w:rPr>
          <w:rFonts w:ascii="Tahoma" w:hAnsi="Tahoma" w:cs="Tahoma"/>
        </w:rPr>
        <w:t xml:space="preserve">ýhled </w:t>
      </w:r>
      <w:r w:rsidR="00575E38">
        <w:rPr>
          <w:rFonts w:ascii="Tahoma" w:hAnsi="Tahoma" w:cs="Tahoma"/>
        </w:rPr>
        <w:t xml:space="preserve">počítá s částkou </w:t>
      </w:r>
      <w:r w:rsidR="00575E38" w:rsidRPr="00E635C0">
        <w:rPr>
          <w:rFonts w:ascii="Tahoma" w:hAnsi="Tahoma" w:cs="Tahoma"/>
        </w:rPr>
        <w:t>v</w:t>
      </w:r>
      <w:r w:rsidR="00575E38">
        <w:rPr>
          <w:rFonts w:ascii="Tahoma" w:hAnsi="Tahoma" w:cs="Tahoma"/>
        </w:rPr>
        <w:t xml:space="preserve"> celkovém objemu </w:t>
      </w:r>
      <w:r w:rsidR="00575E38" w:rsidRPr="00E635C0">
        <w:rPr>
          <w:rFonts w:ascii="Tahoma" w:hAnsi="Tahoma" w:cs="Tahoma"/>
        </w:rPr>
        <w:t>1,</w:t>
      </w:r>
      <w:proofErr w:type="gramStart"/>
      <w:r w:rsidR="00575E38" w:rsidRPr="00E635C0">
        <w:rPr>
          <w:rFonts w:ascii="Tahoma" w:hAnsi="Tahoma" w:cs="Tahoma"/>
        </w:rPr>
        <w:t>5</w:t>
      </w:r>
      <w:r w:rsidR="007406F7">
        <w:rPr>
          <w:rFonts w:ascii="Tahoma" w:hAnsi="Tahoma" w:cs="Tahoma"/>
        </w:rPr>
        <w:t> </w:t>
      </w:r>
      <w:r w:rsidR="00575E38" w:rsidRPr="00E635C0">
        <w:rPr>
          <w:rFonts w:ascii="Tahoma" w:hAnsi="Tahoma" w:cs="Tahoma"/>
        </w:rPr>
        <w:t xml:space="preserve"> mld.</w:t>
      </w:r>
      <w:proofErr w:type="gramEnd"/>
      <w:r w:rsidR="00575E38" w:rsidRPr="00E635C0">
        <w:rPr>
          <w:rFonts w:ascii="Tahoma" w:hAnsi="Tahoma" w:cs="Tahoma"/>
        </w:rPr>
        <w:t xml:space="preserve"> Kč</w:t>
      </w:r>
      <w:r w:rsidR="00575E38">
        <w:rPr>
          <w:rFonts w:ascii="Tahoma" w:hAnsi="Tahoma" w:cs="Tahoma"/>
        </w:rPr>
        <w:t xml:space="preserve"> na zatím</w:t>
      </w:r>
      <w:r w:rsidR="006C43BA">
        <w:rPr>
          <w:rFonts w:ascii="Tahoma" w:hAnsi="Tahoma" w:cs="Tahoma"/>
        </w:rPr>
        <w:t xml:space="preserve"> </w:t>
      </w:r>
      <w:r w:rsidR="00340B9E">
        <w:rPr>
          <w:rFonts w:ascii="Tahoma" w:hAnsi="Tahoma" w:cs="Tahoma"/>
        </w:rPr>
        <w:t>n</w:t>
      </w:r>
      <w:r w:rsidR="007C7E9A" w:rsidRPr="00E635C0">
        <w:rPr>
          <w:rFonts w:ascii="Tahoma" w:hAnsi="Tahoma" w:cs="Tahoma"/>
        </w:rPr>
        <w:t>especifikované výdaje</w:t>
      </w:r>
      <w:r w:rsidR="00340B9E">
        <w:rPr>
          <w:rFonts w:ascii="Tahoma" w:hAnsi="Tahoma" w:cs="Tahoma"/>
        </w:rPr>
        <w:t xml:space="preserve">. </w:t>
      </w:r>
      <w:r w:rsidR="005B4AD5">
        <w:rPr>
          <w:rFonts w:ascii="Tahoma" w:hAnsi="Tahoma" w:cs="Tahoma"/>
        </w:rPr>
        <w:t xml:space="preserve"> Tyto výdaje společně s nezapojenými </w:t>
      </w:r>
      <w:r w:rsidR="007C7E9A" w:rsidRPr="00E635C0">
        <w:rPr>
          <w:rFonts w:ascii="Tahoma" w:hAnsi="Tahoma" w:cs="Tahoma"/>
        </w:rPr>
        <w:t xml:space="preserve">prostředky </w:t>
      </w:r>
      <w:r w:rsidR="00A96698">
        <w:rPr>
          <w:rFonts w:ascii="Tahoma" w:hAnsi="Tahoma" w:cs="Tahoma"/>
        </w:rPr>
        <w:t xml:space="preserve">peněžních </w:t>
      </w:r>
      <w:r w:rsidR="007C7E9A" w:rsidRPr="00E635C0">
        <w:rPr>
          <w:rFonts w:ascii="Tahoma" w:hAnsi="Tahoma" w:cs="Tahoma"/>
        </w:rPr>
        <w:t>fondů kraje</w:t>
      </w:r>
      <w:r w:rsidR="0090694E">
        <w:rPr>
          <w:rFonts w:ascii="Tahoma" w:hAnsi="Tahoma" w:cs="Tahoma"/>
        </w:rPr>
        <w:t xml:space="preserve"> a </w:t>
      </w:r>
      <w:r w:rsidR="007C7E9A" w:rsidRPr="00E635C0">
        <w:rPr>
          <w:rFonts w:ascii="Tahoma" w:hAnsi="Tahoma" w:cs="Tahoma"/>
        </w:rPr>
        <w:t xml:space="preserve">další </w:t>
      </w:r>
      <w:r w:rsidR="005B4AD5">
        <w:rPr>
          <w:rFonts w:ascii="Tahoma" w:hAnsi="Tahoma" w:cs="Tahoma"/>
        </w:rPr>
        <w:t>eventuální extérní zdroj</w:t>
      </w:r>
      <w:r w:rsidR="00D306D8">
        <w:rPr>
          <w:rFonts w:ascii="Tahoma" w:hAnsi="Tahoma" w:cs="Tahoma"/>
        </w:rPr>
        <w:t>e (</w:t>
      </w:r>
      <w:r w:rsidR="00E94835">
        <w:rPr>
          <w:rFonts w:ascii="Tahoma" w:hAnsi="Tahoma" w:cs="Tahoma"/>
        </w:rPr>
        <w:t xml:space="preserve">rozpočet </w:t>
      </w:r>
      <w:r w:rsidR="00D306D8">
        <w:rPr>
          <w:rFonts w:ascii="Tahoma" w:hAnsi="Tahoma" w:cs="Tahoma"/>
        </w:rPr>
        <w:t>stát</w:t>
      </w:r>
      <w:r w:rsidR="00E94835">
        <w:rPr>
          <w:rFonts w:ascii="Tahoma" w:hAnsi="Tahoma" w:cs="Tahoma"/>
        </w:rPr>
        <w:t>u</w:t>
      </w:r>
      <w:r w:rsidR="00D306D8">
        <w:rPr>
          <w:rFonts w:ascii="Tahoma" w:hAnsi="Tahoma" w:cs="Tahoma"/>
        </w:rPr>
        <w:t>, EU)</w:t>
      </w:r>
      <w:r w:rsidR="00C27575">
        <w:rPr>
          <w:rFonts w:ascii="Tahoma" w:hAnsi="Tahoma" w:cs="Tahoma"/>
        </w:rPr>
        <w:t xml:space="preserve"> </w:t>
      </w:r>
      <w:r w:rsidR="00A67C61">
        <w:rPr>
          <w:rFonts w:ascii="Tahoma" w:hAnsi="Tahoma" w:cs="Tahoma"/>
        </w:rPr>
        <w:t xml:space="preserve">umožní kraji </w:t>
      </w:r>
      <w:proofErr w:type="gramStart"/>
      <w:r w:rsidR="00A67C61">
        <w:rPr>
          <w:rFonts w:ascii="Tahoma" w:hAnsi="Tahoma" w:cs="Tahoma"/>
        </w:rPr>
        <w:t>ve</w:t>
      </w:r>
      <w:r w:rsidR="007406F7">
        <w:rPr>
          <w:rFonts w:ascii="Tahoma" w:hAnsi="Tahoma" w:cs="Tahoma"/>
        </w:rPr>
        <w:t> </w:t>
      </w:r>
      <w:r w:rsidR="00A67C61">
        <w:rPr>
          <w:rFonts w:ascii="Tahoma" w:hAnsi="Tahoma" w:cs="Tahoma"/>
        </w:rPr>
        <w:t xml:space="preserve"> sledovaném</w:t>
      </w:r>
      <w:proofErr w:type="gramEnd"/>
      <w:r w:rsidR="00A67C61">
        <w:rPr>
          <w:rFonts w:ascii="Tahoma" w:hAnsi="Tahoma" w:cs="Tahoma"/>
        </w:rPr>
        <w:t xml:space="preserve"> období realizovat </w:t>
      </w:r>
      <w:r w:rsidR="00E94835">
        <w:rPr>
          <w:rFonts w:ascii="Tahoma" w:hAnsi="Tahoma" w:cs="Tahoma"/>
        </w:rPr>
        <w:t xml:space="preserve">další </w:t>
      </w:r>
      <w:r w:rsidR="007C7E9A" w:rsidRPr="00E635C0">
        <w:rPr>
          <w:rFonts w:ascii="Tahoma" w:hAnsi="Tahoma" w:cs="Tahoma"/>
        </w:rPr>
        <w:t>projekty</w:t>
      </w:r>
      <w:r w:rsidR="00F15DA0">
        <w:rPr>
          <w:rFonts w:ascii="Tahoma" w:hAnsi="Tahoma" w:cs="Tahoma"/>
        </w:rPr>
        <w:t xml:space="preserve"> kraje, jeho organizací příp. umožní i podporu v rámci vyhlašovaných dotačních program</w:t>
      </w:r>
      <w:r w:rsidR="00A96698">
        <w:rPr>
          <w:rFonts w:ascii="Tahoma" w:hAnsi="Tahoma" w:cs="Tahoma"/>
        </w:rPr>
        <w:t>ů</w:t>
      </w:r>
      <w:r w:rsidR="00F15DA0">
        <w:rPr>
          <w:rFonts w:ascii="Tahoma" w:hAnsi="Tahoma" w:cs="Tahoma"/>
        </w:rPr>
        <w:t xml:space="preserve"> kraje</w:t>
      </w:r>
      <w:r w:rsidR="003A74E0">
        <w:rPr>
          <w:rFonts w:ascii="Tahoma" w:hAnsi="Tahoma" w:cs="Tahoma"/>
        </w:rPr>
        <w:t xml:space="preserve">. </w:t>
      </w:r>
    </w:p>
    <w:p w14:paraId="05EF5720" w14:textId="77777777" w:rsidR="007C7E9A" w:rsidRDefault="007C7E9A" w:rsidP="007C7E9A">
      <w:pPr>
        <w:spacing w:after="30"/>
        <w:jc w:val="both"/>
        <w:rPr>
          <w:rFonts w:ascii="Tahoma" w:hAnsi="Tahoma" w:cs="Tahoma"/>
        </w:rPr>
      </w:pPr>
    </w:p>
    <w:p w14:paraId="79E65A07" w14:textId="68EAF4C0" w:rsidR="009D347E" w:rsidRDefault="009D347E" w:rsidP="009D347E">
      <w:pPr>
        <w:tabs>
          <w:tab w:val="center" w:pos="4962"/>
        </w:tabs>
        <w:rPr>
          <w:rFonts w:ascii="Tahoma" w:hAnsi="Tahoma" w:cs="Tahoma"/>
          <w:sz w:val="16"/>
          <w:szCs w:val="16"/>
        </w:rPr>
      </w:pPr>
      <w:r w:rsidRPr="002E3003">
        <w:rPr>
          <w:rFonts w:ascii="Tahoma" w:hAnsi="Tahoma" w:cs="Tahoma"/>
          <w:sz w:val="16"/>
          <w:szCs w:val="16"/>
        </w:rPr>
        <w:t xml:space="preserve">Graf č. 1 Vývoj výhledu </w:t>
      </w:r>
      <w:r w:rsidR="00344E5B">
        <w:rPr>
          <w:rFonts w:ascii="Tahoma" w:hAnsi="Tahoma" w:cs="Tahoma"/>
          <w:sz w:val="16"/>
          <w:szCs w:val="16"/>
        </w:rPr>
        <w:t xml:space="preserve">v jednotlivých letech </w:t>
      </w:r>
      <w:r w:rsidRPr="002E3003">
        <w:rPr>
          <w:rFonts w:ascii="Tahoma" w:hAnsi="Tahoma" w:cs="Tahoma"/>
          <w:sz w:val="16"/>
          <w:szCs w:val="16"/>
        </w:rPr>
        <w:t>(v mil. Kč)</w:t>
      </w:r>
    </w:p>
    <w:p w14:paraId="18BC4B29" w14:textId="0A9C1C78" w:rsidR="00C21827" w:rsidRDefault="00C21827" w:rsidP="009D347E">
      <w:pPr>
        <w:tabs>
          <w:tab w:val="center" w:pos="4962"/>
        </w:tabs>
        <w:rPr>
          <w:rFonts w:ascii="Tahoma" w:hAnsi="Tahoma" w:cs="Tahoma"/>
          <w:sz w:val="16"/>
          <w:szCs w:val="16"/>
        </w:rPr>
      </w:pPr>
    </w:p>
    <w:p w14:paraId="21FCE064" w14:textId="3AD00712" w:rsidR="00C21827" w:rsidRDefault="00C21827" w:rsidP="009D347E">
      <w:pPr>
        <w:tabs>
          <w:tab w:val="center" w:pos="4962"/>
        </w:tabs>
        <w:rPr>
          <w:rFonts w:ascii="Tahoma" w:hAnsi="Tahoma" w:cs="Tahoma"/>
          <w:sz w:val="16"/>
          <w:szCs w:val="16"/>
        </w:rPr>
      </w:pPr>
      <w:r>
        <w:rPr>
          <w:rFonts w:ascii="Tahoma" w:hAnsi="Tahoma" w:cs="Tahoma"/>
          <w:noProof/>
          <w:sz w:val="16"/>
          <w:szCs w:val="16"/>
        </w:rPr>
        <w:drawing>
          <wp:inline distT="0" distB="0" distL="0" distR="0" wp14:anchorId="3A9E57F8" wp14:editId="655EF11D">
            <wp:extent cx="3562350" cy="214135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7929" cy="2168755"/>
                    </a:xfrm>
                    <a:prstGeom prst="rect">
                      <a:avLst/>
                    </a:prstGeom>
                    <a:noFill/>
                  </pic:spPr>
                </pic:pic>
              </a:graphicData>
            </a:graphic>
          </wp:inline>
        </w:drawing>
      </w:r>
    </w:p>
    <w:p w14:paraId="360CC18C" w14:textId="2269E364" w:rsidR="007406F7" w:rsidRDefault="007406F7" w:rsidP="009D347E">
      <w:pPr>
        <w:tabs>
          <w:tab w:val="center" w:pos="4962"/>
        </w:tabs>
        <w:rPr>
          <w:rFonts w:ascii="Tahoma" w:hAnsi="Tahoma" w:cs="Tahoma"/>
          <w:sz w:val="16"/>
          <w:szCs w:val="16"/>
        </w:rPr>
      </w:pPr>
    </w:p>
    <w:p w14:paraId="53452A66" w14:textId="42A4ED7A" w:rsidR="007406F7" w:rsidRDefault="007406F7" w:rsidP="009D347E">
      <w:pPr>
        <w:tabs>
          <w:tab w:val="center" w:pos="4962"/>
        </w:tabs>
        <w:rPr>
          <w:rFonts w:ascii="Tahoma" w:hAnsi="Tahoma" w:cs="Tahoma"/>
          <w:sz w:val="16"/>
          <w:szCs w:val="16"/>
        </w:rPr>
      </w:pPr>
    </w:p>
    <w:p w14:paraId="4596E693" w14:textId="77777777" w:rsidR="00A17664" w:rsidRDefault="00F82123" w:rsidP="009D347E">
      <w:pPr>
        <w:pStyle w:val="FormtovanvHTML"/>
        <w:jc w:val="both"/>
        <w:rPr>
          <w:rFonts w:ascii="Tahoma" w:hAnsi="Tahoma" w:cs="Tahoma"/>
          <w:sz w:val="24"/>
          <w:szCs w:val="24"/>
        </w:rPr>
      </w:pPr>
      <w:r w:rsidRPr="00826D55">
        <w:rPr>
          <w:rFonts w:ascii="Tahoma" w:hAnsi="Tahoma" w:cs="Tahoma"/>
          <w:sz w:val="24"/>
          <w:szCs w:val="24"/>
        </w:rPr>
        <w:t xml:space="preserve">Hlavním </w:t>
      </w:r>
      <w:r w:rsidRPr="00EF2D99">
        <w:rPr>
          <w:rFonts w:ascii="Tahoma" w:hAnsi="Tahoma" w:cs="Tahoma"/>
          <w:sz w:val="24"/>
          <w:szCs w:val="24"/>
        </w:rPr>
        <w:t xml:space="preserve">trendem výhledu je </w:t>
      </w:r>
      <w:r w:rsidR="000F4075">
        <w:rPr>
          <w:rFonts w:ascii="Tahoma" w:hAnsi="Tahoma" w:cs="Tahoma"/>
          <w:sz w:val="24"/>
          <w:szCs w:val="24"/>
        </w:rPr>
        <w:t xml:space="preserve">růst </w:t>
      </w:r>
      <w:r w:rsidRPr="003B20C1">
        <w:rPr>
          <w:rFonts w:ascii="Tahoma" w:hAnsi="Tahoma" w:cs="Tahoma"/>
          <w:sz w:val="24"/>
          <w:szCs w:val="24"/>
        </w:rPr>
        <w:t>objem</w:t>
      </w:r>
      <w:r w:rsidR="00B1122B" w:rsidRPr="003B20C1">
        <w:rPr>
          <w:rFonts w:ascii="Tahoma" w:hAnsi="Tahoma" w:cs="Tahoma"/>
          <w:sz w:val="24"/>
          <w:szCs w:val="24"/>
        </w:rPr>
        <w:t>u</w:t>
      </w:r>
      <w:r w:rsidRPr="003B20C1">
        <w:rPr>
          <w:rFonts w:ascii="Tahoma" w:hAnsi="Tahoma" w:cs="Tahoma"/>
          <w:sz w:val="24"/>
          <w:szCs w:val="24"/>
        </w:rPr>
        <w:t xml:space="preserve"> </w:t>
      </w:r>
      <w:r w:rsidR="00AB38BF" w:rsidRPr="003B20C1">
        <w:rPr>
          <w:rFonts w:ascii="Tahoma" w:hAnsi="Tahoma" w:cs="Tahoma"/>
          <w:sz w:val="24"/>
          <w:szCs w:val="24"/>
        </w:rPr>
        <w:t>rozpočtů</w:t>
      </w:r>
      <w:r w:rsidR="00B1122B" w:rsidRPr="00EF2D99">
        <w:rPr>
          <w:rFonts w:ascii="Tahoma" w:hAnsi="Tahoma" w:cs="Tahoma"/>
          <w:sz w:val="24"/>
          <w:szCs w:val="24"/>
        </w:rPr>
        <w:t xml:space="preserve"> v jednotlivých letech, </w:t>
      </w:r>
      <w:r w:rsidR="0035172B" w:rsidRPr="00EF2D99">
        <w:rPr>
          <w:rFonts w:ascii="Tahoma" w:hAnsi="Tahoma" w:cs="Tahoma"/>
          <w:sz w:val="24"/>
          <w:szCs w:val="24"/>
        </w:rPr>
        <w:t>mírn</w:t>
      </w:r>
      <w:r w:rsidR="006F52CC">
        <w:rPr>
          <w:rFonts w:ascii="Tahoma" w:hAnsi="Tahoma" w:cs="Tahoma"/>
          <w:sz w:val="24"/>
          <w:szCs w:val="24"/>
        </w:rPr>
        <w:t>é</w:t>
      </w:r>
      <w:r w:rsidR="0035172B" w:rsidRPr="00EF2D99">
        <w:rPr>
          <w:rFonts w:ascii="Tahoma" w:hAnsi="Tahoma" w:cs="Tahoma"/>
          <w:sz w:val="24"/>
          <w:szCs w:val="24"/>
        </w:rPr>
        <w:t xml:space="preserve"> kolísání</w:t>
      </w:r>
      <w:r w:rsidR="0035172B">
        <w:rPr>
          <w:rFonts w:ascii="Tahoma" w:hAnsi="Tahoma" w:cs="Tahoma"/>
          <w:sz w:val="24"/>
          <w:szCs w:val="24"/>
        </w:rPr>
        <w:t xml:space="preserve"> </w:t>
      </w:r>
      <w:proofErr w:type="gramStart"/>
      <w:r w:rsidR="0035172B">
        <w:rPr>
          <w:rFonts w:ascii="Tahoma" w:hAnsi="Tahoma" w:cs="Tahoma"/>
          <w:sz w:val="24"/>
          <w:szCs w:val="24"/>
        </w:rPr>
        <w:t xml:space="preserve">je  </w:t>
      </w:r>
      <w:r w:rsidR="00B1122B" w:rsidRPr="00826D55">
        <w:rPr>
          <w:rFonts w:ascii="Tahoma" w:hAnsi="Tahoma" w:cs="Tahoma"/>
          <w:sz w:val="24"/>
          <w:szCs w:val="24"/>
        </w:rPr>
        <w:t>ovlivněno</w:t>
      </w:r>
      <w:proofErr w:type="gramEnd"/>
      <w:r w:rsidR="00B1122B" w:rsidRPr="00826D55">
        <w:rPr>
          <w:rFonts w:ascii="Tahoma" w:hAnsi="Tahoma" w:cs="Tahoma"/>
          <w:sz w:val="24"/>
          <w:szCs w:val="24"/>
        </w:rPr>
        <w:t xml:space="preserve"> hlavně </w:t>
      </w:r>
      <w:r w:rsidR="00EF2D99">
        <w:rPr>
          <w:rFonts w:ascii="Tahoma" w:hAnsi="Tahoma" w:cs="Tahoma"/>
          <w:sz w:val="24"/>
          <w:szCs w:val="24"/>
        </w:rPr>
        <w:t xml:space="preserve">realizací významných víceletých investičních akcí kraje a </w:t>
      </w:r>
      <w:r w:rsidR="00B1122B" w:rsidRPr="00826D55">
        <w:rPr>
          <w:rFonts w:ascii="Tahoma" w:hAnsi="Tahoma" w:cs="Tahoma"/>
          <w:sz w:val="24"/>
          <w:szCs w:val="24"/>
        </w:rPr>
        <w:t>akcemi spolufinancovan</w:t>
      </w:r>
      <w:r w:rsidR="008E4961" w:rsidRPr="00826D55">
        <w:rPr>
          <w:rFonts w:ascii="Tahoma" w:hAnsi="Tahoma" w:cs="Tahoma"/>
          <w:sz w:val="24"/>
          <w:szCs w:val="24"/>
        </w:rPr>
        <w:t xml:space="preserve">ými </w:t>
      </w:r>
      <w:r w:rsidR="00B1122B" w:rsidRPr="00826D55">
        <w:rPr>
          <w:rFonts w:ascii="Tahoma" w:hAnsi="Tahoma" w:cs="Tahoma"/>
          <w:sz w:val="24"/>
          <w:szCs w:val="24"/>
        </w:rPr>
        <w:t>z evropských finančních zdrojů.</w:t>
      </w:r>
      <w:r w:rsidR="003B20C1">
        <w:rPr>
          <w:rFonts w:ascii="Tahoma" w:hAnsi="Tahoma" w:cs="Tahoma"/>
          <w:sz w:val="24"/>
          <w:szCs w:val="24"/>
        </w:rPr>
        <w:t xml:space="preserve"> </w:t>
      </w:r>
      <w:r w:rsidR="00B1122B" w:rsidRPr="000473B6">
        <w:rPr>
          <w:rFonts w:ascii="Tahoma" w:hAnsi="Tahoma" w:cs="Tahoma"/>
          <w:sz w:val="24"/>
          <w:szCs w:val="24"/>
        </w:rPr>
        <w:t>V</w:t>
      </w:r>
      <w:r w:rsidR="0035172B" w:rsidRPr="000473B6">
        <w:rPr>
          <w:rFonts w:ascii="Tahoma" w:hAnsi="Tahoma" w:cs="Tahoma"/>
          <w:sz w:val="24"/>
          <w:szCs w:val="24"/>
        </w:rPr>
        <w:t xml:space="preserve"> roce </w:t>
      </w:r>
      <w:r w:rsidR="00B1122B" w:rsidRPr="000473B6">
        <w:rPr>
          <w:rFonts w:ascii="Tahoma" w:hAnsi="Tahoma" w:cs="Tahoma"/>
          <w:sz w:val="24"/>
          <w:szCs w:val="24"/>
        </w:rPr>
        <w:t>202</w:t>
      </w:r>
      <w:r w:rsidR="002121B9" w:rsidRPr="000473B6">
        <w:rPr>
          <w:rFonts w:ascii="Tahoma" w:hAnsi="Tahoma" w:cs="Tahoma"/>
          <w:sz w:val="24"/>
          <w:szCs w:val="24"/>
        </w:rPr>
        <w:t>5</w:t>
      </w:r>
      <w:r w:rsidR="00B1122B" w:rsidRPr="000473B6">
        <w:rPr>
          <w:rFonts w:ascii="Tahoma" w:hAnsi="Tahoma" w:cs="Tahoma"/>
          <w:sz w:val="24"/>
          <w:szCs w:val="24"/>
        </w:rPr>
        <w:t xml:space="preserve"> j</w:t>
      </w:r>
      <w:r w:rsidR="0035172B" w:rsidRPr="000473B6">
        <w:rPr>
          <w:rFonts w:ascii="Tahoma" w:hAnsi="Tahoma" w:cs="Tahoma"/>
          <w:sz w:val="24"/>
          <w:szCs w:val="24"/>
        </w:rPr>
        <w:t xml:space="preserve">e </w:t>
      </w:r>
      <w:r w:rsidR="00B1122B" w:rsidRPr="007406F7">
        <w:rPr>
          <w:rFonts w:ascii="Tahoma" w:hAnsi="Tahoma" w:cs="Tahoma"/>
          <w:bCs/>
          <w:sz w:val="24"/>
          <w:szCs w:val="24"/>
        </w:rPr>
        <w:t>plánován přebytkov</w:t>
      </w:r>
      <w:r w:rsidR="0035172B" w:rsidRPr="007406F7">
        <w:rPr>
          <w:rFonts w:ascii="Tahoma" w:hAnsi="Tahoma" w:cs="Tahoma"/>
          <w:bCs/>
          <w:sz w:val="24"/>
          <w:szCs w:val="24"/>
        </w:rPr>
        <w:t>ý</w:t>
      </w:r>
      <w:r w:rsidR="00B1122B" w:rsidRPr="007406F7">
        <w:rPr>
          <w:rFonts w:ascii="Tahoma" w:hAnsi="Tahoma" w:cs="Tahoma"/>
          <w:bCs/>
          <w:sz w:val="24"/>
          <w:szCs w:val="24"/>
        </w:rPr>
        <w:t xml:space="preserve"> rozpoč</w:t>
      </w:r>
      <w:r w:rsidR="0035172B" w:rsidRPr="007406F7">
        <w:rPr>
          <w:rFonts w:ascii="Tahoma" w:hAnsi="Tahoma" w:cs="Tahoma"/>
          <w:bCs/>
          <w:sz w:val="24"/>
          <w:szCs w:val="24"/>
        </w:rPr>
        <w:t>e</w:t>
      </w:r>
      <w:r w:rsidR="00B1122B" w:rsidRPr="007406F7">
        <w:rPr>
          <w:rFonts w:ascii="Tahoma" w:hAnsi="Tahoma" w:cs="Tahoma"/>
          <w:bCs/>
          <w:sz w:val="24"/>
          <w:szCs w:val="24"/>
        </w:rPr>
        <w:t>t</w:t>
      </w:r>
      <w:r w:rsidRPr="007406F7">
        <w:rPr>
          <w:rFonts w:ascii="Tahoma" w:hAnsi="Tahoma" w:cs="Tahoma"/>
          <w:bCs/>
          <w:sz w:val="24"/>
          <w:szCs w:val="24"/>
        </w:rPr>
        <w:t>,</w:t>
      </w:r>
      <w:r w:rsidR="00B1122B" w:rsidRPr="007406F7">
        <w:rPr>
          <w:rFonts w:ascii="Tahoma" w:hAnsi="Tahoma" w:cs="Tahoma"/>
          <w:bCs/>
          <w:sz w:val="24"/>
          <w:szCs w:val="24"/>
        </w:rPr>
        <w:t xml:space="preserve"> tzn. příjmy převyšují výdaje, a to v souvislosti </w:t>
      </w:r>
      <w:proofErr w:type="gramStart"/>
      <w:r w:rsidR="00B1122B" w:rsidRPr="007406F7">
        <w:rPr>
          <w:rFonts w:ascii="Tahoma" w:hAnsi="Tahoma" w:cs="Tahoma"/>
          <w:bCs/>
          <w:sz w:val="24"/>
          <w:szCs w:val="24"/>
        </w:rPr>
        <w:t>s</w:t>
      </w:r>
      <w:r w:rsidR="000A5170" w:rsidRPr="000473B6">
        <w:rPr>
          <w:rFonts w:ascii="Tahoma" w:hAnsi="Tahoma" w:cs="Tahoma"/>
          <w:sz w:val="24"/>
          <w:szCs w:val="24"/>
        </w:rPr>
        <w:t> </w:t>
      </w:r>
      <w:r w:rsidR="00B1122B" w:rsidRPr="000473B6">
        <w:rPr>
          <w:rFonts w:ascii="Tahoma" w:hAnsi="Tahoma" w:cs="Tahoma"/>
          <w:sz w:val="24"/>
          <w:szCs w:val="24"/>
        </w:rPr>
        <w:t xml:space="preserve"> přijetím</w:t>
      </w:r>
      <w:proofErr w:type="gramEnd"/>
      <w:r w:rsidR="00B1122B" w:rsidRPr="000473B6">
        <w:rPr>
          <w:rFonts w:ascii="Tahoma" w:hAnsi="Tahoma" w:cs="Tahoma"/>
          <w:sz w:val="24"/>
          <w:szCs w:val="24"/>
        </w:rPr>
        <w:t xml:space="preserve"> dotací z operačních programů</w:t>
      </w:r>
      <w:r w:rsidR="00D353CE" w:rsidRPr="000473B6">
        <w:rPr>
          <w:rFonts w:ascii="Tahoma" w:hAnsi="Tahoma" w:cs="Tahoma"/>
          <w:sz w:val="24"/>
          <w:szCs w:val="24"/>
        </w:rPr>
        <w:t xml:space="preserve">, </w:t>
      </w:r>
      <w:r w:rsidR="0035172B" w:rsidRPr="000473B6">
        <w:rPr>
          <w:rFonts w:ascii="Tahoma" w:hAnsi="Tahoma" w:cs="Tahoma"/>
          <w:sz w:val="24"/>
          <w:szCs w:val="24"/>
        </w:rPr>
        <w:t xml:space="preserve">což je </w:t>
      </w:r>
      <w:r w:rsidR="00D353CE" w:rsidRPr="000473B6">
        <w:rPr>
          <w:rFonts w:ascii="Tahoma" w:hAnsi="Tahoma" w:cs="Tahoma"/>
          <w:sz w:val="24"/>
          <w:szCs w:val="24"/>
        </w:rPr>
        <w:t xml:space="preserve">ovlivněno </w:t>
      </w:r>
      <w:r w:rsidR="00AC1EEA" w:rsidRPr="000473B6">
        <w:rPr>
          <w:rFonts w:ascii="Tahoma" w:hAnsi="Tahoma" w:cs="Tahoma"/>
          <w:sz w:val="24"/>
          <w:szCs w:val="24"/>
        </w:rPr>
        <w:t xml:space="preserve">očekávaným </w:t>
      </w:r>
      <w:r w:rsidR="000473B6" w:rsidRPr="000473B6">
        <w:rPr>
          <w:rFonts w:ascii="Tahoma" w:hAnsi="Tahoma" w:cs="Tahoma"/>
          <w:sz w:val="24"/>
          <w:szCs w:val="24"/>
        </w:rPr>
        <w:t xml:space="preserve">již plným </w:t>
      </w:r>
      <w:r w:rsidR="009D347E" w:rsidRPr="000473B6">
        <w:rPr>
          <w:rFonts w:ascii="Tahoma" w:hAnsi="Tahoma" w:cs="Tahoma"/>
          <w:sz w:val="24"/>
          <w:szCs w:val="24"/>
        </w:rPr>
        <w:t>nástupem nového programového období 2021 – 2027</w:t>
      </w:r>
      <w:r w:rsidR="00B1122B" w:rsidRPr="000473B6">
        <w:rPr>
          <w:rFonts w:ascii="Tahoma" w:hAnsi="Tahoma" w:cs="Tahoma"/>
          <w:sz w:val="24"/>
          <w:szCs w:val="24"/>
        </w:rPr>
        <w:t>.</w:t>
      </w:r>
      <w:r w:rsidRPr="00826D55">
        <w:rPr>
          <w:rFonts w:ascii="Tahoma" w:hAnsi="Tahoma" w:cs="Tahoma"/>
          <w:sz w:val="24"/>
          <w:szCs w:val="24"/>
        </w:rPr>
        <w:t xml:space="preserve"> </w:t>
      </w:r>
    </w:p>
    <w:p w14:paraId="79E65A0B" w14:textId="708BFDDC" w:rsidR="0035172B" w:rsidRDefault="008C11CC" w:rsidP="009D347E">
      <w:pPr>
        <w:pStyle w:val="FormtovanvHTML"/>
        <w:jc w:val="both"/>
        <w:rPr>
          <w:rFonts w:ascii="Tahoma" w:hAnsi="Tahoma" w:cs="Tahoma"/>
          <w:sz w:val="24"/>
          <w:szCs w:val="24"/>
        </w:rPr>
      </w:pPr>
      <w:r w:rsidRPr="00826D55">
        <w:rPr>
          <w:rFonts w:ascii="Tahoma" w:hAnsi="Tahoma" w:cs="Tahoma"/>
          <w:sz w:val="24"/>
          <w:szCs w:val="24"/>
        </w:rPr>
        <w:t xml:space="preserve"> </w:t>
      </w:r>
    </w:p>
    <w:p w14:paraId="76F34D7A" w14:textId="5AB0D2C9" w:rsidR="00C31B66" w:rsidRDefault="0041487D" w:rsidP="00A17664">
      <w:pPr>
        <w:spacing w:after="30"/>
        <w:jc w:val="both"/>
        <w:rPr>
          <w:rFonts w:ascii="Tahoma" w:hAnsi="Tahoma" w:cs="Tahoma"/>
        </w:rPr>
      </w:pPr>
      <w:r w:rsidRPr="00EC2427">
        <w:rPr>
          <w:rFonts w:ascii="Tahoma" w:hAnsi="Tahoma" w:cs="Tahoma"/>
        </w:rPr>
        <w:t xml:space="preserve">Rozpočet EU </w:t>
      </w:r>
      <w:r w:rsidR="00C36E6C">
        <w:rPr>
          <w:rFonts w:ascii="Tahoma" w:hAnsi="Tahoma" w:cs="Tahoma"/>
        </w:rPr>
        <w:t xml:space="preserve">chce </w:t>
      </w:r>
      <w:r w:rsidR="00E42048" w:rsidRPr="00E42048">
        <w:rPr>
          <w:rFonts w:ascii="Tahoma" w:hAnsi="Tahoma" w:cs="Tahoma"/>
        </w:rPr>
        <w:t>unijní</w:t>
      </w:r>
      <w:r w:rsidR="00E42048">
        <w:rPr>
          <w:rFonts w:ascii="Tahoma" w:hAnsi="Tahoma" w:cs="Tahoma"/>
        </w:rPr>
        <w:t>m</w:t>
      </w:r>
      <w:r w:rsidR="00E42048" w:rsidRPr="00E42048">
        <w:rPr>
          <w:rFonts w:ascii="Tahoma" w:hAnsi="Tahoma" w:cs="Tahoma"/>
        </w:rPr>
        <w:t xml:space="preserve"> plán</w:t>
      </w:r>
      <w:r w:rsidR="00E42048">
        <w:rPr>
          <w:rFonts w:ascii="Tahoma" w:hAnsi="Tahoma" w:cs="Tahoma"/>
        </w:rPr>
        <w:t>em</w:t>
      </w:r>
      <w:r w:rsidR="00E42048" w:rsidRPr="00E42048">
        <w:rPr>
          <w:rFonts w:ascii="Tahoma" w:hAnsi="Tahoma" w:cs="Tahoma"/>
        </w:rPr>
        <w:t xml:space="preserve"> obnovy </w:t>
      </w:r>
      <w:proofErr w:type="spellStart"/>
      <w:r w:rsidR="00E42048" w:rsidRPr="00E42048">
        <w:rPr>
          <w:rFonts w:ascii="Tahoma" w:hAnsi="Tahoma" w:cs="Tahoma"/>
        </w:rPr>
        <w:t>Next</w:t>
      </w:r>
      <w:proofErr w:type="spellEnd"/>
      <w:r w:rsidR="00E42048" w:rsidRPr="00E42048">
        <w:rPr>
          <w:rFonts w:ascii="Tahoma" w:hAnsi="Tahoma" w:cs="Tahoma"/>
        </w:rPr>
        <w:t xml:space="preserve"> </w:t>
      </w:r>
      <w:proofErr w:type="spellStart"/>
      <w:r w:rsidR="00E42048" w:rsidRPr="00E42048">
        <w:rPr>
          <w:rFonts w:ascii="Tahoma" w:hAnsi="Tahoma" w:cs="Tahoma"/>
        </w:rPr>
        <w:t>Generation</w:t>
      </w:r>
      <w:proofErr w:type="spellEnd"/>
      <w:r w:rsidR="00E42048" w:rsidRPr="00E42048">
        <w:rPr>
          <w:rFonts w:ascii="Tahoma" w:hAnsi="Tahoma" w:cs="Tahoma"/>
        </w:rPr>
        <w:t xml:space="preserve"> EU</w:t>
      </w:r>
      <w:r w:rsidR="00E42048" w:rsidRPr="00CB045E">
        <w:rPr>
          <w:rFonts w:ascii="Tahoma" w:hAnsi="Tahoma" w:cs="Tahoma"/>
        </w:rPr>
        <w:t xml:space="preserve"> </w:t>
      </w:r>
      <w:r w:rsidRPr="00EC2427">
        <w:rPr>
          <w:rFonts w:ascii="Tahoma" w:hAnsi="Tahoma" w:cs="Tahoma"/>
        </w:rPr>
        <w:t xml:space="preserve">na podporu ekonomického oživení </w:t>
      </w:r>
      <w:r w:rsidR="00741588">
        <w:rPr>
          <w:rFonts w:ascii="Tahoma" w:hAnsi="Tahoma" w:cs="Tahoma"/>
        </w:rPr>
        <w:t xml:space="preserve">pomoci </w:t>
      </w:r>
      <w:r w:rsidR="00F3714B" w:rsidRPr="00EC2427">
        <w:rPr>
          <w:rFonts w:ascii="Tahoma" w:hAnsi="Tahoma" w:cs="Tahoma"/>
        </w:rPr>
        <w:t>členským státům řešit hospodářské a sociální dopady</w:t>
      </w:r>
      <w:r w:rsidR="00856945">
        <w:rPr>
          <w:rFonts w:ascii="Tahoma" w:hAnsi="Tahoma" w:cs="Tahoma"/>
        </w:rPr>
        <w:t xml:space="preserve"> </w:t>
      </w:r>
      <w:r w:rsidR="00856945" w:rsidRPr="008A2803">
        <w:rPr>
          <w:rFonts w:ascii="Tahoma" w:hAnsi="Tahoma" w:cs="Tahoma"/>
        </w:rPr>
        <w:t xml:space="preserve">pandemického šíření onemocnění COVID-19 </w:t>
      </w:r>
      <w:r w:rsidR="00F3714B" w:rsidRPr="00EC2427">
        <w:rPr>
          <w:rFonts w:ascii="Tahoma" w:hAnsi="Tahoma" w:cs="Tahoma"/>
        </w:rPr>
        <w:t>a zajistit, aby ekonomiky uskutečnily ekologickou a digitální transformaci a staly se udržitelnějšími.</w:t>
      </w:r>
      <w:r w:rsidR="00741588" w:rsidRPr="00CB045E">
        <w:rPr>
          <w:rFonts w:ascii="Tahoma" w:hAnsi="Tahoma" w:cs="Tahoma"/>
        </w:rPr>
        <w:t> </w:t>
      </w:r>
      <w:r w:rsidR="00F028BD" w:rsidRPr="00132B21">
        <w:rPr>
          <w:rFonts w:ascii="Tahoma" w:hAnsi="Tahoma" w:cs="Tahoma"/>
        </w:rPr>
        <w:t xml:space="preserve">Plán obnovy </w:t>
      </w:r>
      <w:proofErr w:type="gramStart"/>
      <w:r w:rsidR="00F028BD" w:rsidRPr="00132B21">
        <w:rPr>
          <w:rFonts w:ascii="Tahoma" w:hAnsi="Tahoma" w:cs="Tahoma"/>
        </w:rPr>
        <w:t xml:space="preserve">obsahuje </w:t>
      </w:r>
      <w:r w:rsidR="00F028BD">
        <w:rPr>
          <w:rFonts w:ascii="Tahoma" w:hAnsi="Tahoma" w:cs="Tahoma"/>
        </w:rPr>
        <w:t xml:space="preserve"> </w:t>
      </w:r>
      <w:proofErr w:type="spellStart"/>
      <w:r w:rsidR="00F028BD">
        <w:rPr>
          <w:rFonts w:ascii="Tahoma" w:hAnsi="Tahoma" w:cs="Tahoma"/>
        </w:rPr>
        <w:t>m</w:t>
      </w:r>
      <w:r w:rsidR="00F028BD" w:rsidRPr="00132B21">
        <w:rPr>
          <w:rFonts w:ascii="Tahoma" w:hAnsi="Tahoma" w:cs="Tahoma"/>
        </w:rPr>
        <w:t>ěkteré</w:t>
      </w:r>
      <w:proofErr w:type="spellEnd"/>
      <w:proofErr w:type="gramEnd"/>
      <w:r w:rsidR="00F028BD" w:rsidRPr="00132B21">
        <w:rPr>
          <w:rFonts w:ascii="Tahoma" w:hAnsi="Tahoma" w:cs="Tahoma"/>
        </w:rPr>
        <w:t xml:space="preserve"> zcela nové nástroje</w:t>
      </w:r>
      <w:r w:rsidR="00FC190B">
        <w:rPr>
          <w:rFonts w:ascii="Tahoma" w:hAnsi="Tahoma" w:cs="Tahoma"/>
        </w:rPr>
        <w:t>, a to</w:t>
      </w:r>
      <w:r w:rsidR="00F028BD">
        <w:rPr>
          <w:rFonts w:ascii="Tahoma" w:hAnsi="Tahoma" w:cs="Tahoma"/>
        </w:rPr>
        <w:t xml:space="preserve"> </w:t>
      </w:r>
      <w:r w:rsidR="00F028BD" w:rsidRPr="00132B21">
        <w:rPr>
          <w:rFonts w:ascii="Tahoma" w:hAnsi="Tahoma" w:cs="Tahoma"/>
        </w:rPr>
        <w:t>Nástroj pro oživení a odolnost</w:t>
      </w:r>
      <w:r w:rsidR="00FC190B">
        <w:rPr>
          <w:rFonts w:ascii="Tahoma" w:hAnsi="Tahoma" w:cs="Tahoma"/>
        </w:rPr>
        <w:t xml:space="preserve">, </w:t>
      </w:r>
      <w:r w:rsidR="00F028BD" w:rsidRPr="00132B21">
        <w:rPr>
          <w:rFonts w:ascii="Tahoma" w:hAnsi="Tahoma" w:cs="Tahoma"/>
        </w:rPr>
        <w:t>Fond pro</w:t>
      </w:r>
      <w:r w:rsidR="007406F7">
        <w:rPr>
          <w:rFonts w:ascii="Tahoma" w:hAnsi="Tahoma" w:cs="Tahoma"/>
        </w:rPr>
        <w:t> </w:t>
      </w:r>
      <w:r w:rsidR="00F028BD" w:rsidRPr="00132B21">
        <w:rPr>
          <w:rFonts w:ascii="Tahoma" w:hAnsi="Tahoma" w:cs="Tahoma"/>
        </w:rPr>
        <w:t>spravedlivou transformaci</w:t>
      </w:r>
      <w:r w:rsidR="00FC190B">
        <w:rPr>
          <w:rFonts w:ascii="Tahoma" w:hAnsi="Tahoma" w:cs="Tahoma"/>
        </w:rPr>
        <w:t xml:space="preserve">, </w:t>
      </w:r>
      <w:r w:rsidR="00F028BD" w:rsidRPr="00132B21">
        <w:rPr>
          <w:rFonts w:ascii="Tahoma" w:hAnsi="Tahoma" w:cs="Tahoma"/>
        </w:rPr>
        <w:t xml:space="preserve">REACT-EU </w:t>
      </w:r>
      <w:r w:rsidR="00FC190B">
        <w:rPr>
          <w:rFonts w:ascii="Tahoma" w:hAnsi="Tahoma" w:cs="Tahoma"/>
        </w:rPr>
        <w:t xml:space="preserve">a </w:t>
      </w:r>
      <w:r w:rsidR="00F028BD" w:rsidRPr="00132B21">
        <w:rPr>
          <w:rFonts w:ascii="Tahoma" w:hAnsi="Tahoma" w:cs="Tahoma"/>
        </w:rPr>
        <w:t>Program rozvoje venkova</w:t>
      </w:r>
      <w:r w:rsidR="00FC190B">
        <w:rPr>
          <w:rFonts w:ascii="Tahoma" w:hAnsi="Tahoma" w:cs="Tahoma"/>
        </w:rPr>
        <w:t xml:space="preserve">. </w:t>
      </w:r>
      <w:r w:rsidR="00741588">
        <w:rPr>
          <w:rFonts w:ascii="Tahoma" w:hAnsi="Tahoma" w:cs="Tahoma"/>
        </w:rPr>
        <w:t xml:space="preserve">Česká republika </w:t>
      </w:r>
      <w:r w:rsidR="00233CF4">
        <w:rPr>
          <w:rFonts w:ascii="Tahoma" w:hAnsi="Tahoma" w:cs="Tahoma"/>
        </w:rPr>
        <w:t xml:space="preserve">se </w:t>
      </w:r>
      <w:proofErr w:type="gramStart"/>
      <w:r w:rsidR="00233CF4">
        <w:rPr>
          <w:rFonts w:ascii="Tahoma" w:hAnsi="Tahoma" w:cs="Tahoma"/>
        </w:rPr>
        <w:t xml:space="preserve">svým </w:t>
      </w:r>
      <w:r w:rsidR="00741588">
        <w:rPr>
          <w:rFonts w:ascii="Tahoma" w:hAnsi="Tahoma" w:cs="Tahoma"/>
        </w:rPr>
        <w:t xml:space="preserve"> </w:t>
      </w:r>
      <w:r w:rsidR="00741588" w:rsidRPr="004C713C">
        <w:rPr>
          <w:rFonts w:ascii="Tahoma" w:hAnsi="Tahoma" w:cs="Tahoma"/>
        </w:rPr>
        <w:t>Národní</w:t>
      </w:r>
      <w:r w:rsidR="00233CF4">
        <w:rPr>
          <w:rFonts w:ascii="Tahoma" w:hAnsi="Tahoma" w:cs="Tahoma"/>
        </w:rPr>
        <w:t>m</w:t>
      </w:r>
      <w:proofErr w:type="gramEnd"/>
      <w:r w:rsidR="00741588" w:rsidRPr="004C713C">
        <w:rPr>
          <w:rFonts w:ascii="Tahoma" w:hAnsi="Tahoma" w:cs="Tahoma"/>
        </w:rPr>
        <w:t xml:space="preserve"> plán</w:t>
      </w:r>
      <w:r w:rsidR="00233CF4">
        <w:rPr>
          <w:rFonts w:ascii="Tahoma" w:hAnsi="Tahoma" w:cs="Tahoma"/>
        </w:rPr>
        <w:t>em</w:t>
      </w:r>
      <w:r w:rsidR="00741588" w:rsidRPr="004C713C">
        <w:rPr>
          <w:rFonts w:ascii="Tahoma" w:hAnsi="Tahoma" w:cs="Tahoma"/>
        </w:rPr>
        <w:t xml:space="preserve"> obnovy</w:t>
      </w:r>
      <w:r w:rsidR="00233CF4">
        <w:rPr>
          <w:rFonts w:ascii="Tahoma" w:hAnsi="Tahoma" w:cs="Tahoma"/>
        </w:rPr>
        <w:t xml:space="preserve"> chce </w:t>
      </w:r>
      <w:r w:rsidR="00741588" w:rsidRPr="004C713C">
        <w:rPr>
          <w:rFonts w:ascii="Tahoma" w:hAnsi="Tahoma" w:cs="Tahoma"/>
        </w:rPr>
        <w:t>požád</w:t>
      </w:r>
      <w:r w:rsidR="00233CF4">
        <w:rPr>
          <w:rFonts w:ascii="Tahoma" w:hAnsi="Tahoma" w:cs="Tahoma"/>
        </w:rPr>
        <w:t>at</w:t>
      </w:r>
      <w:r w:rsidR="00741588" w:rsidRPr="004C713C">
        <w:rPr>
          <w:rFonts w:ascii="Tahoma" w:hAnsi="Tahoma" w:cs="Tahoma"/>
        </w:rPr>
        <w:t xml:space="preserve"> o finanční příspěvek z Nástroje pro oživení a</w:t>
      </w:r>
      <w:r w:rsidR="00F41BD7">
        <w:rPr>
          <w:rFonts w:ascii="Tahoma" w:hAnsi="Tahoma" w:cs="Tahoma"/>
        </w:rPr>
        <w:t> </w:t>
      </w:r>
      <w:r w:rsidR="00741588" w:rsidRPr="004C713C">
        <w:rPr>
          <w:rFonts w:ascii="Tahoma" w:hAnsi="Tahoma" w:cs="Tahoma"/>
        </w:rPr>
        <w:t>odolnost ve výši přibližně 172 mld. Kč ve formě grantů a</w:t>
      </w:r>
      <w:r w:rsidR="007406F7">
        <w:rPr>
          <w:rFonts w:ascii="Tahoma" w:hAnsi="Tahoma" w:cs="Tahoma"/>
        </w:rPr>
        <w:t> </w:t>
      </w:r>
      <w:r w:rsidR="00741588" w:rsidRPr="004C713C">
        <w:rPr>
          <w:rFonts w:ascii="Tahoma" w:hAnsi="Tahoma" w:cs="Tahoma"/>
        </w:rPr>
        <w:t>20</w:t>
      </w:r>
      <w:r w:rsidR="007406F7">
        <w:rPr>
          <w:rFonts w:ascii="Tahoma" w:hAnsi="Tahoma" w:cs="Tahoma"/>
        </w:rPr>
        <w:t> </w:t>
      </w:r>
      <w:r w:rsidR="00741588" w:rsidRPr="004C713C">
        <w:rPr>
          <w:rFonts w:ascii="Tahoma" w:hAnsi="Tahoma" w:cs="Tahoma"/>
        </w:rPr>
        <w:t xml:space="preserve"> mld. Kč formě půjček</w:t>
      </w:r>
      <w:r w:rsidR="008D1D4E">
        <w:rPr>
          <w:rFonts w:ascii="Tahoma" w:hAnsi="Tahoma" w:cs="Tahoma"/>
        </w:rPr>
        <w:t>.</w:t>
      </w:r>
      <w:r w:rsidR="00741588" w:rsidRPr="004C713C">
        <w:rPr>
          <w:rFonts w:ascii="Tahoma" w:hAnsi="Tahoma" w:cs="Tahoma"/>
        </w:rPr>
        <w:t xml:space="preserve"> </w:t>
      </w:r>
      <w:r w:rsidR="00E11E60">
        <w:rPr>
          <w:rFonts w:ascii="Tahoma" w:hAnsi="Tahoma" w:cs="Tahoma"/>
        </w:rPr>
        <w:t xml:space="preserve">Připravený </w:t>
      </w:r>
      <w:r w:rsidR="00741588" w:rsidRPr="004C713C">
        <w:rPr>
          <w:rFonts w:ascii="Tahoma" w:hAnsi="Tahoma" w:cs="Tahoma"/>
        </w:rPr>
        <w:t xml:space="preserve">Národní plán obnovy obsahuje priority vlády ČR a jeho jednotlivé komponenty, vč. finančních alokací jsou navrženy tak, aby pomohly vyvést českou ekonomiku z krize vyvolané </w:t>
      </w:r>
      <w:r w:rsidR="00856945" w:rsidRPr="008A2803">
        <w:rPr>
          <w:rFonts w:ascii="Tahoma" w:hAnsi="Tahoma" w:cs="Tahoma"/>
        </w:rPr>
        <w:t>pandemick</w:t>
      </w:r>
      <w:r w:rsidR="00667910">
        <w:rPr>
          <w:rFonts w:ascii="Tahoma" w:hAnsi="Tahoma" w:cs="Tahoma"/>
        </w:rPr>
        <w:t>ým</w:t>
      </w:r>
      <w:r w:rsidR="00856945" w:rsidRPr="008A2803">
        <w:rPr>
          <w:rFonts w:ascii="Tahoma" w:hAnsi="Tahoma" w:cs="Tahoma"/>
        </w:rPr>
        <w:t xml:space="preserve"> šíření</w:t>
      </w:r>
      <w:r w:rsidR="00667910">
        <w:rPr>
          <w:rFonts w:ascii="Tahoma" w:hAnsi="Tahoma" w:cs="Tahoma"/>
        </w:rPr>
        <w:t>m</w:t>
      </w:r>
      <w:r w:rsidR="00856945" w:rsidRPr="008A2803">
        <w:rPr>
          <w:rFonts w:ascii="Tahoma" w:hAnsi="Tahoma" w:cs="Tahoma"/>
        </w:rPr>
        <w:t xml:space="preserve"> onemocnění COVID-19 </w:t>
      </w:r>
      <w:r w:rsidR="00741588" w:rsidRPr="004C713C">
        <w:rPr>
          <w:rFonts w:ascii="Tahoma" w:hAnsi="Tahoma" w:cs="Tahoma"/>
        </w:rPr>
        <w:t>a přispět ke splnění reformních a investičních požadavků.</w:t>
      </w:r>
      <w:r w:rsidR="006D454F">
        <w:rPr>
          <w:rFonts w:ascii="Tahoma" w:hAnsi="Tahoma" w:cs="Tahoma"/>
        </w:rPr>
        <w:t xml:space="preserve"> </w:t>
      </w:r>
      <w:r w:rsidR="002F4656">
        <w:rPr>
          <w:rFonts w:ascii="Tahoma" w:hAnsi="Tahoma" w:cs="Tahoma"/>
        </w:rPr>
        <w:t xml:space="preserve"> </w:t>
      </w:r>
      <w:r w:rsidR="0091120D">
        <w:rPr>
          <w:rFonts w:ascii="Tahoma" w:hAnsi="Tahoma" w:cs="Tahoma"/>
        </w:rPr>
        <w:t>Pro</w:t>
      </w:r>
      <w:r w:rsidR="007406F7">
        <w:rPr>
          <w:rFonts w:ascii="Tahoma" w:hAnsi="Tahoma" w:cs="Tahoma"/>
        </w:rPr>
        <w:t> </w:t>
      </w:r>
      <w:r w:rsidR="0091120D">
        <w:rPr>
          <w:rFonts w:ascii="Tahoma" w:hAnsi="Tahoma" w:cs="Tahoma"/>
        </w:rPr>
        <w:t xml:space="preserve">Moravskoslezský kraj </w:t>
      </w:r>
      <w:r w:rsidR="006B1720">
        <w:rPr>
          <w:rFonts w:ascii="Tahoma" w:hAnsi="Tahoma" w:cs="Tahoma"/>
        </w:rPr>
        <w:t xml:space="preserve">bude velmi významný </w:t>
      </w:r>
      <w:r w:rsidR="006B1720" w:rsidRPr="0071124D">
        <w:rPr>
          <w:rFonts w:ascii="Tahoma" w:eastAsia="Calibri" w:hAnsi="Tahoma"/>
        </w:rPr>
        <w:t>Operační program Spravedlivá transformace</w:t>
      </w:r>
      <w:r w:rsidR="006B1720">
        <w:rPr>
          <w:rFonts w:ascii="Tahoma" w:eastAsia="Calibri" w:hAnsi="Tahoma"/>
        </w:rPr>
        <w:t>, jehož c</w:t>
      </w:r>
      <w:r w:rsidR="006B1720" w:rsidRPr="0071124D">
        <w:rPr>
          <w:rFonts w:ascii="Tahoma" w:eastAsia="Calibri" w:hAnsi="Tahoma"/>
        </w:rPr>
        <w:t xml:space="preserve">ílem </w:t>
      </w:r>
      <w:r w:rsidR="00AE282B">
        <w:rPr>
          <w:rFonts w:ascii="Tahoma" w:eastAsia="Calibri" w:hAnsi="Tahoma"/>
        </w:rPr>
        <w:t>je</w:t>
      </w:r>
      <w:r w:rsidR="006B1720" w:rsidRPr="0071124D">
        <w:rPr>
          <w:rFonts w:ascii="Tahoma" w:eastAsia="Calibri" w:hAnsi="Tahoma"/>
        </w:rPr>
        <w:t xml:space="preserve"> podpořit území Karlovarského, Ústeckého a</w:t>
      </w:r>
      <w:r w:rsidR="007406F7">
        <w:rPr>
          <w:rFonts w:ascii="Tahoma" w:eastAsia="Calibri" w:hAnsi="Tahoma"/>
        </w:rPr>
        <w:t> </w:t>
      </w:r>
      <w:r w:rsidR="006B1720" w:rsidRPr="0071124D">
        <w:rPr>
          <w:rFonts w:ascii="Tahoma" w:eastAsia="Calibri" w:hAnsi="Tahoma"/>
        </w:rPr>
        <w:t>Moravskoslezského kraje v přechodu na klimaticky neutrální ekonomiku, vytváření nových pracovních míst, obnovu území po těžbě uhlí či návazném průmyslu.</w:t>
      </w:r>
      <w:r w:rsidR="00AE282B">
        <w:rPr>
          <w:rFonts w:ascii="Tahoma" w:eastAsia="Calibri" w:hAnsi="Tahoma"/>
        </w:rPr>
        <w:t xml:space="preserve"> </w:t>
      </w:r>
      <w:r w:rsidR="00AE282B" w:rsidRPr="00920260">
        <w:rPr>
          <w:rFonts w:ascii="Tahoma" w:eastAsia="Calibri" w:hAnsi="Tahoma"/>
        </w:rPr>
        <w:t>T</w:t>
      </w:r>
      <w:r w:rsidR="00D33BCE" w:rsidRPr="00920260">
        <w:rPr>
          <w:rFonts w:ascii="Tahoma" w:eastAsia="Calibri" w:hAnsi="Tahoma"/>
        </w:rPr>
        <w:t>omuto</w:t>
      </w:r>
      <w:r w:rsidR="00AE282B" w:rsidRPr="00920260">
        <w:rPr>
          <w:rFonts w:ascii="Tahoma" w:eastAsia="Calibri" w:hAnsi="Tahoma"/>
        </w:rPr>
        <w:t xml:space="preserve"> operační</w:t>
      </w:r>
      <w:r w:rsidR="00D33BCE" w:rsidRPr="00920260">
        <w:rPr>
          <w:rFonts w:ascii="Tahoma" w:eastAsia="Calibri" w:hAnsi="Tahoma"/>
        </w:rPr>
        <w:t>mu</w:t>
      </w:r>
      <w:r w:rsidR="00AE282B" w:rsidRPr="00920260">
        <w:rPr>
          <w:rFonts w:ascii="Tahoma" w:eastAsia="Calibri" w:hAnsi="Tahoma"/>
        </w:rPr>
        <w:t xml:space="preserve"> program</w:t>
      </w:r>
      <w:r w:rsidR="00D33BCE" w:rsidRPr="00920260">
        <w:rPr>
          <w:rFonts w:ascii="Tahoma" w:eastAsia="Calibri" w:hAnsi="Tahoma"/>
        </w:rPr>
        <w:t>u</w:t>
      </w:r>
      <w:r w:rsidR="00AE282B" w:rsidRPr="00920260">
        <w:rPr>
          <w:rFonts w:ascii="Tahoma" w:eastAsia="Calibri" w:hAnsi="Tahoma"/>
        </w:rPr>
        <w:t xml:space="preserve"> předcházela </w:t>
      </w:r>
      <w:r w:rsidR="00A72AE1" w:rsidRPr="00920260">
        <w:rPr>
          <w:rFonts w:ascii="Tahoma" w:hAnsi="Tahoma" w:cs="Tahoma"/>
        </w:rPr>
        <w:t>Strategi</w:t>
      </w:r>
      <w:r w:rsidR="00AE282B" w:rsidRPr="00920260">
        <w:rPr>
          <w:rFonts w:ascii="Tahoma" w:hAnsi="Tahoma" w:cs="Tahoma"/>
        </w:rPr>
        <w:t>e</w:t>
      </w:r>
      <w:r w:rsidR="00A72AE1" w:rsidRPr="00920260">
        <w:rPr>
          <w:rFonts w:ascii="Tahoma" w:hAnsi="Tahoma" w:cs="Tahoma"/>
        </w:rPr>
        <w:t xml:space="preserve"> hospodářské restrukturalizace Ústeckého, Karlovarského a Moravskoslezského kraje (</w:t>
      </w:r>
      <w:proofErr w:type="gramStart"/>
      <w:r w:rsidR="00A72AE1" w:rsidRPr="00920260">
        <w:rPr>
          <w:rFonts w:ascii="Tahoma" w:hAnsi="Tahoma" w:cs="Tahoma"/>
        </w:rPr>
        <w:t>RE:START</w:t>
      </w:r>
      <w:proofErr w:type="gramEnd"/>
      <w:r w:rsidR="00A72AE1" w:rsidRPr="00920260">
        <w:rPr>
          <w:rFonts w:ascii="Tahoma" w:hAnsi="Tahoma" w:cs="Tahoma"/>
        </w:rPr>
        <w:t>)</w:t>
      </w:r>
      <w:r w:rsidR="00315B37" w:rsidRPr="00920260">
        <w:rPr>
          <w:rFonts w:ascii="Tahoma" w:hAnsi="Tahoma" w:cs="Tahoma"/>
        </w:rPr>
        <w:t>.</w:t>
      </w:r>
      <w:r w:rsidR="00545CE9" w:rsidRPr="00920260">
        <w:rPr>
          <w:rFonts w:ascii="Tahoma" w:hAnsi="Tahoma" w:cs="Tahoma"/>
        </w:rPr>
        <w:t xml:space="preserve"> </w:t>
      </w:r>
      <w:r w:rsidR="003E6DA4" w:rsidRPr="00920260">
        <w:rPr>
          <w:rFonts w:ascii="Tahoma" w:hAnsi="Tahoma" w:cs="Tahoma"/>
        </w:rPr>
        <w:t>P</w:t>
      </w:r>
      <w:r w:rsidR="000679F5" w:rsidRPr="00920260">
        <w:rPr>
          <w:rFonts w:ascii="Tahoma" w:hAnsi="Tahoma" w:cs="Tahoma"/>
        </w:rPr>
        <w:t>ředloži</w:t>
      </w:r>
      <w:r w:rsidR="003E6DA4" w:rsidRPr="00920260">
        <w:rPr>
          <w:rFonts w:ascii="Tahoma" w:hAnsi="Tahoma" w:cs="Tahoma"/>
        </w:rPr>
        <w:t xml:space="preserve">t </w:t>
      </w:r>
      <w:r w:rsidR="006354C0" w:rsidRPr="00920260">
        <w:rPr>
          <w:rFonts w:ascii="Tahoma" w:hAnsi="Tahoma" w:cs="Tahoma"/>
        </w:rPr>
        <w:t>projekty má a</w:t>
      </w:r>
      <w:r w:rsidR="006354C0" w:rsidRPr="0015419A">
        <w:rPr>
          <w:rFonts w:ascii="Tahoma" w:hAnsi="Tahoma" w:cs="Tahoma"/>
        </w:rPr>
        <w:t xml:space="preserve">mbice </w:t>
      </w:r>
      <w:r w:rsidR="000679F5" w:rsidRPr="0015419A">
        <w:rPr>
          <w:rFonts w:ascii="Tahoma" w:hAnsi="Tahoma" w:cs="Tahoma"/>
        </w:rPr>
        <w:t>kraj, jeho příspěvkové organizace, obchodní společnosti s jeho majetkovou účastí a</w:t>
      </w:r>
      <w:r w:rsidR="007406F7">
        <w:rPr>
          <w:rFonts w:ascii="Tahoma" w:hAnsi="Tahoma" w:cs="Tahoma"/>
        </w:rPr>
        <w:t> </w:t>
      </w:r>
      <w:r w:rsidR="000679F5" w:rsidRPr="0015419A">
        <w:rPr>
          <w:rFonts w:ascii="Tahoma" w:hAnsi="Tahoma" w:cs="Tahoma"/>
        </w:rPr>
        <w:t xml:space="preserve">subjekty, jichž je členem. </w:t>
      </w:r>
    </w:p>
    <w:p w14:paraId="0780C888" w14:textId="77777777" w:rsidR="00013DAB" w:rsidRDefault="00013DAB" w:rsidP="00F248E4">
      <w:pPr>
        <w:spacing w:after="30"/>
        <w:jc w:val="both"/>
        <w:rPr>
          <w:rFonts w:ascii="Tahoma" w:eastAsia="Calibri" w:hAnsi="Tahoma"/>
        </w:rPr>
      </w:pPr>
    </w:p>
    <w:p w14:paraId="3296B27A" w14:textId="0896CD09" w:rsidR="00996057" w:rsidRDefault="00996057" w:rsidP="00F248E4">
      <w:pPr>
        <w:spacing w:after="30"/>
        <w:jc w:val="both"/>
        <w:rPr>
          <w:rFonts w:ascii="Tahoma" w:eastAsia="Calibri" w:hAnsi="Tahoma"/>
        </w:rPr>
      </w:pPr>
      <w:r>
        <w:rPr>
          <w:rFonts w:ascii="Tahoma" w:eastAsia="Calibri" w:hAnsi="Tahoma"/>
        </w:rPr>
        <w:t>V rámci nového programového období kraj bude také chtít uspět se svými projekty ve</w:t>
      </w:r>
      <w:r w:rsidR="007406F7">
        <w:rPr>
          <w:rFonts w:ascii="Tahoma" w:eastAsia="Calibri" w:hAnsi="Tahoma"/>
        </w:rPr>
        <w:t> </w:t>
      </w:r>
      <w:r>
        <w:rPr>
          <w:rFonts w:ascii="Tahoma" w:eastAsia="Calibri" w:hAnsi="Tahoma"/>
        </w:rPr>
        <w:t>vyhlašovaných výzvách dalších o</w:t>
      </w:r>
      <w:r w:rsidRPr="0071124D">
        <w:rPr>
          <w:rFonts w:ascii="Tahoma" w:eastAsia="Calibri" w:hAnsi="Tahoma"/>
        </w:rPr>
        <w:t>perační</w:t>
      </w:r>
      <w:r>
        <w:rPr>
          <w:rFonts w:ascii="Tahoma" w:eastAsia="Calibri" w:hAnsi="Tahoma"/>
        </w:rPr>
        <w:t>ch</w:t>
      </w:r>
      <w:r w:rsidRPr="0071124D">
        <w:rPr>
          <w:rFonts w:ascii="Tahoma" w:eastAsia="Calibri" w:hAnsi="Tahoma"/>
        </w:rPr>
        <w:t xml:space="preserve"> program</w:t>
      </w:r>
      <w:r>
        <w:rPr>
          <w:rFonts w:ascii="Tahoma" w:eastAsia="Calibri" w:hAnsi="Tahoma"/>
        </w:rPr>
        <w:t>ů. Významným nástrojem</w:t>
      </w:r>
      <w:r w:rsidRPr="00A61CD2">
        <w:t xml:space="preserve"> </w:t>
      </w:r>
      <w:r w:rsidRPr="00A61CD2">
        <w:rPr>
          <w:rFonts w:ascii="Tahoma" w:eastAsia="Calibri" w:hAnsi="Tahoma"/>
        </w:rPr>
        <w:t>pro</w:t>
      </w:r>
      <w:r w:rsidR="007406F7">
        <w:rPr>
          <w:rFonts w:ascii="Tahoma" w:eastAsia="Calibri" w:hAnsi="Tahoma"/>
        </w:rPr>
        <w:t> </w:t>
      </w:r>
      <w:r w:rsidRPr="00A61CD2">
        <w:rPr>
          <w:rFonts w:ascii="Tahoma" w:eastAsia="Calibri" w:hAnsi="Tahoma"/>
        </w:rPr>
        <w:t>řešení územní dimenze fondů EU ve vybraných tématech</w:t>
      </w:r>
      <w:r>
        <w:rPr>
          <w:rFonts w:ascii="Tahoma" w:eastAsia="Calibri" w:hAnsi="Tahoma"/>
        </w:rPr>
        <w:t xml:space="preserve"> je Regionální akční plán (RAP).  </w:t>
      </w:r>
      <w:r w:rsidRPr="007F17EE">
        <w:rPr>
          <w:rFonts w:ascii="Tahoma" w:eastAsia="Calibri" w:hAnsi="Tahoma"/>
        </w:rPr>
        <w:t>V rámci RAP jsou v dohodnutých tématech stanoveny alokace na úrovni území kraje, které jsou vypočteny na základě objektivně stanoveného klíče.</w:t>
      </w:r>
      <w:r>
        <w:rPr>
          <w:rFonts w:ascii="Tahoma" w:eastAsia="Calibri" w:hAnsi="Tahoma"/>
        </w:rPr>
        <w:t xml:space="preserve"> Jedná se o</w:t>
      </w:r>
      <w:r w:rsidR="007406F7">
        <w:rPr>
          <w:rFonts w:ascii="Tahoma" w:eastAsia="Calibri" w:hAnsi="Tahoma"/>
        </w:rPr>
        <w:t> </w:t>
      </w:r>
      <w:r>
        <w:rPr>
          <w:rFonts w:ascii="Tahoma" w:eastAsia="Calibri" w:hAnsi="Tahoma"/>
        </w:rPr>
        <w:t xml:space="preserve">témata z oblasti dopravy (silnice II. třídy), </w:t>
      </w:r>
      <w:r w:rsidRPr="00F14731">
        <w:rPr>
          <w:rFonts w:ascii="Tahoma" w:eastAsia="Calibri" w:hAnsi="Tahoma"/>
        </w:rPr>
        <w:t>deinstitucionalizace sociálních služeb</w:t>
      </w:r>
      <w:r>
        <w:rPr>
          <w:rFonts w:ascii="Tahoma" w:eastAsia="Calibri" w:hAnsi="Tahoma"/>
        </w:rPr>
        <w:t xml:space="preserve">, </w:t>
      </w:r>
      <w:r w:rsidRPr="00F14731">
        <w:rPr>
          <w:rFonts w:ascii="Tahoma" w:eastAsia="Calibri" w:hAnsi="Tahoma"/>
        </w:rPr>
        <w:t>střední</w:t>
      </w:r>
      <w:r w:rsidR="003F299D">
        <w:rPr>
          <w:rFonts w:ascii="Tahoma" w:eastAsia="Calibri" w:hAnsi="Tahoma"/>
        </w:rPr>
        <w:t>ho</w:t>
      </w:r>
      <w:r w:rsidRPr="00F14731">
        <w:rPr>
          <w:rFonts w:ascii="Tahoma" w:eastAsia="Calibri" w:hAnsi="Tahoma"/>
        </w:rPr>
        <w:t xml:space="preserve"> školství</w:t>
      </w:r>
      <w:r>
        <w:rPr>
          <w:rFonts w:ascii="Tahoma" w:eastAsia="Calibri" w:hAnsi="Tahoma"/>
        </w:rPr>
        <w:t xml:space="preserve"> a </w:t>
      </w:r>
      <w:r w:rsidR="003F299D">
        <w:rPr>
          <w:rFonts w:ascii="Tahoma" w:eastAsia="Calibri" w:hAnsi="Tahoma"/>
        </w:rPr>
        <w:t>zdravotnic</w:t>
      </w:r>
      <w:r w:rsidR="00832011">
        <w:rPr>
          <w:rFonts w:ascii="Tahoma" w:eastAsia="Calibri" w:hAnsi="Tahoma"/>
        </w:rPr>
        <w:t>ké</w:t>
      </w:r>
      <w:r w:rsidR="003F299D">
        <w:rPr>
          <w:rFonts w:ascii="Tahoma" w:eastAsia="Calibri" w:hAnsi="Tahoma"/>
        </w:rPr>
        <w:t xml:space="preserve"> záchranné služby</w:t>
      </w:r>
      <w:r>
        <w:rPr>
          <w:rFonts w:ascii="Tahoma" w:eastAsia="Calibri" w:hAnsi="Tahoma"/>
        </w:rPr>
        <w:t xml:space="preserve">. </w:t>
      </w:r>
    </w:p>
    <w:p w14:paraId="5CB19A98" w14:textId="77777777" w:rsidR="0087514F" w:rsidRDefault="0087514F" w:rsidP="00F248E4">
      <w:pPr>
        <w:spacing w:after="30"/>
        <w:jc w:val="both"/>
        <w:rPr>
          <w:rFonts w:ascii="Tahoma" w:eastAsia="Calibri" w:hAnsi="Tahoma"/>
        </w:rPr>
      </w:pPr>
    </w:p>
    <w:p w14:paraId="5BF654E5" w14:textId="376ABC78" w:rsidR="00996057" w:rsidRDefault="00FE0278" w:rsidP="00F248E4">
      <w:pPr>
        <w:spacing w:after="30"/>
        <w:jc w:val="both"/>
        <w:rPr>
          <w:rFonts w:ascii="Tahoma" w:eastAsia="Calibri" w:hAnsi="Tahoma"/>
        </w:rPr>
      </w:pPr>
      <w:r w:rsidRPr="0087514F">
        <w:rPr>
          <w:rFonts w:ascii="Tahoma" w:hAnsi="Tahoma" w:cs="Tahoma"/>
        </w:rPr>
        <w:t xml:space="preserve">Pro končící programové období 2014 – 2020 platí pravidlo n+3 a kraj čerpá finanční prostředky </w:t>
      </w:r>
      <w:r w:rsidR="00832011">
        <w:rPr>
          <w:rFonts w:ascii="Tahoma" w:hAnsi="Tahoma" w:cs="Tahoma"/>
        </w:rPr>
        <w:t xml:space="preserve">hlavně </w:t>
      </w:r>
      <w:proofErr w:type="gramStart"/>
      <w:r w:rsidRPr="0087514F">
        <w:rPr>
          <w:rFonts w:ascii="Tahoma" w:hAnsi="Tahoma" w:cs="Tahoma"/>
        </w:rPr>
        <w:t>z  Integrovaného</w:t>
      </w:r>
      <w:proofErr w:type="gramEnd"/>
      <w:r w:rsidRPr="0087514F">
        <w:rPr>
          <w:rFonts w:ascii="Tahoma" w:hAnsi="Tahoma" w:cs="Tahoma"/>
        </w:rPr>
        <w:t xml:space="preserve"> regionálního operačního programu (49  %  z</w:t>
      </w:r>
      <w:r w:rsidR="007406F7">
        <w:rPr>
          <w:rFonts w:ascii="Tahoma" w:hAnsi="Tahoma" w:cs="Tahoma"/>
        </w:rPr>
        <w:t> </w:t>
      </w:r>
      <w:r w:rsidRPr="0087514F">
        <w:rPr>
          <w:rFonts w:ascii="Tahoma" w:hAnsi="Tahoma" w:cs="Tahoma"/>
        </w:rPr>
        <w:t>celkových</w:t>
      </w:r>
      <w:r w:rsidR="007406F7">
        <w:rPr>
          <w:rFonts w:ascii="Tahoma" w:hAnsi="Tahoma" w:cs="Tahoma"/>
        </w:rPr>
        <w:t> </w:t>
      </w:r>
      <w:r w:rsidRPr="0087514F">
        <w:rPr>
          <w:rFonts w:ascii="Tahoma" w:hAnsi="Tahoma" w:cs="Tahoma"/>
        </w:rPr>
        <w:t>realizovaných projektů), Operačního programu Životní prostředí</w:t>
      </w:r>
      <w:r w:rsidR="007406F7">
        <w:rPr>
          <w:rFonts w:ascii="Tahoma" w:hAnsi="Tahoma" w:cs="Tahoma"/>
        </w:rPr>
        <w:t> </w:t>
      </w:r>
      <w:r w:rsidRPr="0087514F">
        <w:rPr>
          <w:rFonts w:ascii="Tahoma" w:hAnsi="Tahoma" w:cs="Tahoma"/>
        </w:rPr>
        <w:t>(14 % z celkových realizovaných projektů) a Operačního programu Zaměstnanost (16 % z celkových realizovaných projektů).</w:t>
      </w:r>
      <w:r w:rsidRPr="006F28CD">
        <w:rPr>
          <w:rFonts w:ascii="Tahoma" w:hAnsi="Tahoma" w:cs="Tahoma"/>
        </w:rPr>
        <w:t xml:space="preserve"> </w:t>
      </w:r>
    </w:p>
    <w:p w14:paraId="06273680" w14:textId="77777777" w:rsidR="00D30134" w:rsidRDefault="00D30134" w:rsidP="00F746C1">
      <w:pPr>
        <w:spacing w:after="30"/>
        <w:jc w:val="both"/>
        <w:rPr>
          <w:rFonts w:ascii="Tahoma" w:eastAsia="Calibri" w:hAnsi="Tahoma"/>
        </w:rPr>
      </w:pPr>
    </w:p>
    <w:p w14:paraId="46E2F4AD" w14:textId="2EA680A9" w:rsidR="00DF1DFC" w:rsidRDefault="002F4656" w:rsidP="00A533EB">
      <w:pPr>
        <w:pStyle w:val="zkladntextodsazen10"/>
        <w:ind w:left="0" w:firstLine="0"/>
        <w:rPr>
          <w:rFonts w:ascii="Tahoma" w:hAnsi="Tahoma" w:cs="Tahoma"/>
          <w:sz w:val="24"/>
          <w:szCs w:val="24"/>
        </w:rPr>
      </w:pPr>
      <w:r>
        <w:rPr>
          <w:rFonts w:ascii="Tahoma" w:hAnsi="Tahoma" w:cs="Tahoma"/>
          <w:sz w:val="24"/>
          <w:szCs w:val="24"/>
        </w:rPr>
        <w:t xml:space="preserve">Významnou součástí rozpočtu kraje v jednotlivých letech jsou dotace ze státního rozpočtu. </w:t>
      </w:r>
      <w:r w:rsidR="0096133D">
        <w:rPr>
          <w:rFonts w:ascii="Tahoma" w:hAnsi="Tahoma" w:cs="Tahoma"/>
          <w:sz w:val="24"/>
          <w:szCs w:val="24"/>
        </w:rPr>
        <w:t>Výhled pro</w:t>
      </w:r>
      <w:r w:rsidR="00D01A58">
        <w:rPr>
          <w:rFonts w:ascii="Tahoma" w:hAnsi="Tahoma" w:cs="Tahoma"/>
          <w:sz w:val="24"/>
          <w:szCs w:val="24"/>
        </w:rPr>
        <w:t xml:space="preserve">to obsahuje očekávané dotace ze státního rozpočtu vycházející </w:t>
      </w:r>
      <w:r w:rsidR="00431C2E">
        <w:rPr>
          <w:rFonts w:ascii="Tahoma" w:hAnsi="Tahoma" w:cs="Tahoma"/>
          <w:sz w:val="24"/>
          <w:szCs w:val="24"/>
        </w:rPr>
        <w:t>z</w:t>
      </w:r>
      <w:r w:rsidR="00D01A58">
        <w:rPr>
          <w:rFonts w:ascii="Tahoma" w:hAnsi="Tahoma" w:cs="Tahoma"/>
          <w:sz w:val="24"/>
          <w:szCs w:val="24"/>
        </w:rPr>
        <w:t> úrovně roku 2021</w:t>
      </w:r>
      <w:r w:rsidR="00BB74FC">
        <w:rPr>
          <w:rFonts w:ascii="Tahoma" w:hAnsi="Tahoma" w:cs="Tahoma"/>
          <w:sz w:val="24"/>
          <w:szCs w:val="24"/>
        </w:rPr>
        <w:t xml:space="preserve"> </w:t>
      </w:r>
      <w:r w:rsidR="007E6398">
        <w:rPr>
          <w:rFonts w:ascii="Tahoma" w:hAnsi="Tahoma" w:cs="Tahoma"/>
          <w:sz w:val="24"/>
          <w:szCs w:val="24"/>
        </w:rPr>
        <w:t>za předpokladu</w:t>
      </w:r>
      <w:r w:rsidR="00657FDE">
        <w:rPr>
          <w:rFonts w:ascii="Tahoma" w:hAnsi="Tahoma" w:cs="Tahoma"/>
          <w:sz w:val="24"/>
          <w:szCs w:val="24"/>
        </w:rPr>
        <w:t xml:space="preserve">, že stát </w:t>
      </w:r>
      <w:r>
        <w:rPr>
          <w:rFonts w:ascii="Tahoma" w:hAnsi="Tahoma" w:cs="Tahoma"/>
          <w:sz w:val="24"/>
          <w:szCs w:val="24"/>
        </w:rPr>
        <w:t>spln</w:t>
      </w:r>
      <w:r w:rsidR="00657FDE">
        <w:rPr>
          <w:rFonts w:ascii="Tahoma" w:hAnsi="Tahoma" w:cs="Tahoma"/>
          <w:sz w:val="24"/>
          <w:szCs w:val="24"/>
        </w:rPr>
        <w:t>í</w:t>
      </w:r>
      <w:r>
        <w:rPr>
          <w:rFonts w:ascii="Tahoma" w:hAnsi="Tahoma" w:cs="Tahoma"/>
          <w:sz w:val="24"/>
          <w:szCs w:val="24"/>
        </w:rPr>
        <w:t xml:space="preserve"> </w:t>
      </w:r>
      <w:r w:rsidR="00657FDE">
        <w:rPr>
          <w:rFonts w:ascii="Tahoma" w:hAnsi="Tahoma" w:cs="Tahoma"/>
          <w:sz w:val="24"/>
          <w:szCs w:val="24"/>
        </w:rPr>
        <w:t xml:space="preserve">své </w:t>
      </w:r>
      <w:r>
        <w:rPr>
          <w:rFonts w:ascii="Tahoma" w:hAnsi="Tahoma" w:cs="Tahoma"/>
          <w:sz w:val="24"/>
          <w:szCs w:val="24"/>
        </w:rPr>
        <w:t>povinnost</w:t>
      </w:r>
      <w:r w:rsidR="003F299D">
        <w:rPr>
          <w:rFonts w:ascii="Tahoma" w:hAnsi="Tahoma" w:cs="Tahoma"/>
          <w:sz w:val="24"/>
          <w:szCs w:val="24"/>
        </w:rPr>
        <w:t>i</w:t>
      </w:r>
      <w:r>
        <w:rPr>
          <w:rFonts w:ascii="Tahoma" w:hAnsi="Tahoma" w:cs="Tahoma"/>
          <w:sz w:val="24"/>
          <w:szCs w:val="24"/>
        </w:rPr>
        <w:t xml:space="preserve"> </w:t>
      </w:r>
      <w:r w:rsidR="00657FDE">
        <w:rPr>
          <w:rFonts w:ascii="Tahoma" w:hAnsi="Tahoma" w:cs="Tahoma"/>
          <w:sz w:val="24"/>
          <w:szCs w:val="24"/>
        </w:rPr>
        <w:t xml:space="preserve">a </w:t>
      </w:r>
      <w:proofErr w:type="gramStart"/>
      <w:r>
        <w:rPr>
          <w:rFonts w:ascii="Tahoma" w:hAnsi="Tahoma" w:cs="Tahoma"/>
          <w:sz w:val="24"/>
          <w:szCs w:val="24"/>
        </w:rPr>
        <w:t>zaji</w:t>
      </w:r>
      <w:r w:rsidR="00657FDE">
        <w:rPr>
          <w:rFonts w:ascii="Tahoma" w:hAnsi="Tahoma" w:cs="Tahoma"/>
          <w:sz w:val="24"/>
          <w:szCs w:val="24"/>
        </w:rPr>
        <w:t xml:space="preserve">stí </w:t>
      </w:r>
      <w:r>
        <w:rPr>
          <w:rFonts w:ascii="Tahoma" w:hAnsi="Tahoma" w:cs="Tahoma"/>
          <w:sz w:val="24"/>
          <w:szCs w:val="24"/>
        </w:rPr>
        <w:t xml:space="preserve"> dostatečn</w:t>
      </w:r>
      <w:r w:rsidR="00657FDE">
        <w:rPr>
          <w:rFonts w:ascii="Tahoma" w:hAnsi="Tahoma" w:cs="Tahoma"/>
          <w:sz w:val="24"/>
          <w:szCs w:val="24"/>
        </w:rPr>
        <w:t>ou</w:t>
      </w:r>
      <w:proofErr w:type="gramEnd"/>
      <w:r>
        <w:rPr>
          <w:rFonts w:ascii="Tahoma" w:hAnsi="Tahoma" w:cs="Tahoma"/>
          <w:sz w:val="24"/>
          <w:szCs w:val="24"/>
        </w:rPr>
        <w:t xml:space="preserve"> úrov</w:t>
      </w:r>
      <w:r w:rsidR="00657FDE">
        <w:rPr>
          <w:rFonts w:ascii="Tahoma" w:hAnsi="Tahoma" w:cs="Tahoma"/>
          <w:sz w:val="24"/>
          <w:szCs w:val="24"/>
        </w:rPr>
        <w:t>eň</w:t>
      </w:r>
      <w:r>
        <w:rPr>
          <w:rFonts w:ascii="Tahoma" w:hAnsi="Tahoma" w:cs="Tahoma"/>
          <w:sz w:val="24"/>
          <w:szCs w:val="24"/>
        </w:rPr>
        <w:t xml:space="preserve"> financování platů učitelů, sociálních služeb nebo zdravotnictví prostřednictvím úhradové vyhlášky. </w:t>
      </w:r>
      <w:r w:rsidR="00CA357D" w:rsidRPr="00282418">
        <w:rPr>
          <w:rFonts w:ascii="Tahoma" w:hAnsi="Tahoma" w:cs="Tahoma"/>
          <w:sz w:val="24"/>
          <w:szCs w:val="24"/>
        </w:rPr>
        <w:t xml:space="preserve">Vedle těchto dotací bude </w:t>
      </w:r>
      <w:r w:rsidR="00EC56F3">
        <w:rPr>
          <w:rFonts w:ascii="Tahoma" w:hAnsi="Tahoma" w:cs="Tahoma"/>
          <w:sz w:val="24"/>
          <w:szCs w:val="24"/>
        </w:rPr>
        <w:t xml:space="preserve">dále </w:t>
      </w:r>
      <w:r w:rsidR="00CA357D" w:rsidRPr="00282418">
        <w:rPr>
          <w:rFonts w:ascii="Tahoma" w:hAnsi="Tahoma" w:cs="Tahoma"/>
          <w:sz w:val="24"/>
          <w:szCs w:val="24"/>
        </w:rPr>
        <w:t>možné ve sledovaném období využít další programy vyhlašované příslušnými ministerstvy na vybrané roky</w:t>
      </w:r>
      <w:r w:rsidR="00282418">
        <w:rPr>
          <w:rFonts w:ascii="Tahoma" w:hAnsi="Tahoma" w:cs="Tahoma"/>
          <w:sz w:val="24"/>
          <w:szCs w:val="24"/>
        </w:rPr>
        <w:t>.</w:t>
      </w:r>
    </w:p>
    <w:p w14:paraId="3F920815" w14:textId="2877A536" w:rsidR="00C31B66" w:rsidRDefault="00C31B66" w:rsidP="00A533EB">
      <w:pPr>
        <w:pStyle w:val="zkladntextodsazen10"/>
        <w:ind w:left="0" w:firstLine="0"/>
        <w:rPr>
          <w:rFonts w:ascii="Tahoma" w:hAnsi="Tahoma" w:cs="Tahoma"/>
          <w:sz w:val="24"/>
          <w:szCs w:val="24"/>
        </w:rPr>
      </w:pPr>
    </w:p>
    <w:p w14:paraId="1109D113" w14:textId="77777777" w:rsidR="00952AD2" w:rsidRPr="00282418" w:rsidRDefault="00952AD2" w:rsidP="00A533EB">
      <w:pPr>
        <w:pStyle w:val="zkladntextodsazen10"/>
        <w:ind w:left="0" w:firstLine="0"/>
        <w:rPr>
          <w:rFonts w:ascii="Tahoma" w:hAnsi="Tahoma" w:cs="Tahoma"/>
          <w:sz w:val="24"/>
          <w:szCs w:val="24"/>
        </w:rPr>
      </w:pPr>
    </w:p>
    <w:p w14:paraId="79E65A1B" w14:textId="4F9CCE91" w:rsidR="008E7B37" w:rsidRPr="00826D55" w:rsidRDefault="008E7B37" w:rsidP="00757748">
      <w:pPr>
        <w:pStyle w:val="Nadpis3"/>
        <w:spacing w:before="360" w:after="180"/>
        <w:rPr>
          <w:rFonts w:ascii="Tahoma" w:hAnsi="Tahoma" w:cs="Tahoma"/>
          <w:b/>
          <w:bCs/>
          <w:sz w:val="24"/>
          <w:szCs w:val="24"/>
        </w:rPr>
      </w:pPr>
      <w:bookmarkStart w:id="1" w:name="_Toc72408814"/>
      <w:r w:rsidRPr="00826D55">
        <w:rPr>
          <w:rFonts w:ascii="Tahoma" w:hAnsi="Tahoma" w:cs="Tahoma"/>
          <w:b/>
          <w:bCs/>
          <w:sz w:val="24"/>
          <w:szCs w:val="24"/>
        </w:rPr>
        <w:t xml:space="preserve">PLÁNOVANÉ PŘÍJMY kraje v období let </w:t>
      </w:r>
      <w:proofErr w:type="gramStart"/>
      <w:r w:rsidRPr="00826D55">
        <w:rPr>
          <w:rFonts w:ascii="Tahoma" w:hAnsi="Tahoma" w:cs="Tahoma"/>
          <w:b/>
          <w:bCs/>
          <w:sz w:val="24"/>
          <w:szCs w:val="24"/>
        </w:rPr>
        <w:t>20</w:t>
      </w:r>
      <w:r w:rsidR="005A4BF3" w:rsidRPr="00826D55">
        <w:rPr>
          <w:rFonts w:ascii="Tahoma" w:hAnsi="Tahoma" w:cs="Tahoma"/>
          <w:b/>
          <w:bCs/>
          <w:sz w:val="24"/>
          <w:szCs w:val="24"/>
        </w:rPr>
        <w:t>2</w:t>
      </w:r>
      <w:r w:rsidR="00DA0360">
        <w:rPr>
          <w:rFonts w:ascii="Tahoma" w:hAnsi="Tahoma" w:cs="Tahoma"/>
          <w:b/>
          <w:bCs/>
          <w:sz w:val="24"/>
          <w:szCs w:val="24"/>
        </w:rPr>
        <w:t>2</w:t>
      </w:r>
      <w:r w:rsidRPr="00826D55">
        <w:rPr>
          <w:rFonts w:ascii="Tahoma" w:hAnsi="Tahoma" w:cs="Tahoma"/>
          <w:b/>
          <w:bCs/>
          <w:sz w:val="24"/>
          <w:szCs w:val="24"/>
        </w:rPr>
        <w:t xml:space="preserve"> </w:t>
      </w:r>
      <w:r w:rsidR="00E03D37" w:rsidRPr="00826D55">
        <w:rPr>
          <w:rFonts w:ascii="Tahoma" w:hAnsi="Tahoma" w:cs="Tahoma"/>
          <w:b/>
          <w:bCs/>
          <w:sz w:val="24"/>
          <w:szCs w:val="24"/>
        </w:rPr>
        <w:t>–</w:t>
      </w:r>
      <w:r w:rsidRPr="00826D55">
        <w:rPr>
          <w:rFonts w:ascii="Tahoma" w:hAnsi="Tahoma" w:cs="Tahoma"/>
          <w:b/>
          <w:bCs/>
          <w:sz w:val="24"/>
          <w:szCs w:val="24"/>
        </w:rPr>
        <w:t xml:space="preserve"> 20</w:t>
      </w:r>
      <w:r w:rsidR="00D62217" w:rsidRPr="00826D55">
        <w:rPr>
          <w:rFonts w:ascii="Tahoma" w:hAnsi="Tahoma" w:cs="Tahoma"/>
          <w:b/>
          <w:bCs/>
          <w:sz w:val="24"/>
          <w:szCs w:val="24"/>
        </w:rPr>
        <w:t>2</w:t>
      </w:r>
      <w:r w:rsidR="00DA0360">
        <w:rPr>
          <w:rFonts w:ascii="Tahoma" w:hAnsi="Tahoma" w:cs="Tahoma"/>
          <w:b/>
          <w:bCs/>
          <w:sz w:val="24"/>
          <w:szCs w:val="24"/>
        </w:rPr>
        <w:t>5</w:t>
      </w:r>
      <w:bookmarkEnd w:id="1"/>
      <w:proofErr w:type="gramEnd"/>
    </w:p>
    <w:p w14:paraId="79E65A1C" w14:textId="77777777" w:rsidR="008E7B37" w:rsidRPr="00826D55" w:rsidRDefault="008E7B37">
      <w:pPr>
        <w:pStyle w:val="Nadpis4"/>
        <w:rPr>
          <w:rFonts w:ascii="Tahoma" w:hAnsi="Tahoma" w:cs="Tahoma"/>
          <w:sz w:val="24"/>
          <w:szCs w:val="24"/>
        </w:rPr>
      </w:pPr>
      <w:r w:rsidRPr="00826D55">
        <w:rPr>
          <w:rFonts w:ascii="Tahoma" w:hAnsi="Tahoma" w:cs="Tahoma"/>
          <w:sz w:val="24"/>
          <w:szCs w:val="24"/>
        </w:rPr>
        <w:t>Daňové příjmy</w:t>
      </w:r>
    </w:p>
    <w:p w14:paraId="79E65A1D" w14:textId="77777777" w:rsidR="001C51F8" w:rsidRPr="00826D55" w:rsidRDefault="001C51F8" w:rsidP="001C51F8"/>
    <w:p w14:paraId="79E65A1E" w14:textId="1D4837B1" w:rsidR="005A4BF3"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2</w:t>
      </w:r>
      <w:r w:rsidRPr="00826D55">
        <w:rPr>
          <w:rFonts w:ascii="Tahoma" w:hAnsi="Tahoma" w:cs="Tahoma"/>
          <w:sz w:val="16"/>
          <w:szCs w:val="16"/>
        </w:rPr>
        <w:t xml:space="preserve"> Vývoj daňových příjmů kraje (v </w:t>
      </w:r>
      <w:r w:rsidR="001C51F8" w:rsidRPr="00826D55">
        <w:rPr>
          <w:rFonts w:ascii="Tahoma" w:hAnsi="Tahoma" w:cs="Tahoma"/>
          <w:sz w:val="16"/>
          <w:szCs w:val="16"/>
        </w:rPr>
        <w:t>mil. Kč</w:t>
      </w:r>
      <w:r w:rsidRPr="00826D55">
        <w:rPr>
          <w:rFonts w:ascii="Tahoma" w:hAnsi="Tahoma" w:cs="Tahoma"/>
          <w:sz w:val="16"/>
          <w:szCs w:val="16"/>
        </w:rPr>
        <w:t>)</w:t>
      </w:r>
    </w:p>
    <w:p w14:paraId="768D4D93" w14:textId="27C9A279" w:rsidR="007406F7" w:rsidRPr="00826D55" w:rsidRDefault="007406F7" w:rsidP="002962D6">
      <w:pPr>
        <w:tabs>
          <w:tab w:val="right" w:pos="4962"/>
        </w:tabs>
        <w:rPr>
          <w:rFonts w:ascii="Tahoma" w:hAnsi="Tahoma" w:cs="Tahoma"/>
          <w:sz w:val="16"/>
          <w:szCs w:val="16"/>
        </w:rPr>
      </w:pPr>
      <w:r>
        <w:rPr>
          <w:noProof/>
        </w:rPr>
        <w:drawing>
          <wp:inline distT="0" distB="0" distL="0" distR="0" wp14:anchorId="7D6ABF9D" wp14:editId="5C10C67B">
            <wp:extent cx="3648075" cy="2314575"/>
            <wp:effectExtent l="0" t="0" r="9525" b="9525"/>
            <wp:docPr id="3" name="Graf 3">
              <a:extLst xmlns:a="http://schemas.openxmlformats.org/drawingml/2006/main">
                <a:ext uri="{FF2B5EF4-FFF2-40B4-BE49-F238E27FC236}">
                  <a16:creationId xmlns:a16="http://schemas.microsoft.com/office/drawing/2014/main" id="{1122251C-2893-485C-B64F-6CBBE3C2CA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A5A6E3" w14:textId="4300349F" w:rsidR="003B628E" w:rsidRDefault="003B628E" w:rsidP="002962D6">
      <w:pPr>
        <w:tabs>
          <w:tab w:val="right" w:pos="5103"/>
        </w:tabs>
        <w:rPr>
          <w:rFonts w:ascii="Tahoma" w:hAnsi="Tahoma" w:cs="Tahoma"/>
          <w:sz w:val="16"/>
          <w:szCs w:val="16"/>
        </w:rPr>
      </w:pPr>
    </w:p>
    <w:p w14:paraId="79E65A20" w14:textId="77777777" w:rsidR="005A4BF3" w:rsidRPr="00826D55" w:rsidRDefault="005A4BF3" w:rsidP="002E0495">
      <w:pPr>
        <w:rPr>
          <w:rFonts w:ascii="Tahoma" w:hAnsi="Tahoma" w:cs="Tahoma"/>
          <w:sz w:val="16"/>
          <w:szCs w:val="16"/>
        </w:rPr>
      </w:pPr>
    </w:p>
    <w:p w14:paraId="0F04D7AB" w14:textId="2DF63876" w:rsidR="00F67F37" w:rsidRDefault="00F67F37" w:rsidP="00F67F37">
      <w:pPr>
        <w:pStyle w:val="Zkladntext"/>
        <w:rPr>
          <w:rFonts w:ascii="Tahoma" w:hAnsi="Tahoma" w:cs="Tahoma"/>
          <w:sz w:val="24"/>
          <w:szCs w:val="24"/>
        </w:rPr>
      </w:pPr>
      <w:r w:rsidRPr="004B0C55">
        <w:rPr>
          <w:rFonts w:ascii="Tahoma" w:hAnsi="Tahoma" w:cs="Tahoma"/>
          <w:sz w:val="24"/>
          <w:szCs w:val="24"/>
        </w:rPr>
        <w:t xml:space="preserve">Největší objem daňových příjmů kraje (99 %) tvoří příjmy ze sdílených daní. Ve sledovaném období je očekáván meziroční růst příjmů ze sdílených daní. Pro rok 2022 je počítáno s meziročním růstem o 3 %, jelikož inkaso daně z příjmů fyzických osob ze závislé činnosti bude negativně ovlivněno schváleným daňovým balíčkem z roku 2020 (další navýšení slevy na poplatníka). Pro léta </w:t>
      </w:r>
      <w:proofErr w:type="gramStart"/>
      <w:r w:rsidRPr="004B0C55">
        <w:rPr>
          <w:rFonts w:ascii="Tahoma" w:hAnsi="Tahoma" w:cs="Tahoma"/>
          <w:sz w:val="24"/>
          <w:szCs w:val="24"/>
        </w:rPr>
        <w:t>2023 – 2025</w:t>
      </w:r>
      <w:proofErr w:type="gramEnd"/>
      <w:r w:rsidRPr="004B0C55">
        <w:rPr>
          <w:rFonts w:ascii="Tahoma" w:hAnsi="Tahoma" w:cs="Tahoma"/>
          <w:sz w:val="24"/>
          <w:szCs w:val="24"/>
        </w:rPr>
        <w:t xml:space="preserve"> pak je růst příjmů ze sdílených daní předpokládán v průměrné meziroční výši 4,7 %. V předkrizových letech </w:t>
      </w:r>
      <w:proofErr w:type="gramStart"/>
      <w:r w:rsidRPr="004B0C55">
        <w:rPr>
          <w:rFonts w:ascii="Tahoma" w:hAnsi="Tahoma" w:cs="Tahoma"/>
          <w:sz w:val="24"/>
          <w:szCs w:val="24"/>
        </w:rPr>
        <w:t>2017 – 2019</w:t>
      </w:r>
      <w:proofErr w:type="gramEnd"/>
      <w:r w:rsidRPr="004B0C55">
        <w:rPr>
          <w:rFonts w:ascii="Tahoma" w:hAnsi="Tahoma" w:cs="Tahoma"/>
          <w:sz w:val="24"/>
          <w:szCs w:val="24"/>
        </w:rPr>
        <w:t xml:space="preserve"> dosahoval meziroční růst průměrně 8,5 %, takže se jedná o reálně dosažitelný odhad.</w:t>
      </w:r>
    </w:p>
    <w:p w14:paraId="59E0E25A" w14:textId="77777777" w:rsidR="0029453B" w:rsidRPr="004B0C55" w:rsidRDefault="0029453B" w:rsidP="00F67F37">
      <w:pPr>
        <w:pStyle w:val="Zkladntext"/>
        <w:rPr>
          <w:rFonts w:ascii="Tahoma" w:hAnsi="Tahoma" w:cs="Tahoma"/>
          <w:sz w:val="24"/>
          <w:szCs w:val="24"/>
        </w:rPr>
      </w:pPr>
    </w:p>
    <w:p w14:paraId="47D26B00" w14:textId="60E260BF" w:rsidR="00F67F37" w:rsidRPr="004B0C55" w:rsidRDefault="00F67F37" w:rsidP="00F67F37">
      <w:pPr>
        <w:pStyle w:val="Zkladntext"/>
        <w:rPr>
          <w:rFonts w:ascii="Tahoma" w:hAnsi="Tahoma" w:cs="Tahoma"/>
          <w:sz w:val="24"/>
          <w:szCs w:val="24"/>
        </w:rPr>
      </w:pPr>
      <w:r w:rsidRPr="004B0C55">
        <w:rPr>
          <w:rFonts w:ascii="Tahoma" w:hAnsi="Tahoma" w:cs="Tahoma"/>
          <w:sz w:val="24"/>
          <w:szCs w:val="24"/>
        </w:rPr>
        <w:t xml:space="preserve">Při stanovení odhadu vývoje těchto příjmů bylo přihlédnuto také k predikci růstu daňových výnosů, kterou zpracovalo Ministerstvo financí. Ta nepočítá s dalšími změnami daňových </w:t>
      </w:r>
      <w:proofErr w:type="gramStart"/>
      <w:r w:rsidRPr="004B0C55">
        <w:rPr>
          <w:rFonts w:ascii="Tahoma" w:hAnsi="Tahoma" w:cs="Tahoma"/>
          <w:sz w:val="24"/>
          <w:szCs w:val="24"/>
        </w:rPr>
        <w:t>zákonů  a</w:t>
      </w:r>
      <w:proofErr w:type="gramEnd"/>
      <w:r w:rsidRPr="004B0C55">
        <w:rPr>
          <w:rFonts w:ascii="Tahoma" w:hAnsi="Tahoma" w:cs="Tahoma"/>
          <w:sz w:val="24"/>
          <w:szCs w:val="24"/>
        </w:rPr>
        <w:t xml:space="preserve"> vychází ze současného nastavení procent, kterými se</w:t>
      </w:r>
      <w:r w:rsidR="007406F7">
        <w:rPr>
          <w:rFonts w:ascii="Tahoma" w:hAnsi="Tahoma" w:cs="Tahoma"/>
          <w:sz w:val="24"/>
          <w:szCs w:val="24"/>
        </w:rPr>
        <w:t> </w:t>
      </w:r>
      <w:r w:rsidRPr="004B0C55">
        <w:rPr>
          <w:rFonts w:ascii="Tahoma" w:hAnsi="Tahoma" w:cs="Tahoma"/>
          <w:sz w:val="24"/>
          <w:szCs w:val="24"/>
        </w:rPr>
        <w:t>kraje podílejí na celostátním hrubém výnosu daní na základě zákona č.</w:t>
      </w:r>
      <w:r w:rsidR="007406F7">
        <w:rPr>
          <w:rFonts w:ascii="Tahoma" w:hAnsi="Tahoma" w:cs="Tahoma"/>
          <w:sz w:val="24"/>
          <w:szCs w:val="24"/>
        </w:rPr>
        <w:t> </w:t>
      </w:r>
      <w:r w:rsidRPr="004B0C55">
        <w:rPr>
          <w:rFonts w:ascii="Tahoma" w:hAnsi="Tahoma" w:cs="Tahoma"/>
          <w:sz w:val="24"/>
          <w:szCs w:val="24"/>
        </w:rPr>
        <w:t>243/2000</w:t>
      </w:r>
      <w:r w:rsidR="007406F7">
        <w:rPr>
          <w:rFonts w:ascii="Tahoma" w:hAnsi="Tahoma" w:cs="Tahoma"/>
          <w:sz w:val="24"/>
          <w:szCs w:val="24"/>
        </w:rPr>
        <w:t> </w:t>
      </w:r>
      <w:r w:rsidRPr="004B0C55">
        <w:rPr>
          <w:rFonts w:ascii="Tahoma" w:hAnsi="Tahoma" w:cs="Tahoma"/>
          <w:sz w:val="24"/>
          <w:szCs w:val="24"/>
        </w:rPr>
        <w:t>Sb., o rozpočtovém určení daní</w:t>
      </w:r>
      <w:r w:rsidR="007406F7">
        <w:rPr>
          <w:rFonts w:ascii="Tahoma" w:hAnsi="Tahoma" w:cs="Tahoma"/>
          <w:sz w:val="24"/>
          <w:szCs w:val="24"/>
        </w:rPr>
        <w:t>, ve znění pozdějších předpisů</w:t>
      </w:r>
      <w:r w:rsidRPr="004B0C55">
        <w:rPr>
          <w:rFonts w:ascii="Tahoma" w:hAnsi="Tahoma" w:cs="Tahoma"/>
          <w:sz w:val="24"/>
          <w:szCs w:val="24"/>
        </w:rPr>
        <w:t xml:space="preserve">. Odhad očekávaného plnění jednotlivých daňových příjmů je však vždy spojen s určitou mírou rizika nepřesnosti. </w:t>
      </w:r>
    </w:p>
    <w:p w14:paraId="79E65A22" w14:textId="77777777" w:rsidR="005A4BF3" w:rsidRPr="00826D55" w:rsidRDefault="005A4BF3" w:rsidP="00ED3CD7">
      <w:pPr>
        <w:pStyle w:val="Zkladntext"/>
        <w:rPr>
          <w:rFonts w:ascii="Tahoma" w:hAnsi="Tahoma" w:cs="Tahoma"/>
          <w:sz w:val="24"/>
          <w:szCs w:val="24"/>
        </w:rPr>
      </w:pPr>
    </w:p>
    <w:p w14:paraId="79E65A23" w14:textId="23588E95" w:rsidR="004A6410" w:rsidRDefault="004A6410" w:rsidP="00CB3C68">
      <w:pPr>
        <w:pStyle w:val="Zkladntext"/>
        <w:rPr>
          <w:rFonts w:ascii="Tahoma" w:hAnsi="Tahoma" w:cs="Tahoma"/>
          <w:sz w:val="24"/>
          <w:szCs w:val="24"/>
        </w:rPr>
      </w:pPr>
      <w:r w:rsidRPr="00826D55">
        <w:rPr>
          <w:rFonts w:ascii="Tahoma" w:hAnsi="Tahoma" w:cs="Tahoma"/>
          <w:sz w:val="24"/>
          <w:szCs w:val="24"/>
        </w:rPr>
        <w:t>Méně podstatnými</w:t>
      </w:r>
      <w:r w:rsidR="00657375">
        <w:rPr>
          <w:rFonts w:ascii="Tahoma" w:hAnsi="Tahoma" w:cs="Tahoma"/>
          <w:sz w:val="24"/>
          <w:szCs w:val="24"/>
        </w:rPr>
        <w:t>,</w:t>
      </w:r>
      <w:r w:rsidRPr="00826D55">
        <w:rPr>
          <w:rFonts w:ascii="Tahoma" w:hAnsi="Tahoma" w:cs="Tahoma"/>
          <w:sz w:val="24"/>
          <w:szCs w:val="24"/>
        </w:rPr>
        <w:t xml:space="preserve"> avšak pravidelnými daňovými příjmy kraje budou správní poplatky a poplatky za znečištění ovzduší</w:t>
      </w:r>
      <w:r w:rsidR="00B12D7F">
        <w:rPr>
          <w:rFonts w:ascii="Tahoma" w:hAnsi="Tahoma" w:cs="Tahoma"/>
          <w:sz w:val="24"/>
          <w:szCs w:val="24"/>
        </w:rPr>
        <w:t xml:space="preserve"> a odběr podzemní vody</w:t>
      </w:r>
      <w:r w:rsidR="00D71370" w:rsidRPr="00826D55">
        <w:rPr>
          <w:rFonts w:ascii="Tahoma" w:hAnsi="Tahoma" w:cs="Tahoma"/>
          <w:sz w:val="24"/>
          <w:szCs w:val="24"/>
        </w:rPr>
        <w:t xml:space="preserve">. Je </w:t>
      </w:r>
      <w:r w:rsidR="001C51F8" w:rsidRPr="00826D55">
        <w:rPr>
          <w:rFonts w:ascii="Tahoma" w:hAnsi="Tahoma" w:cs="Tahoma"/>
          <w:sz w:val="24"/>
          <w:szCs w:val="24"/>
        </w:rPr>
        <w:t>předpokládán</w:t>
      </w:r>
      <w:r w:rsidR="00D71370" w:rsidRPr="00826D55">
        <w:rPr>
          <w:rFonts w:ascii="Tahoma" w:hAnsi="Tahoma" w:cs="Tahoma"/>
          <w:sz w:val="24"/>
          <w:szCs w:val="24"/>
        </w:rPr>
        <w:t xml:space="preserve"> příjem</w:t>
      </w:r>
      <w:r w:rsidR="00A85740">
        <w:rPr>
          <w:rFonts w:ascii="Tahoma" w:hAnsi="Tahoma" w:cs="Tahoma"/>
          <w:sz w:val="24"/>
          <w:szCs w:val="24"/>
        </w:rPr>
        <w:t xml:space="preserve"> těchto poplatků</w:t>
      </w:r>
      <w:r w:rsidR="00D71370" w:rsidRPr="00826D55">
        <w:rPr>
          <w:rFonts w:ascii="Tahoma" w:hAnsi="Tahoma" w:cs="Tahoma"/>
          <w:sz w:val="24"/>
          <w:szCs w:val="24"/>
        </w:rPr>
        <w:t xml:space="preserve"> ve výši </w:t>
      </w:r>
      <w:r w:rsidR="00A00663">
        <w:rPr>
          <w:rFonts w:ascii="Tahoma" w:hAnsi="Tahoma" w:cs="Tahoma"/>
          <w:sz w:val="24"/>
          <w:szCs w:val="24"/>
        </w:rPr>
        <w:t>20,2</w:t>
      </w:r>
      <w:r w:rsidR="00657375">
        <w:rPr>
          <w:rFonts w:ascii="Tahoma" w:hAnsi="Tahoma" w:cs="Tahoma"/>
          <w:sz w:val="24"/>
          <w:szCs w:val="24"/>
        </w:rPr>
        <w:t> </w:t>
      </w:r>
      <w:r w:rsidR="00D71370" w:rsidRPr="00826D55">
        <w:rPr>
          <w:rFonts w:ascii="Tahoma" w:hAnsi="Tahoma" w:cs="Tahoma"/>
          <w:sz w:val="24"/>
          <w:szCs w:val="24"/>
        </w:rPr>
        <w:t>mil. Kč ročně.</w:t>
      </w:r>
    </w:p>
    <w:p w14:paraId="1762B596" w14:textId="40DCEB99" w:rsidR="0029453B" w:rsidRDefault="0029453B" w:rsidP="00CB3C68">
      <w:pPr>
        <w:pStyle w:val="Zkladntext"/>
        <w:rPr>
          <w:rFonts w:ascii="Tahoma" w:hAnsi="Tahoma" w:cs="Tahoma"/>
          <w:sz w:val="24"/>
          <w:szCs w:val="24"/>
        </w:rPr>
      </w:pPr>
    </w:p>
    <w:p w14:paraId="76471795" w14:textId="40A6922E" w:rsidR="0029453B" w:rsidRDefault="0029453B" w:rsidP="00CB3C68">
      <w:pPr>
        <w:pStyle w:val="Zkladntext"/>
        <w:rPr>
          <w:rFonts w:ascii="Tahoma" w:hAnsi="Tahoma" w:cs="Tahoma"/>
          <w:sz w:val="24"/>
          <w:szCs w:val="24"/>
        </w:rPr>
      </w:pPr>
    </w:p>
    <w:p w14:paraId="5142C51A" w14:textId="69A9E506" w:rsidR="00952AD2" w:rsidRDefault="00952AD2" w:rsidP="00CB3C68">
      <w:pPr>
        <w:pStyle w:val="Zkladntext"/>
        <w:rPr>
          <w:rFonts w:ascii="Tahoma" w:hAnsi="Tahoma" w:cs="Tahoma"/>
          <w:sz w:val="24"/>
          <w:szCs w:val="24"/>
        </w:rPr>
      </w:pPr>
    </w:p>
    <w:p w14:paraId="35C411D7" w14:textId="77777777" w:rsidR="00952AD2" w:rsidRDefault="00952AD2" w:rsidP="00CB3C68">
      <w:pPr>
        <w:pStyle w:val="Zkladntext"/>
        <w:rPr>
          <w:rFonts w:ascii="Tahoma" w:hAnsi="Tahoma" w:cs="Tahoma"/>
          <w:sz w:val="24"/>
          <w:szCs w:val="24"/>
        </w:rPr>
      </w:pPr>
    </w:p>
    <w:p w14:paraId="372D8D52" w14:textId="6993538F" w:rsidR="0029453B" w:rsidRDefault="0029453B" w:rsidP="00CB3C68">
      <w:pPr>
        <w:pStyle w:val="Zkladntext"/>
        <w:rPr>
          <w:rFonts w:ascii="Tahoma" w:hAnsi="Tahoma" w:cs="Tahoma"/>
          <w:sz w:val="24"/>
          <w:szCs w:val="24"/>
        </w:rPr>
      </w:pPr>
    </w:p>
    <w:p w14:paraId="79E65A25" w14:textId="77777777" w:rsidR="008E7B37" w:rsidRPr="00826D55" w:rsidRDefault="008E7B37" w:rsidP="008B5A8B">
      <w:pPr>
        <w:pStyle w:val="Nadpis4"/>
        <w:rPr>
          <w:rFonts w:ascii="Tahoma" w:hAnsi="Tahoma" w:cs="Tahoma"/>
          <w:sz w:val="24"/>
          <w:szCs w:val="24"/>
        </w:rPr>
      </w:pPr>
      <w:r w:rsidRPr="00826D55">
        <w:rPr>
          <w:rFonts w:ascii="Tahoma" w:hAnsi="Tahoma" w:cs="Tahoma"/>
          <w:sz w:val="24"/>
          <w:szCs w:val="24"/>
        </w:rPr>
        <w:t>Nedaňové příjmy</w:t>
      </w:r>
    </w:p>
    <w:p w14:paraId="79E65A26" w14:textId="77777777" w:rsidR="002E0495" w:rsidRPr="00826D55" w:rsidRDefault="002E0495" w:rsidP="002E0495"/>
    <w:p w14:paraId="0E01F9C8" w14:textId="02AF4004" w:rsidR="007119CA" w:rsidRDefault="002E0495" w:rsidP="00206619">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3</w:t>
      </w:r>
      <w:r w:rsidRPr="00826D55">
        <w:rPr>
          <w:rFonts w:ascii="Tahoma" w:hAnsi="Tahoma" w:cs="Tahoma"/>
          <w:sz w:val="16"/>
          <w:szCs w:val="16"/>
        </w:rPr>
        <w:t xml:space="preserve"> Vývoj nedaňových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1837855D" w14:textId="25040533" w:rsidR="007406F7" w:rsidRDefault="007406F7" w:rsidP="00206619">
      <w:pPr>
        <w:tabs>
          <w:tab w:val="right" w:pos="4962"/>
        </w:tabs>
        <w:rPr>
          <w:rFonts w:ascii="Tahoma" w:hAnsi="Tahoma" w:cs="Tahoma"/>
          <w:sz w:val="16"/>
          <w:szCs w:val="16"/>
        </w:rPr>
      </w:pPr>
    </w:p>
    <w:p w14:paraId="264839CA" w14:textId="496BF16D" w:rsidR="007406F7" w:rsidRDefault="007406F7" w:rsidP="00206619">
      <w:pPr>
        <w:tabs>
          <w:tab w:val="right" w:pos="4962"/>
        </w:tabs>
        <w:rPr>
          <w:rFonts w:ascii="Tahoma" w:hAnsi="Tahoma" w:cs="Tahoma"/>
          <w:sz w:val="16"/>
          <w:szCs w:val="16"/>
        </w:rPr>
      </w:pPr>
      <w:r>
        <w:rPr>
          <w:rFonts w:ascii="Tahoma" w:hAnsi="Tahoma" w:cs="Tahoma"/>
          <w:noProof/>
          <w:sz w:val="16"/>
          <w:szCs w:val="16"/>
        </w:rPr>
        <w:drawing>
          <wp:inline distT="0" distB="0" distL="0" distR="0" wp14:anchorId="78EF9F5B" wp14:editId="4A13CE7D">
            <wp:extent cx="3454371" cy="20764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8463" cy="2090932"/>
                    </a:xfrm>
                    <a:prstGeom prst="rect">
                      <a:avLst/>
                    </a:prstGeom>
                    <a:noFill/>
                  </pic:spPr>
                </pic:pic>
              </a:graphicData>
            </a:graphic>
          </wp:inline>
        </w:drawing>
      </w:r>
    </w:p>
    <w:p w14:paraId="451E232B" w14:textId="3037FE0A" w:rsidR="007406F7" w:rsidRDefault="007406F7" w:rsidP="00206619">
      <w:pPr>
        <w:tabs>
          <w:tab w:val="right" w:pos="4962"/>
        </w:tabs>
        <w:rPr>
          <w:rFonts w:ascii="Tahoma" w:hAnsi="Tahoma" w:cs="Tahoma"/>
          <w:sz w:val="16"/>
          <w:szCs w:val="16"/>
        </w:rPr>
      </w:pPr>
    </w:p>
    <w:p w14:paraId="6F19A22B" w14:textId="77777777" w:rsidR="007406F7" w:rsidRDefault="007406F7" w:rsidP="00206619">
      <w:pPr>
        <w:tabs>
          <w:tab w:val="right" w:pos="4962"/>
        </w:tabs>
        <w:rPr>
          <w:rFonts w:ascii="Tahoma" w:hAnsi="Tahoma" w:cs="Tahoma"/>
          <w:noProof/>
          <w:sz w:val="16"/>
          <w:szCs w:val="16"/>
        </w:rPr>
      </w:pPr>
    </w:p>
    <w:p w14:paraId="5126D245" w14:textId="77777777" w:rsidR="00374D2E" w:rsidRDefault="00AE2BF4" w:rsidP="003D3573">
      <w:pPr>
        <w:pStyle w:val="Bezmezer"/>
        <w:rPr>
          <w:rFonts w:cs="Tahoma"/>
        </w:rPr>
      </w:pPr>
      <w:r w:rsidRPr="00826D55">
        <w:rPr>
          <w:rFonts w:cs="Tahoma"/>
        </w:rPr>
        <w:t xml:space="preserve">Největším nedaňovým příjmem budou vrácené finanční výpomoci od příspěvkových organizací kraje, od poskytovatelů sociálních služeb a od obchodních společností kraje. Vratky z těchto návratných finančních výpomocí významně ovlivňují vývoj nedaňových příjmů v jednotlivých letech. </w:t>
      </w:r>
    </w:p>
    <w:p w14:paraId="75D2FED3" w14:textId="77777777" w:rsidR="00374D2E" w:rsidRDefault="00374D2E" w:rsidP="003D3573">
      <w:pPr>
        <w:pStyle w:val="Bezmezer"/>
        <w:rPr>
          <w:rFonts w:cs="Tahoma"/>
        </w:rPr>
      </w:pPr>
    </w:p>
    <w:p w14:paraId="09F9958C" w14:textId="595D92BB" w:rsidR="003D3573" w:rsidRDefault="00AE2BF4" w:rsidP="003D3573">
      <w:pPr>
        <w:pStyle w:val="Bezmezer"/>
        <w:rPr>
          <w:rFonts w:cs="Tahoma"/>
        </w:rPr>
      </w:pPr>
      <w:r w:rsidRPr="00826D55">
        <w:rPr>
          <w:rFonts w:cs="Tahoma"/>
        </w:rPr>
        <w:t xml:space="preserve">Pravidelnými příjmy v následujících letech jsou příjmy z pronájmu majetku kraje. Jedná se zejména o finanční plnění z již uzavřených nájemních </w:t>
      </w:r>
      <w:r w:rsidRPr="004B0C55">
        <w:rPr>
          <w:rFonts w:cs="Tahoma"/>
        </w:rPr>
        <w:t>smluv se společností Letiště Ostrava, a. s.</w:t>
      </w:r>
      <w:r w:rsidR="008E5390" w:rsidRPr="004B0C55">
        <w:rPr>
          <w:rFonts w:cs="Tahoma"/>
        </w:rPr>
        <w:t>,</w:t>
      </w:r>
      <w:r w:rsidRPr="004B0C55">
        <w:rPr>
          <w:rFonts w:cs="Tahoma"/>
        </w:rPr>
        <w:t xml:space="preserve"> a se společností Nemocnice Nový Jičín</w:t>
      </w:r>
      <w:r w:rsidR="008E5390" w:rsidRPr="004B0C55">
        <w:rPr>
          <w:rFonts w:cs="Tahoma"/>
        </w:rPr>
        <w:t>, a. s.</w:t>
      </w:r>
      <w:r w:rsidRPr="004B0C55">
        <w:rPr>
          <w:rFonts w:cs="Tahoma"/>
        </w:rPr>
        <w:t xml:space="preserve">  </w:t>
      </w:r>
      <w:r w:rsidR="003D3573" w:rsidRPr="004B0C55">
        <w:rPr>
          <w:rFonts w:cs="Tahoma"/>
        </w:rPr>
        <w:t xml:space="preserve">U příjmů z úroků z úložek na bankovních účtech včetně dalších bankovních produktů využívaných krajem je očekáván pozvolný růst v návaznosti na avizované zvyšování základních úrokových sazeb Českou národní bankou. </w:t>
      </w:r>
    </w:p>
    <w:p w14:paraId="3E48A8D5" w14:textId="77777777" w:rsidR="004F0EDD" w:rsidRPr="004B0C55" w:rsidRDefault="004F0EDD" w:rsidP="003D3573">
      <w:pPr>
        <w:pStyle w:val="Bezmezer"/>
        <w:rPr>
          <w:rFonts w:cs="Tahoma"/>
        </w:rPr>
      </w:pPr>
    </w:p>
    <w:p w14:paraId="3A834AA5" w14:textId="44A29CE6" w:rsidR="00E960B4" w:rsidRDefault="00076D5A" w:rsidP="00C31572">
      <w:pPr>
        <w:jc w:val="both"/>
        <w:rPr>
          <w:rFonts w:ascii="Tahoma" w:eastAsiaTheme="minorHAnsi" w:hAnsi="Tahoma" w:cs="Tahoma"/>
          <w:szCs w:val="22"/>
          <w:lang w:eastAsia="en-US"/>
        </w:rPr>
      </w:pPr>
      <w:r>
        <w:rPr>
          <w:rFonts w:ascii="Tahoma" w:eastAsiaTheme="minorHAnsi" w:hAnsi="Tahoma" w:cs="Tahoma"/>
          <w:szCs w:val="22"/>
          <w:lang w:eastAsia="en-US"/>
        </w:rPr>
        <w:t>N</w:t>
      </w:r>
      <w:r w:rsidRPr="004B0C55">
        <w:rPr>
          <w:rFonts w:ascii="Tahoma" w:eastAsiaTheme="minorHAnsi" w:hAnsi="Tahoma" w:cs="Tahoma"/>
          <w:szCs w:val="22"/>
          <w:lang w:eastAsia="en-US"/>
        </w:rPr>
        <w:t xml:space="preserve">a základě operačních smluv s </w:t>
      </w:r>
      <w:r>
        <w:rPr>
          <w:rFonts w:ascii="Tahoma" w:eastAsiaTheme="minorHAnsi" w:hAnsi="Tahoma" w:cs="Tahoma"/>
          <w:szCs w:val="22"/>
          <w:lang w:eastAsia="en-US"/>
        </w:rPr>
        <w:t>f</w:t>
      </w:r>
      <w:r w:rsidRPr="004B0C55">
        <w:rPr>
          <w:rFonts w:ascii="Tahoma" w:eastAsiaTheme="minorHAnsi" w:hAnsi="Tahoma" w:cs="Tahoma"/>
          <w:szCs w:val="22"/>
          <w:lang w:eastAsia="en-US"/>
        </w:rPr>
        <w:t>ondy</w:t>
      </w:r>
      <w:r w:rsidRPr="00C31572">
        <w:rPr>
          <w:rFonts w:ascii="Tahoma" w:eastAsiaTheme="minorHAnsi" w:hAnsi="Tahoma" w:cs="Tahoma"/>
          <w:szCs w:val="22"/>
          <w:lang w:eastAsia="en-US"/>
        </w:rPr>
        <w:t xml:space="preserve"> rozvoje měst</w:t>
      </w:r>
      <w:r w:rsidRPr="004B0C55">
        <w:rPr>
          <w:rFonts w:ascii="Tahoma" w:eastAsiaTheme="minorHAnsi" w:hAnsi="Tahoma" w:cs="Tahoma"/>
          <w:szCs w:val="22"/>
          <w:lang w:eastAsia="en-US"/>
        </w:rPr>
        <w:t xml:space="preserve"> </w:t>
      </w:r>
      <w:r>
        <w:rPr>
          <w:rFonts w:ascii="Tahoma" w:eastAsiaTheme="minorHAnsi" w:hAnsi="Tahoma" w:cs="Tahoma"/>
          <w:szCs w:val="22"/>
          <w:lang w:eastAsia="en-US"/>
        </w:rPr>
        <w:t>jsou p</w:t>
      </w:r>
      <w:r w:rsidR="00AE2BF4" w:rsidRPr="004B0C55">
        <w:rPr>
          <w:rFonts w:ascii="Tahoma" w:eastAsiaTheme="minorHAnsi" w:hAnsi="Tahoma" w:cs="Tahoma"/>
          <w:szCs w:val="22"/>
          <w:lang w:eastAsia="en-US"/>
        </w:rPr>
        <w:t>lánovány příjmy z vrácených prostředků</w:t>
      </w:r>
      <w:r w:rsidR="00AE2BF4" w:rsidRPr="00C31572">
        <w:rPr>
          <w:rFonts w:ascii="Tahoma" w:eastAsiaTheme="minorHAnsi" w:hAnsi="Tahoma" w:cs="Tahoma"/>
          <w:szCs w:val="22"/>
          <w:lang w:eastAsia="en-US"/>
        </w:rPr>
        <w:t>. Jedná se o splátky jistin a úroků z poskytnutých úvěrů z finančního nástroje JESSICA v Regionálním operačním programu Moravskoslezsko (kraj je bude inkasovat až do roku 2030). Rovněž jsou, na základě uzavřených úvěrových smluv, zahrnuty příjmy ze splátek jistin půjčených prostředků v rámci finančního nástroje JESSICA II. Tyto pravidelné příjmy budou průběžně využívány na poskytování dalších úvěrů obcím</w:t>
      </w:r>
      <w:r w:rsidR="007663E1">
        <w:rPr>
          <w:rFonts w:ascii="Tahoma" w:eastAsiaTheme="minorHAnsi" w:hAnsi="Tahoma" w:cs="Tahoma"/>
          <w:szCs w:val="22"/>
          <w:lang w:eastAsia="en-US"/>
        </w:rPr>
        <w:t>.</w:t>
      </w:r>
      <w:r w:rsidR="00AE2BF4" w:rsidRPr="00C31572">
        <w:rPr>
          <w:rFonts w:ascii="Tahoma" w:eastAsiaTheme="minorHAnsi" w:hAnsi="Tahoma" w:cs="Tahoma"/>
          <w:szCs w:val="22"/>
          <w:lang w:eastAsia="en-US"/>
        </w:rPr>
        <w:t xml:space="preserve"> </w:t>
      </w:r>
    </w:p>
    <w:p w14:paraId="7A34434D" w14:textId="4206CFCB" w:rsidR="004F0EDD" w:rsidRDefault="004F0EDD" w:rsidP="00C31572">
      <w:pPr>
        <w:jc w:val="both"/>
        <w:rPr>
          <w:rFonts w:ascii="Tahoma" w:eastAsiaTheme="minorHAnsi" w:hAnsi="Tahoma" w:cs="Tahoma"/>
          <w:szCs w:val="22"/>
          <w:lang w:eastAsia="en-US"/>
        </w:rPr>
      </w:pPr>
    </w:p>
    <w:p w14:paraId="5741B0D1" w14:textId="77777777" w:rsidR="003F299D" w:rsidRDefault="003F299D" w:rsidP="008B5A8B">
      <w:pPr>
        <w:pStyle w:val="Zkladntextodsazen"/>
        <w:rPr>
          <w:rFonts w:ascii="Tahoma" w:hAnsi="Tahoma" w:cs="Tahoma"/>
          <w:sz w:val="24"/>
          <w:szCs w:val="24"/>
          <w:u w:val="single"/>
        </w:rPr>
      </w:pPr>
    </w:p>
    <w:p w14:paraId="5D5F7A3D" w14:textId="77777777" w:rsidR="003F299D" w:rsidRDefault="003F299D" w:rsidP="008B5A8B">
      <w:pPr>
        <w:pStyle w:val="Zkladntextodsazen"/>
        <w:rPr>
          <w:rFonts w:ascii="Tahoma" w:hAnsi="Tahoma" w:cs="Tahoma"/>
          <w:sz w:val="24"/>
          <w:szCs w:val="24"/>
          <w:u w:val="single"/>
        </w:rPr>
      </w:pPr>
    </w:p>
    <w:p w14:paraId="0CF71170" w14:textId="77777777" w:rsidR="003F299D" w:rsidRDefault="003F299D" w:rsidP="008B5A8B">
      <w:pPr>
        <w:pStyle w:val="Zkladntextodsazen"/>
        <w:rPr>
          <w:rFonts w:ascii="Tahoma" w:hAnsi="Tahoma" w:cs="Tahoma"/>
          <w:sz w:val="24"/>
          <w:szCs w:val="24"/>
          <w:u w:val="single"/>
        </w:rPr>
      </w:pPr>
    </w:p>
    <w:p w14:paraId="1944A73C" w14:textId="77777777" w:rsidR="003F299D" w:rsidRDefault="003F299D" w:rsidP="008B5A8B">
      <w:pPr>
        <w:pStyle w:val="Zkladntextodsazen"/>
        <w:rPr>
          <w:rFonts w:ascii="Tahoma" w:hAnsi="Tahoma" w:cs="Tahoma"/>
          <w:sz w:val="24"/>
          <w:szCs w:val="24"/>
          <w:u w:val="single"/>
        </w:rPr>
      </w:pPr>
    </w:p>
    <w:p w14:paraId="4BB560FA" w14:textId="77777777" w:rsidR="003F299D" w:rsidRDefault="003F299D" w:rsidP="008B5A8B">
      <w:pPr>
        <w:pStyle w:val="Zkladntextodsazen"/>
        <w:rPr>
          <w:rFonts w:ascii="Tahoma" w:hAnsi="Tahoma" w:cs="Tahoma"/>
          <w:sz w:val="24"/>
          <w:szCs w:val="24"/>
          <w:u w:val="single"/>
        </w:rPr>
      </w:pPr>
    </w:p>
    <w:p w14:paraId="6F3F01EC" w14:textId="77777777" w:rsidR="003F299D" w:rsidRDefault="003F299D" w:rsidP="008B5A8B">
      <w:pPr>
        <w:pStyle w:val="Zkladntextodsazen"/>
        <w:rPr>
          <w:rFonts w:ascii="Tahoma" w:hAnsi="Tahoma" w:cs="Tahoma"/>
          <w:sz w:val="24"/>
          <w:szCs w:val="24"/>
          <w:u w:val="single"/>
        </w:rPr>
      </w:pPr>
    </w:p>
    <w:p w14:paraId="454994FC" w14:textId="77777777" w:rsidR="003F299D" w:rsidRDefault="003F299D" w:rsidP="008B5A8B">
      <w:pPr>
        <w:pStyle w:val="Zkladntextodsazen"/>
        <w:rPr>
          <w:rFonts w:ascii="Tahoma" w:hAnsi="Tahoma" w:cs="Tahoma"/>
          <w:sz w:val="24"/>
          <w:szCs w:val="24"/>
          <w:u w:val="single"/>
        </w:rPr>
      </w:pPr>
    </w:p>
    <w:p w14:paraId="26263582" w14:textId="77777777" w:rsidR="003F299D" w:rsidRDefault="003F299D" w:rsidP="008B5A8B">
      <w:pPr>
        <w:pStyle w:val="Zkladntextodsazen"/>
        <w:rPr>
          <w:rFonts w:ascii="Tahoma" w:hAnsi="Tahoma" w:cs="Tahoma"/>
          <w:sz w:val="24"/>
          <w:szCs w:val="24"/>
          <w:u w:val="single"/>
        </w:rPr>
      </w:pPr>
    </w:p>
    <w:p w14:paraId="73372241" w14:textId="77777777" w:rsidR="003F299D" w:rsidRDefault="003F299D" w:rsidP="008B5A8B">
      <w:pPr>
        <w:pStyle w:val="Zkladntextodsazen"/>
        <w:rPr>
          <w:rFonts w:ascii="Tahoma" w:hAnsi="Tahoma" w:cs="Tahoma"/>
          <w:sz w:val="24"/>
          <w:szCs w:val="24"/>
          <w:u w:val="single"/>
        </w:rPr>
      </w:pPr>
    </w:p>
    <w:p w14:paraId="5A4265B6" w14:textId="77777777" w:rsidR="003F299D" w:rsidRDefault="003F299D" w:rsidP="008B5A8B">
      <w:pPr>
        <w:pStyle w:val="Zkladntextodsazen"/>
        <w:rPr>
          <w:rFonts w:ascii="Tahoma" w:hAnsi="Tahoma" w:cs="Tahoma"/>
          <w:sz w:val="24"/>
          <w:szCs w:val="24"/>
          <w:u w:val="single"/>
        </w:rPr>
      </w:pPr>
    </w:p>
    <w:p w14:paraId="2A78BF88" w14:textId="77777777" w:rsidR="003F299D" w:rsidRDefault="003F299D" w:rsidP="008B5A8B">
      <w:pPr>
        <w:pStyle w:val="Zkladntextodsazen"/>
        <w:rPr>
          <w:rFonts w:ascii="Tahoma" w:hAnsi="Tahoma" w:cs="Tahoma"/>
          <w:sz w:val="24"/>
          <w:szCs w:val="24"/>
          <w:u w:val="single"/>
        </w:rPr>
      </w:pPr>
    </w:p>
    <w:p w14:paraId="61E71DA3" w14:textId="77777777" w:rsidR="003F299D" w:rsidRDefault="003F299D" w:rsidP="008B5A8B">
      <w:pPr>
        <w:pStyle w:val="Zkladntextodsazen"/>
        <w:rPr>
          <w:rFonts w:ascii="Tahoma" w:hAnsi="Tahoma" w:cs="Tahoma"/>
          <w:sz w:val="24"/>
          <w:szCs w:val="24"/>
          <w:u w:val="single"/>
        </w:rPr>
      </w:pPr>
    </w:p>
    <w:p w14:paraId="79E65A2D" w14:textId="75589207"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Kapitálové příjmy</w:t>
      </w:r>
    </w:p>
    <w:p w14:paraId="79E65A2E" w14:textId="77777777" w:rsidR="002E0495" w:rsidRPr="00826D55" w:rsidRDefault="002E0495" w:rsidP="002E0495">
      <w:pPr>
        <w:rPr>
          <w:rFonts w:ascii="Tahoma" w:hAnsi="Tahoma" w:cs="Tahoma"/>
          <w:sz w:val="16"/>
          <w:szCs w:val="16"/>
        </w:rPr>
      </w:pPr>
    </w:p>
    <w:p w14:paraId="498BA010" w14:textId="67A6649D" w:rsidR="005E29CD" w:rsidRDefault="002E0495" w:rsidP="00234E00">
      <w:pPr>
        <w:tabs>
          <w:tab w:val="right" w:pos="4962"/>
        </w:tabs>
        <w:rPr>
          <w:rFonts w:ascii="Tahoma" w:hAnsi="Tahoma" w:cs="Tahoma"/>
          <w:sz w:val="16"/>
          <w:szCs w:val="16"/>
        </w:rPr>
      </w:pPr>
      <w:r w:rsidRPr="00826D55">
        <w:rPr>
          <w:rFonts w:ascii="Tahoma" w:hAnsi="Tahoma" w:cs="Tahoma"/>
          <w:sz w:val="16"/>
          <w:szCs w:val="16"/>
        </w:rPr>
        <w:t xml:space="preserve">Graf č. </w:t>
      </w:r>
      <w:proofErr w:type="gramStart"/>
      <w:r w:rsidR="001C51F8" w:rsidRPr="00826D55">
        <w:rPr>
          <w:rFonts w:ascii="Tahoma" w:hAnsi="Tahoma" w:cs="Tahoma"/>
          <w:sz w:val="16"/>
          <w:szCs w:val="16"/>
        </w:rPr>
        <w:t xml:space="preserve">4 </w:t>
      </w:r>
      <w:r w:rsidRPr="00826D55">
        <w:rPr>
          <w:rFonts w:ascii="Tahoma" w:hAnsi="Tahoma" w:cs="Tahoma"/>
          <w:sz w:val="16"/>
          <w:szCs w:val="16"/>
        </w:rPr>
        <w:t xml:space="preserve"> Vývoj</w:t>
      </w:r>
      <w:proofErr w:type="gramEnd"/>
      <w:r w:rsidRPr="00826D55">
        <w:rPr>
          <w:rFonts w:ascii="Tahoma" w:hAnsi="Tahoma" w:cs="Tahoma"/>
          <w:sz w:val="16"/>
          <w:szCs w:val="16"/>
        </w:rPr>
        <w:t xml:space="preserve"> kapitálových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756EC415" w14:textId="219F098D" w:rsidR="007406F7" w:rsidRDefault="007406F7" w:rsidP="00234E00">
      <w:pPr>
        <w:tabs>
          <w:tab w:val="right" w:pos="4962"/>
        </w:tabs>
        <w:rPr>
          <w:rFonts w:ascii="Tahoma" w:hAnsi="Tahoma" w:cs="Tahoma"/>
          <w:sz w:val="16"/>
          <w:szCs w:val="16"/>
        </w:rPr>
      </w:pPr>
      <w:r>
        <w:rPr>
          <w:rFonts w:ascii="Tahoma" w:hAnsi="Tahoma" w:cs="Tahoma"/>
          <w:noProof/>
          <w:sz w:val="16"/>
          <w:szCs w:val="16"/>
        </w:rPr>
        <w:drawing>
          <wp:inline distT="0" distB="0" distL="0" distR="0" wp14:anchorId="464D4B5F" wp14:editId="34799694">
            <wp:extent cx="3422679" cy="2057400"/>
            <wp:effectExtent l="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640" cy="2066994"/>
                    </a:xfrm>
                    <a:prstGeom prst="rect">
                      <a:avLst/>
                    </a:prstGeom>
                    <a:noFill/>
                  </pic:spPr>
                </pic:pic>
              </a:graphicData>
            </a:graphic>
          </wp:inline>
        </w:drawing>
      </w:r>
    </w:p>
    <w:p w14:paraId="0A3FE8A2" w14:textId="77777777" w:rsidR="007406F7" w:rsidRPr="00826D55" w:rsidRDefault="007406F7" w:rsidP="00234E00">
      <w:pPr>
        <w:tabs>
          <w:tab w:val="right" w:pos="4962"/>
        </w:tabs>
        <w:rPr>
          <w:rFonts w:ascii="Tahoma" w:hAnsi="Tahoma" w:cs="Tahoma"/>
          <w:sz w:val="16"/>
          <w:szCs w:val="16"/>
        </w:rPr>
      </w:pPr>
    </w:p>
    <w:p w14:paraId="79E65A32" w14:textId="6B19BDC1" w:rsidR="00E771C4" w:rsidRDefault="0055134A" w:rsidP="008B5A8B">
      <w:pPr>
        <w:pStyle w:val="Zkladntextodsazen"/>
        <w:rPr>
          <w:rFonts w:ascii="Tahoma" w:hAnsi="Tahoma" w:cs="Tahoma"/>
          <w:sz w:val="24"/>
          <w:szCs w:val="24"/>
        </w:rPr>
      </w:pPr>
      <w:r w:rsidRPr="00826D55">
        <w:rPr>
          <w:rFonts w:ascii="Tahoma" w:hAnsi="Tahoma" w:cs="Tahoma"/>
          <w:sz w:val="24"/>
          <w:szCs w:val="24"/>
        </w:rPr>
        <w:t xml:space="preserve">Kapitálové příjmy kraje tvoří hlavně příjmy z prodeje nepotřebných pozemků a ostatních nemovitých věcí a jejich částí. Objem příjmů je navržen na základě vývoje odprodejů a zkušeností z posledních let ve výši </w:t>
      </w:r>
      <w:r w:rsidR="001F71BA">
        <w:rPr>
          <w:rFonts w:ascii="Tahoma" w:hAnsi="Tahoma" w:cs="Tahoma"/>
          <w:sz w:val="24"/>
          <w:szCs w:val="24"/>
        </w:rPr>
        <w:t>5</w:t>
      </w:r>
      <w:r w:rsidRPr="00826D55">
        <w:rPr>
          <w:rFonts w:ascii="Tahoma" w:hAnsi="Tahoma" w:cs="Tahoma"/>
          <w:sz w:val="24"/>
          <w:szCs w:val="24"/>
        </w:rPr>
        <w:t xml:space="preserve"> mil. Kč ročně. V roce 202</w:t>
      </w:r>
      <w:r w:rsidR="001F71BA">
        <w:rPr>
          <w:rFonts w:ascii="Tahoma" w:hAnsi="Tahoma" w:cs="Tahoma"/>
          <w:sz w:val="24"/>
          <w:szCs w:val="24"/>
        </w:rPr>
        <w:t>2</w:t>
      </w:r>
      <w:r w:rsidRPr="00826D55">
        <w:rPr>
          <w:rFonts w:ascii="Tahoma" w:hAnsi="Tahoma" w:cs="Tahoma"/>
          <w:sz w:val="24"/>
          <w:szCs w:val="24"/>
        </w:rPr>
        <w:t xml:space="preserve"> je plánováno navýšení </w:t>
      </w:r>
      <w:r w:rsidR="008E5390">
        <w:rPr>
          <w:rFonts w:ascii="Tahoma" w:hAnsi="Tahoma" w:cs="Tahoma"/>
          <w:sz w:val="24"/>
          <w:szCs w:val="24"/>
        </w:rPr>
        <w:t>o</w:t>
      </w:r>
      <w:r w:rsidRPr="002E3003">
        <w:rPr>
          <w:rFonts w:ascii="Tahoma" w:hAnsi="Tahoma" w:cs="Tahoma"/>
          <w:sz w:val="24"/>
          <w:szCs w:val="24"/>
        </w:rPr>
        <w:t xml:space="preserve"> </w:t>
      </w:r>
      <w:r w:rsidR="001F71BA">
        <w:rPr>
          <w:rFonts w:ascii="Tahoma" w:hAnsi="Tahoma" w:cs="Tahoma"/>
          <w:sz w:val="24"/>
          <w:szCs w:val="24"/>
        </w:rPr>
        <w:t>68</w:t>
      </w:r>
      <w:r w:rsidRPr="002E3003">
        <w:rPr>
          <w:rFonts w:ascii="Tahoma" w:hAnsi="Tahoma" w:cs="Tahoma"/>
          <w:sz w:val="24"/>
          <w:szCs w:val="24"/>
        </w:rPr>
        <w:t xml:space="preserve"> mil. Kč z důvodu předpokládaného mimořádného příjmu z</w:t>
      </w:r>
      <w:r w:rsidR="006B570F" w:rsidRPr="002E3003">
        <w:rPr>
          <w:rFonts w:ascii="Tahoma" w:hAnsi="Tahoma" w:cs="Tahoma"/>
          <w:sz w:val="24"/>
          <w:szCs w:val="24"/>
        </w:rPr>
        <w:t> </w:t>
      </w:r>
      <w:r w:rsidRPr="002E3003">
        <w:rPr>
          <w:rFonts w:ascii="Tahoma" w:hAnsi="Tahoma" w:cs="Tahoma"/>
          <w:sz w:val="24"/>
          <w:szCs w:val="24"/>
        </w:rPr>
        <w:t xml:space="preserve">prodeje pozemků </w:t>
      </w:r>
      <w:r w:rsidR="002E3003" w:rsidRPr="002E3003">
        <w:rPr>
          <w:rFonts w:ascii="Tahoma" w:hAnsi="Tahoma" w:cs="Tahoma"/>
          <w:sz w:val="24"/>
          <w:szCs w:val="24"/>
        </w:rPr>
        <w:t>za účelem budování multimodálního logistického centra Mošnov</w:t>
      </w:r>
      <w:r w:rsidR="003206AB">
        <w:rPr>
          <w:rFonts w:ascii="Tahoma" w:hAnsi="Tahoma" w:cs="Tahoma"/>
          <w:sz w:val="24"/>
          <w:szCs w:val="24"/>
        </w:rPr>
        <w:t>.</w:t>
      </w:r>
      <w:r w:rsidR="002E3003" w:rsidRPr="002E3003">
        <w:rPr>
          <w:rFonts w:ascii="Tahoma" w:hAnsi="Tahoma" w:cs="Tahoma"/>
          <w:sz w:val="24"/>
          <w:szCs w:val="24"/>
        </w:rPr>
        <w:t xml:space="preserve"> </w:t>
      </w:r>
      <w:r w:rsidR="00F175E4" w:rsidRPr="00826D55">
        <w:rPr>
          <w:rFonts w:ascii="Tahoma" w:hAnsi="Tahoma" w:cs="Tahoma"/>
          <w:sz w:val="24"/>
          <w:szCs w:val="24"/>
        </w:rPr>
        <w:t>D</w:t>
      </w:r>
      <w:r w:rsidR="008E7B37" w:rsidRPr="00826D55">
        <w:rPr>
          <w:rFonts w:ascii="Tahoma" w:hAnsi="Tahoma" w:cs="Tahoma"/>
          <w:sz w:val="24"/>
          <w:szCs w:val="24"/>
        </w:rPr>
        <w:t>o celkové předpokládané roční výše kapitálových příjmů je započten i</w:t>
      </w:r>
      <w:r w:rsidR="0056091F" w:rsidRPr="00826D55">
        <w:rPr>
          <w:rFonts w:ascii="Tahoma" w:hAnsi="Tahoma" w:cs="Tahoma"/>
          <w:sz w:val="24"/>
          <w:szCs w:val="24"/>
        </w:rPr>
        <w:t> </w:t>
      </w:r>
      <w:r w:rsidR="008E7B37" w:rsidRPr="00826D55">
        <w:rPr>
          <w:rFonts w:ascii="Tahoma" w:hAnsi="Tahoma" w:cs="Tahoma"/>
          <w:sz w:val="24"/>
          <w:szCs w:val="24"/>
        </w:rPr>
        <w:t xml:space="preserve">příspěvek společnosti Hyundai Motor </w:t>
      </w:r>
      <w:proofErr w:type="spellStart"/>
      <w:r w:rsidR="008E7B37" w:rsidRPr="00826D55">
        <w:rPr>
          <w:rFonts w:ascii="Tahoma" w:hAnsi="Tahoma" w:cs="Tahoma"/>
          <w:sz w:val="24"/>
          <w:szCs w:val="24"/>
        </w:rPr>
        <w:t>Manufacturing</w:t>
      </w:r>
      <w:proofErr w:type="spellEnd"/>
      <w:r w:rsidR="008E7B37" w:rsidRPr="00826D55">
        <w:rPr>
          <w:rFonts w:ascii="Tahoma" w:hAnsi="Tahoma" w:cs="Tahoma"/>
          <w:sz w:val="24"/>
          <w:szCs w:val="24"/>
        </w:rPr>
        <w:t xml:space="preserve"> Czech s. r. o.</w:t>
      </w:r>
      <w:r w:rsidR="00EC3E23">
        <w:rPr>
          <w:rFonts w:ascii="Tahoma" w:hAnsi="Tahoma" w:cs="Tahoma"/>
          <w:sz w:val="24"/>
          <w:szCs w:val="24"/>
        </w:rPr>
        <w:t xml:space="preserve"> ve výši 16,5 mil. Kč</w:t>
      </w:r>
      <w:r w:rsidR="008E7B37" w:rsidRPr="00826D55">
        <w:rPr>
          <w:rFonts w:ascii="Tahoma" w:hAnsi="Tahoma" w:cs="Tahoma"/>
          <w:sz w:val="24"/>
          <w:szCs w:val="24"/>
        </w:rPr>
        <w:t xml:space="preserve">, který je </w:t>
      </w:r>
      <w:r w:rsidR="00014F10" w:rsidRPr="00826D55">
        <w:rPr>
          <w:rFonts w:ascii="Tahoma" w:hAnsi="Tahoma" w:cs="Tahoma"/>
          <w:sz w:val="24"/>
          <w:szCs w:val="24"/>
        </w:rPr>
        <w:t>určen</w:t>
      </w:r>
      <w:r w:rsidR="008E7B37" w:rsidRPr="00826D55">
        <w:rPr>
          <w:rFonts w:ascii="Tahoma" w:hAnsi="Tahoma" w:cs="Tahoma"/>
          <w:sz w:val="24"/>
          <w:szCs w:val="24"/>
        </w:rPr>
        <w:t xml:space="preserve"> na úhradu výdajů spojených s reprodukcí majetku nutnou pro zajištění provozu Integrovaného výjezdového centra v Nošovicích.</w:t>
      </w:r>
      <w:r w:rsidR="00E771C4" w:rsidRPr="00826D55">
        <w:rPr>
          <w:rFonts w:ascii="Tahoma" w:hAnsi="Tahoma" w:cs="Tahoma"/>
          <w:sz w:val="24"/>
          <w:szCs w:val="24"/>
        </w:rPr>
        <w:t xml:space="preserve"> </w:t>
      </w:r>
    </w:p>
    <w:p w14:paraId="79E65A33" w14:textId="77777777" w:rsidR="002E3003" w:rsidRPr="00826D55" w:rsidRDefault="002E3003" w:rsidP="008B5A8B">
      <w:pPr>
        <w:pStyle w:val="Zkladntextodsazen"/>
        <w:rPr>
          <w:rFonts w:ascii="Tahoma" w:hAnsi="Tahoma" w:cs="Tahoma"/>
          <w:sz w:val="24"/>
          <w:szCs w:val="24"/>
          <w:u w:val="single"/>
        </w:rPr>
      </w:pPr>
    </w:p>
    <w:p w14:paraId="79E65A34" w14:textId="77777777"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Přijaté dotace</w:t>
      </w:r>
    </w:p>
    <w:p w14:paraId="79E65A35" w14:textId="77777777" w:rsidR="009F7F00" w:rsidRPr="00826D55" w:rsidRDefault="009F7F00" w:rsidP="008B5A8B">
      <w:pPr>
        <w:pStyle w:val="Zkladntextodsazen"/>
        <w:rPr>
          <w:rFonts w:ascii="Tahoma" w:hAnsi="Tahoma" w:cs="Tahoma"/>
          <w:sz w:val="24"/>
          <w:szCs w:val="24"/>
          <w:u w:val="single"/>
        </w:rPr>
      </w:pPr>
    </w:p>
    <w:p w14:paraId="79E65A36" w14:textId="28C8E860" w:rsidR="003D4B74" w:rsidRDefault="002E0495"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014F10" w:rsidRPr="00826D55">
        <w:rPr>
          <w:rFonts w:ascii="Tahoma" w:hAnsi="Tahoma" w:cs="Tahoma"/>
          <w:sz w:val="16"/>
          <w:szCs w:val="16"/>
        </w:rPr>
        <w:t>5</w:t>
      </w:r>
      <w:r w:rsidRPr="00826D55">
        <w:rPr>
          <w:rFonts w:ascii="Tahoma" w:hAnsi="Tahoma" w:cs="Tahoma"/>
          <w:sz w:val="16"/>
          <w:szCs w:val="16"/>
        </w:rPr>
        <w:t xml:space="preserve"> Vývoj přijatých dotací (v </w:t>
      </w:r>
      <w:r w:rsidR="00014F10" w:rsidRPr="00826D55">
        <w:rPr>
          <w:rFonts w:ascii="Tahoma" w:hAnsi="Tahoma" w:cs="Tahoma"/>
          <w:sz w:val="16"/>
          <w:szCs w:val="16"/>
        </w:rPr>
        <w:t>mil. Kč</w:t>
      </w:r>
      <w:r w:rsidRPr="00826D55">
        <w:rPr>
          <w:rFonts w:ascii="Tahoma" w:hAnsi="Tahoma" w:cs="Tahoma"/>
          <w:sz w:val="16"/>
          <w:szCs w:val="16"/>
        </w:rPr>
        <w:t>)</w:t>
      </w:r>
    </w:p>
    <w:p w14:paraId="3E876ED6" w14:textId="19AF01B7" w:rsidR="007406F7" w:rsidRDefault="007406F7"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4997D138" wp14:editId="55FFB3A1">
            <wp:extent cx="3486062" cy="2095500"/>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0685" cy="2104290"/>
                    </a:xfrm>
                    <a:prstGeom prst="rect">
                      <a:avLst/>
                    </a:prstGeom>
                    <a:noFill/>
                  </pic:spPr>
                </pic:pic>
              </a:graphicData>
            </a:graphic>
          </wp:inline>
        </w:drawing>
      </w:r>
    </w:p>
    <w:p w14:paraId="4A6F137C" w14:textId="224B500B" w:rsidR="007406F7" w:rsidRDefault="007406F7" w:rsidP="00A822D7">
      <w:pPr>
        <w:tabs>
          <w:tab w:val="right" w:pos="4962"/>
        </w:tabs>
        <w:rPr>
          <w:rFonts w:ascii="Tahoma" w:hAnsi="Tahoma" w:cs="Tahoma"/>
          <w:sz w:val="16"/>
          <w:szCs w:val="16"/>
        </w:rPr>
      </w:pPr>
    </w:p>
    <w:p w14:paraId="3E4A8139" w14:textId="77777777" w:rsidR="007406F7" w:rsidRDefault="007406F7" w:rsidP="00A822D7">
      <w:pPr>
        <w:tabs>
          <w:tab w:val="right" w:pos="4962"/>
        </w:tabs>
        <w:rPr>
          <w:rFonts w:ascii="Tahoma" w:hAnsi="Tahoma" w:cs="Tahoma"/>
          <w:sz w:val="16"/>
          <w:szCs w:val="16"/>
        </w:rPr>
      </w:pPr>
    </w:p>
    <w:p w14:paraId="79E65A39" w14:textId="6C22223B" w:rsidR="005C1DA6" w:rsidRPr="00826D55" w:rsidRDefault="008E7B37" w:rsidP="00450CAE">
      <w:pPr>
        <w:pStyle w:val="Zpat"/>
        <w:tabs>
          <w:tab w:val="clear" w:pos="4536"/>
          <w:tab w:val="clear" w:pos="9072"/>
        </w:tabs>
        <w:jc w:val="both"/>
        <w:rPr>
          <w:rFonts w:ascii="Tahoma" w:hAnsi="Tahoma" w:cs="Tahoma"/>
        </w:rPr>
      </w:pPr>
      <w:r w:rsidRPr="00826D55">
        <w:rPr>
          <w:rFonts w:ascii="Tahoma" w:hAnsi="Tahoma" w:cs="Tahoma"/>
        </w:rPr>
        <w:t>Do výhledu jsou zařazeny očekávané dotace ze státního rozpočtu</w:t>
      </w:r>
      <w:r w:rsidR="00511656" w:rsidRPr="00826D55">
        <w:rPr>
          <w:rFonts w:ascii="Tahoma" w:hAnsi="Tahoma" w:cs="Tahoma"/>
        </w:rPr>
        <w:t>,</w:t>
      </w:r>
      <w:r w:rsidRPr="00826D55">
        <w:rPr>
          <w:rFonts w:ascii="Tahoma" w:hAnsi="Tahoma" w:cs="Tahoma"/>
        </w:rPr>
        <w:t> dotace na akce realizované z evropských finančních zdrojů</w:t>
      </w:r>
      <w:r w:rsidR="00511656" w:rsidRPr="00826D55">
        <w:rPr>
          <w:rFonts w:ascii="Tahoma" w:hAnsi="Tahoma" w:cs="Tahoma"/>
        </w:rPr>
        <w:t xml:space="preserve"> a</w:t>
      </w:r>
      <w:r w:rsidRPr="00826D55">
        <w:rPr>
          <w:rFonts w:ascii="Tahoma" w:hAnsi="Tahoma" w:cs="Tahoma"/>
        </w:rPr>
        <w:t xml:space="preserve"> </w:t>
      </w:r>
      <w:r w:rsidR="00511656" w:rsidRPr="00826D55">
        <w:rPr>
          <w:rFonts w:ascii="Tahoma" w:hAnsi="Tahoma" w:cs="Tahoma"/>
        </w:rPr>
        <w:t>příspěvky od obcí</w:t>
      </w:r>
      <w:r w:rsidR="00B756A5" w:rsidRPr="00826D55">
        <w:rPr>
          <w:rFonts w:ascii="Tahoma" w:hAnsi="Tahoma" w:cs="Tahoma"/>
        </w:rPr>
        <w:t xml:space="preserve">, </w:t>
      </w:r>
      <w:r w:rsidR="009B3B24" w:rsidRPr="00826D55">
        <w:rPr>
          <w:rFonts w:ascii="Tahoma" w:hAnsi="Tahoma" w:cs="Tahoma"/>
        </w:rPr>
        <w:t>podrobněji uvedeno v</w:t>
      </w:r>
      <w:r w:rsidR="000A5170" w:rsidRPr="00826D55">
        <w:rPr>
          <w:rFonts w:ascii="Tahoma" w:hAnsi="Tahoma" w:cs="Tahoma"/>
        </w:rPr>
        <w:t> </w:t>
      </w:r>
      <w:r w:rsidR="009B3B24" w:rsidRPr="00826D55">
        <w:rPr>
          <w:rFonts w:ascii="Tahoma" w:hAnsi="Tahoma" w:cs="Tahoma"/>
        </w:rPr>
        <w:t>tabulce č. </w:t>
      </w:r>
      <w:r w:rsidR="00B756A5" w:rsidRPr="00826D55">
        <w:rPr>
          <w:rFonts w:ascii="Tahoma" w:hAnsi="Tahoma" w:cs="Tahoma"/>
        </w:rPr>
        <w:t>2 (tabulková část výhledu)</w:t>
      </w:r>
      <w:r w:rsidR="009B3B24" w:rsidRPr="00826D55">
        <w:rPr>
          <w:rFonts w:ascii="Tahoma" w:hAnsi="Tahoma" w:cs="Tahoma"/>
        </w:rPr>
        <w:t>.</w:t>
      </w:r>
      <w:r w:rsidR="00511656" w:rsidRPr="00826D55">
        <w:rPr>
          <w:rFonts w:ascii="Tahoma" w:hAnsi="Tahoma" w:cs="Tahoma"/>
        </w:rPr>
        <w:t xml:space="preserve"> </w:t>
      </w:r>
      <w:r w:rsidRPr="00826D55">
        <w:rPr>
          <w:rFonts w:ascii="Tahoma" w:hAnsi="Tahoma" w:cs="Tahoma"/>
        </w:rPr>
        <w:t xml:space="preserve">V následujících letech by měl kraj nadále dostávat </w:t>
      </w:r>
      <w:r w:rsidR="004A2F3D" w:rsidRPr="00826D55">
        <w:rPr>
          <w:rFonts w:ascii="Tahoma" w:hAnsi="Tahoma" w:cs="Tahoma"/>
        </w:rPr>
        <w:t xml:space="preserve">dotace </w:t>
      </w:r>
      <w:r w:rsidRPr="00826D55">
        <w:rPr>
          <w:rFonts w:ascii="Tahoma" w:hAnsi="Tahoma" w:cs="Tahoma"/>
        </w:rPr>
        <w:t>ze státního rozpočtu</w:t>
      </w:r>
      <w:r w:rsidR="00900847" w:rsidRPr="00826D55">
        <w:rPr>
          <w:rFonts w:ascii="Tahoma" w:hAnsi="Tahoma" w:cs="Tahoma"/>
        </w:rPr>
        <w:t xml:space="preserve"> </w:t>
      </w:r>
      <w:r w:rsidR="00511656" w:rsidRPr="00826D55">
        <w:rPr>
          <w:rFonts w:ascii="Tahoma" w:hAnsi="Tahoma" w:cs="Tahoma"/>
        </w:rPr>
        <w:t xml:space="preserve">ve </w:t>
      </w:r>
      <w:r w:rsidR="00511656" w:rsidRPr="00952AD2">
        <w:rPr>
          <w:rFonts w:ascii="Tahoma" w:hAnsi="Tahoma" w:cs="Tahoma"/>
        </w:rPr>
        <w:t xml:space="preserve">výši </w:t>
      </w:r>
      <w:r w:rsidR="00952AD2" w:rsidRPr="00952AD2">
        <w:rPr>
          <w:rFonts w:ascii="Tahoma" w:hAnsi="Tahoma" w:cs="Tahoma"/>
        </w:rPr>
        <w:t xml:space="preserve">až </w:t>
      </w:r>
      <w:r w:rsidR="00EC5DD8" w:rsidRPr="00952AD2">
        <w:rPr>
          <w:rFonts w:ascii="Tahoma" w:hAnsi="Tahoma" w:cs="Tahoma"/>
        </w:rPr>
        <w:t>2</w:t>
      </w:r>
      <w:r w:rsidR="000D3EB0" w:rsidRPr="00952AD2">
        <w:rPr>
          <w:rFonts w:ascii="Tahoma" w:hAnsi="Tahoma" w:cs="Tahoma"/>
        </w:rPr>
        <w:t>6</w:t>
      </w:r>
      <w:r w:rsidR="00511656" w:rsidRPr="00952AD2">
        <w:rPr>
          <w:rFonts w:ascii="Tahoma" w:hAnsi="Tahoma" w:cs="Tahoma"/>
        </w:rPr>
        <w:t xml:space="preserve"> mld. Kč</w:t>
      </w:r>
      <w:r w:rsidR="007406F7">
        <w:rPr>
          <w:rFonts w:ascii="Tahoma" w:hAnsi="Tahoma" w:cs="Tahoma"/>
        </w:rPr>
        <w:t xml:space="preserve"> ročně</w:t>
      </w:r>
      <w:r w:rsidR="009B3B24" w:rsidRPr="00952AD2">
        <w:rPr>
          <w:rFonts w:ascii="Tahoma" w:hAnsi="Tahoma" w:cs="Tahoma"/>
        </w:rPr>
        <w:t>.</w:t>
      </w:r>
      <w:r w:rsidR="00511656" w:rsidRPr="00826D55">
        <w:rPr>
          <w:rFonts w:ascii="Tahoma" w:hAnsi="Tahoma" w:cs="Tahoma"/>
        </w:rPr>
        <w:t xml:space="preserve"> </w:t>
      </w:r>
      <w:r w:rsidR="00900847" w:rsidRPr="00826D55">
        <w:rPr>
          <w:rFonts w:ascii="Tahoma" w:hAnsi="Tahoma" w:cs="Tahoma"/>
        </w:rPr>
        <w:t>Jedná se např.</w:t>
      </w:r>
      <w:r w:rsidR="004A2F3D" w:rsidRPr="00826D55">
        <w:rPr>
          <w:rFonts w:ascii="Tahoma" w:hAnsi="Tahoma" w:cs="Tahoma"/>
        </w:rPr>
        <w:t xml:space="preserve"> </w:t>
      </w:r>
      <w:r w:rsidR="00900847" w:rsidRPr="00826D55">
        <w:rPr>
          <w:rFonts w:ascii="Tahoma" w:hAnsi="Tahoma" w:cs="Tahoma"/>
        </w:rPr>
        <w:t>o</w:t>
      </w:r>
      <w:r w:rsidR="005C1DA6" w:rsidRPr="00826D55">
        <w:rPr>
          <w:rFonts w:ascii="Tahoma" w:hAnsi="Tahoma" w:cs="Tahoma"/>
        </w:rPr>
        <w:t>:</w:t>
      </w:r>
      <w:r w:rsidRPr="00826D55">
        <w:rPr>
          <w:rFonts w:ascii="Tahoma" w:hAnsi="Tahoma" w:cs="Tahoma"/>
        </w:rPr>
        <w:t xml:space="preserve"> </w:t>
      </w:r>
    </w:p>
    <w:p w14:paraId="79E65A3A" w14:textId="77777777" w:rsidR="005C1DA6" w:rsidRPr="00826D55" w:rsidRDefault="008E7B37"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 xml:space="preserve">prostředky určené na přímé náklady na vzdělávání ve školách a školských zařízeních zřizovaných krajem a obcemi, </w:t>
      </w:r>
    </w:p>
    <w:p w14:paraId="79E65A3B" w14:textId="25C2E489" w:rsidR="00791B45" w:rsidRPr="00826D55" w:rsidRDefault="001A7D40" w:rsidP="00791B45">
      <w:pPr>
        <w:pStyle w:val="Zpat"/>
        <w:numPr>
          <w:ilvl w:val="0"/>
          <w:numId w:val="33"/>
        </w:numPr>
        <w:tabs>
          <w:tab w:val="clear" w:pos="4536"/>
          <w:tab w:val="clear" w:pos="9072"/>
        </w:tabs>
        <w:jc w:val="both"/>
        <w:rPr>
          <w:rFonts w:ascii="Tahoma" w:hAnsi="Tahoma" w:cs="Tahoma"/>
        </w:rPr>
      </w:pPr>
      <w:r w:rsidRPr="00826D55">
        <w:rPr>
          <w:rFonts w:ascii="Tahoma" w:hAnsi="Tahoma" w:cs="Tahoma"/>
        </w:rPr>
        <w:t xml:space="preserve">dotace na dofinancování dopravní obslužnosti veřejnou železniční dopravou </w:t>
      </w:r>
      <w:r w:rsidR="00791B45" w:rsidRPr="00826D55">
        <w:rPr>
          <w:rFonts w:ascii="Tahoma" w:hAnsi="Tahoma" w:cs="Tahoma"/>
        </w:rPr>
        <w:t>na</w:t>
      </w:r>
      <w:r w:rsidR="007406F7">
        <w:rPr>
          <w:rFonts w:ascii="Tahoma" w:hAnsi="Tahoma" w:cs="Tahoma"/>
        </w:rPr>
        <w:t> </w:t>
      </w:r>
      <w:r w:rsidR="00791B45" w:rsidRPr="00826D55">
        <w:rPr>
          <w:rFonts w:ascii="Tahoma" w:hAnsi="Tahoma" w:cs="Tahoma"/>
        </w:rPr>
        <w:t>základě uzavřené Smlouvy o zajištění stabilního financování regionální železniční osobní dopravy</w:t>
      </w:r>
      <w:r w:rsidR="00143241" w:rsidRPr="00826D55">
        <w:rPr>
          <w:rFonts w:ascii="Tahoma" w:hAnsi="Tahoma" w:cs="Tahoma"/>
        </w:rPr>
        <w:t xml:space="preserve"> uzavřenou kraji a Českou republikou zastoupenou ministrem dopravy s účinností do roku 2034</w:t>
      </w:r>
      <w:r w:rsidR="00791B45" w:rsidRPr="00826D55">
        <w:rPr>
          <w:rFonts w:ascii="Tahoma" w:hAnsi="Tahoma" w:cs="Tahoma"/>
        </w:rPr>
        <w:t>,</w:t>
      </w:r>
      <w:r w:rsidR="00CF482E" w:rsidRPr="00826D55">
        <w:rPr>
          <w:rFonts w:ascii="Tahoma" w:hAnsi="Tahoma" w:cs="Tahoma"/>
        </w:rPr>
        <w:t xml:space="preserve"> </w:t>
      </w:r>
    </w:p>
    <w:p w14:paraId="79E65A3C" w14:textId="77777777" w:rsidR="005C1DA6" w:rsidRPr="003B4B8A" w:rsidRDefault="008246D0"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 Ministerstva práce a sociálních věcí účelově určen</w:t>
      </w:r>
      <w:r w:rsidR="004A2F3D" w:rsidRPr="00826D55">
        <w:rPr>
          <w:rFonts w:ascii="Tahoma" w:hAnsi="Tahoma" w:cs="Tahoma"/>
        </w:rPr>
        <w:t>é</w:t>
      </w:r>
      <w:r w:rsidRPr="00826D55">
        <w:rPr>
          <w:rFonts w:ascii="Tahoma" w:hAnsi="Tahoma" w:cs="Tahoma"/>
        </w:rPr>
        <w:t xml:space="preserve"> na financování </w:t>
      </w:r>
      <w:r w:rsidRPr="003B4B8A">
        <w:rPr>
          <w:rFonts w:ascii="Tahoma" w:hAnsi="Tahoma" w:cs="Tahoma"/>
        </w:rPr>
        <w:t>běžných výdajů souvisejících s poskytováním sociálních služeb</w:t>
      </w:r>
      <w:r w:rsidR="004227D6" w:rsidRPr="003B4B8A">
        <w:rPr>
          <w:rFonts w:ascii="Tahoma" w:hAnsi="Tahoma" w:cs="Tahoma"/>
        </w:rPr>
        <w:t>,</w:t>
      </w:r>
      <w:r w:rsidR="00791B45" w:rsidRPr="003B4B8A">
        <w:rPr>
          <w:rFonts w:ascii="Tahoma" w:hAnsi="Tahoma" w:cs="Tahoma"/>
        </w:rPr>
        <w:t xml:space="preserve"> </w:t>
      </w:r>
    </w:p>
    <w:p w14:paraId="79E65A3F" w14:textId="77777777" w:rsidR="00791B45" w:rsidRPr="003B4B8A" w:rsidRDefault="008E7B37" w:rsidP="00C07974">
      <w:pPr>
        <w:pStyle w:val="Zpat"/>
        <w:numPr>
          <w:ilvl w:val="0"/>
          <w:numId w:val="33"/>
        </w:numPr>
        <w:tabs>
          <w:tab w:val="clear" w:pos="4536"/>
          <w:tab w:val="clear" w:pos="9072"/>
        </w:tabs>
        <w:jc w:val="both"/>
        <w:rPr>
          <w:rFonts w:ascii="Tahoma" w:hAnsi="Tahoma" w:cs="Tahoma"/>
        </w:rPr>
      </w:pPr>
      <w:r w:rsidRPr="003B4B8A">
        <w:rPr>
          <w:rFonts w:ascii="Tahoma" w:hAnsi="Tahoma" w:cs="Tahoma"/>
        </w:rPr>
        <w:t>prostředky určené pro kraj na výkon přenesené působnosti</w:t>
      </w:r>
      <w:r w:rsidR="003B35B2" w:rsidRPr="003B4B8A">
        <w:rPr>
          <w:rFonts w:ascii="Tahoma" w:hAnsi="Tahoma" w:cs="Tahoma"/>
        </w:rPr>
        <w:t>,</w:t>
      </w:r>
    </w:p>
    <w:p w14:paraId="79E65A40" w14:textId="77777777" w:rsidR="00791B45" w:rsidRPr="003B4B8A" w:rsidRDefault="00791B45" w:rsidP="00791B45">
      <w:pPr>
        <w:pStyle w:val="Zpat"/>
        <w:numPr>
          <w:ilvl w:val="0"/>
          <w:numId w:val="33"/>
        </w:numPr>
        <w:tabs>
          <w:tab w:val="clear" w:pos="4536"/>
          <w:tab w:val="clear" w:pos="9072"/>
        </w:tabs>
        <w:jc w:val="both"/>
        <w:rPr>
          <w:rFonts w:ascii="Tahoma" w:hAnsi="Tahoma" w:cs="Tahoma"/>
        </w:rPr>
      </w:pPr>
      <w:r w:rsidRPr="003B4B8A">
        <w:rPr>
          <w:rFonts w:ascii="Tahoma" w:hAnsi="Tahoma" w:cs="Tahoma"/>
        </w:rPr>
        <w:t>další dotační tituly ze státního rozpočtu, jejichž výše jsou odvozeny z</w:t>
      </w:r>
      <w:r w:rsidR="003D4B74" w:rsidRPr="003B4B8A">
        <w:rPr>
          <w:rFonts w:ascii="Tahoma" w:hAnsi="Tahoma" w:cs="Tahoma"/>
        </w:rPr>
        <w:t> rozsahu prostředků</w:t>
      </w:r>
      <w:r w:rsidRPr="003B4B8A">
        <w:rPr>
          <w:rFonts w:ascii="Tahoma" w:hAnsi="Tahoma" w:cs="Tahoma"/>
        </w:rPr>
        <w:t>, které kraj obdržel v předchozích letech.</w:t>
      </w:r>
    </w:p>
    <w:p w14:paraId="79E65A41" w14:textId="77777777" w:rsidR="00791B45" w:rsidRPr="003B4B8A" w:rsidRDefault="00791B45" w:rsidP="00791B45">
      <w:pPr>
        <w:pStyle w:val="Zpat"/>
        <w:tabs>
          <w:tab w:val="clear" w:pos="4536"/>
          <w:tab w:val="clear" w:pos="9072"/>
        </w:tabs>
        <w:ind w:left="720"/>
        <w:jc w:val="both"/>
        <w:rPr>
          <w:rFonts w:ascii="Tahoma" w:hAnsi="Tahoma" w:cs="Tahoma"/>
        </w:rPr>
      </w:pPr>
    </w:p>
    <w:p w14:paraId="79E65A42" w14:textId="4AC5DC23" w:rsidR="00927708" w:rsidRPr="00826D55" w:rsidRDefault="009B3B24" w:rsidP="009B3B24">
      <w:pPr>
        <w:pStyle w:val="Zpat"/>
        <w:tabs>
          <w:tab w:val="clear" w:pos="4536"/>
          <w:tab w:val="clear" w:pos="9072"/>
        </w:tabs>
        <w:ind w:left="284"/>
        <w:jc w:val="both"/>
        <w:rPr>
          <w:rFonts w:ascii="Tahoma" w:hAnsi="Tahoma" w:cs="Tahoma"/>
        </w:rPr>
      </w:pPr>
      <w:r w:rsidRPr="003B4B8A">
        <w:rPr>
          <w:rFonts w:ascii="Tahoma" w:hAnsi="Tahoma" w:cs="Tahoma"/>
        </w:rPr>
        <w:t>Ve sledovaném období je očekáván</w:t>
      </w:r>
      <w:r w:rsidR="00014F10" w:rsidRPr="003B4B8A">
        <w:rPr>
          <w:rFonts w:ascii="Tahoma" w:hAnsi="Tahoma" w:cs="Tahoma"/>
        </w:rPr>
        <w:t xml:space="preserve"> od obcí </w:t>
      </w:r>
      <w:r w:rsidRPr="003B4B8A">
        <w:rPr>
          <w:rFonts w:ascii="Tahoma" w:hAnsi="Tahoma" w:cs="Tahoma"/>
        </w:rPr>
        <w:t>p</w:t>
      </w:r>
      <w:r w:rsidR="00791B45" w:rsidRPr="003B4B8A">
        <w:rPr>
          <w:rFonts w:ascii="Tahoma" w:hAnsi="Tahoma" w:cs="Tahoma"/>
        </w:rPr>
        <w:t>říspěvek</w:t>
      </w:r>
      <w:r w:rsidRPr="003B4B8A">
        <w:rPr>
          <w:rFonts w:ascii="Tahoma" w:hAnsi="Tahoma" w:cs="Tahoma"/>
        </w:rPr>
        <w:t xml:space="preserve"> do Fondu sociálních služeb</w:t>
      </w:r>
      <w:r w:rsidR="00CF482E" w:rsidRPr="003B4B8A">
        <w:rPr>
          <w:rFonts w:ascii="Tahoma" w:hAnsi="Tahoma" w:cs="Tahoma"/>
        </w:rPr>
        <w:t xml:space="preserve"> </w:t>
      </w:r>
      <w:r w:rsidRPr="003B4B8A">
        <w:rPr>
          <w:rFonts w:ascii="Tahoma" w:hAnsi="Tahoma" w:cs="Tahoma"/>
        </w:rPr>
        <w:t>a</w:t>
      </w:r>
      <w:r w:rsidR="000A5170" w:rsidRPr="003B4B8A">
        <w:rPr>
          <w:rFonts w:ascii="Tahoma" w:hAnsi="Tahoma" w:cs="Tahoma"/>
        </w:rPr>
        <w:t> </w:t>
      </w:r>
      <w:r w:rsidRPr="003B4B8A">
        <w:rPr>
          <w:rFonts w:ascii="Tahoma" w:hAnsi="Tahoma" w:cs="Tahoma"/>
        </w:rPr>
        <w:t xml:space="preserve">dále </w:t>
      </w:r>
      <w:r w:rsidR="00014F10" w:rsidRPr="003B4B8A">
        <w:rPr>
          <w:rFonts w:ascii="Tahoma" w:hAnsi="Tahoma" w:cs="Tahoma"/>
        </w:rPr>
        <w:t xml:space="preserve">příspěvek </w:t>
      </w:r>
      <w:r w:rsidRPr="003B4B8A">
        <w:rPr>
          <w:rFonts w:ascii="Tahoma" w:hAnsi="Tahoma" w:cs="Tahoma"/>
        </w:rPr>
        <w:t xml:space="preserve">v souvislosti se </w:t>
      </w:r>
      <w:r w:rsidR="00791B45" w:rsidRPr="003B4B8A">
        <w:rPr>
          <w:rFonts w:ascii="Tahoma" w:hAnsi="Tahoma" w:cs="Tahoma"/>
        </w:rPr>
        <w:t>zajištění</w:t>
      </w:r>
      <w:r w:rsidRPr="003B4B8A">
        <w:rPr>
          <w:rFonts w:ascii="Tahoma" w:hAnsi="Tahoma" w:cs="Tahoma"/>
        </w:rPr>
        <w:t>m</w:t>
      </w:r>
      <w:r w:rsidR="00791B45" w:rsidRPr="003B4B8A">
        <w:rPr>
          <w:rFonts w:ascii="Tahoma" w:hAnsi="Tahoma" w:cs="Tahoma"/>
        </w:rPr>
        <w:t xml:space="preserve"> dopravní obslužnosti linkovou dopravou v jednotlivých o</w:t>
      </w:r>
      <w:r w:rsidRPr="003B4B8A">
        <w:rPr>
          <w:rFonts w:ascii="Tahoma" w:hAnsi="Tahoma" w:cs="Tahoma"/>
        </w:rPr>
        <w:t>blastech Moravskoslezského kraje.</w:t>
      </w:r>
      <w:r w:rsidR="00927708" w:rsidRPr="003B4B8A">
        <w:rPr>
          <w:rFonts w:ascii="Tahoma" w:hAnsi="Tahoma" w:cs="Tahoma"/>
        </w:rPr>
        <w:t xml:space="preserve"> </w:t>
      </w:r>
      <w:r w:rsidRPr="003B4B8A">
        <w:rPr>
          <w:rFonts w:ascii="Tahoma" w:hAnsi="Tahoma" w:cs="Tahoma"/>
        </w:rPr>
        <w:t>Z</w:t>
      </w:r>
      <w:r w:rsidR="00791B45" w:rsidRPr="003B4B8A">
        <w:rPr>
          <w:rFonts w:ascii="Tahoma" w:hAnsi="Tahoma" w:cs="Tahoma"/>
        </w:rPr>
        <w:t xml:space="preserve">e strany Olomouckého </w:t>
      </w:r>
      <w:r w:rsidRPr="003B4B8A">
        <w:rPr>
          <w:rFonts w:ascii="Tahoma" w:hAnsi="Tahoma" w:cs="Tahoma"/>
        </w:rPr>
        <w:t>a</w:t>
      </w:r>
      <w:r w:rsidR="000A5170" w:rsidRPr="003B4B8A">
        <w:rPr>
          <w:rFonts w:ascii="Tahoma" w:hAnsi="Tahoma" w:cs="Tahoma"/>
        </w:rPr>
        <w:t> </w:t>
      </w:r>
      <w:r w:rsidR="00791B45" w:rsidRPr="003B4B8A">
        <w:rPr>
          <w:rFonts w:ascii="Tahoma" w:hAnsi="Tahoma" w:cs="Tahoma"/>
        </w:rPr>
        <w:t xml:space="preserve">Zlínského kraje </w:t>
      </w:r>
      <w:r w:rsidRPr="003B4B8A">
        <w:rPr>
          <w:rFonts w:ascii="Tahoma" w:hAnsi="Tahoma" w:cs="Tahoma"/>
        </w:rPr>
        <w:t>bude hrazena kompenzace za</w:t>
      </w:r>
      <w:r w:rsidR="00791B45" w:rsidRPr="003B4B8A">
        <w:rPr>
          <w:rFonts w:ascii="Tahoma" w:hAnsi="Tahoma" w:cs="Tahoma"/>
        </w:rPr>
        <w:t xml:space="preserve"> zajištění </w:t>
      </w:r>
      <w:r w:rsidR="00791B45" w:rsidRPr="00826D55">
        <w:rPr>
          <w:rFonts w:ascii="Tahoma" w:hAnsi="Tahoma" w:cs="Tahoma"/>
        </w:rPr>
        <w:t xml:space="preserve">dopravní obslužnosti území </w:t>
      </w:r>
      <w:proofErr w:type="gramStart"/>
      <w:r w:rsidR="00791B45" w:rsidRPr="00826D55">
        <w:rPr>
          <w:rFonts w:ascii="Tahoma" w:hAnsi="Tahoma" w:cs="Tahoma"/>
        </w:rPr>
        <w:t>Olomouckého</w:t>
      </w:r>
      <w:proofErr w:type="gramEnd"/>
      <w:r w:rsidR="00791B45" w:rsidRPr="00826D55">
        <w:rPr>
          <w:rFonts w:ascii="Tahoma" w:hAnsi="Tahoma" w:cs="Tahoma"/>
        </w:rPr>
        <w:t xml:space="preserve"> </w:t>
      </w:r>
      <w:r w:rsidRPr="00826D55">
        <w:rPr>
          <w:rFonts w:ascii="Tahoma" w:hAnsi="Tahoma" w:cs="Tahoma"/>
        </w:rPr>
        <w:t xml:space="preserve">resp. </w:t>
      </w:r>
      <w:r w:rsidR="00791B45" w:rsidRPr="00826D55">
        <w:rPr>
          <w:rFonts w:ascii="Tahoma" w:hAnsi="Tahoma" w:cs="Tahoma"/>
        </w:rPr>
        <w:t>Zlínského kraje</w:t>
      </w:r>
      <w:r w:rsidRPr="00826D55">
        <w:rPr>
          <w:rFonts w:ascii="Tahoma" w:hAnsi="Tahoma" w:cs="Tahoma"/>
        </w:rPr>
        <w:t>, které</w:t>
      </w:r>
      <w:r w:rsidR="00791B45" w:rsidRPr="00826D55">
        <w:rPr>
          <w:rFonts w:ascii="Tahoma" w:hAnsi="Tahoma" w:cs="Tahoma"/>
        </w:rPr>
        <w:t xml:space="preserve"> přiléh</w:t>
      </w:r>
      <w:r w:rsidRPr="00826D55">
        <w:rPr>
          <w:rFonts w:ascii="Tahoma" w:hAnsi="Tahoma" w:cs="Tahoma"/>
        </w:rPr>
        <w:t xml:space="preserve">á </w:t>
      </w:r>
      <w:r w:rsidR="00791B45" w:rsidRPr="00826D55">
        <w:rPr>
          <w:rFonts w:ascii="Tahoma" w:hAnsi="Tahoma" w:cs="Tahoma"/>
        </w:rPr>
        <w:t>k území Moravskoslezského kraje vybranými přeshraničními linkami</w:t>
      </w:r>
      <w:r w:rsidRPr="00826D55">
        <w:rPr>
          <w:rFonts w:ascii="Tahoma" w:hAnsi="Tahoma" w:cs="Tahoma"/>
        </w:rPr>
        <w:t xml:space="preserve">. </w:t>
      </w:r>
      <w:r w:rsidR="00883081">
        <w:rPr>
          <w:rFonts w:ascii="Tahoma" w:hAnsi="Tahoma" w:cs="Tahoma"/>
        </w:rPr>
        <w:t xml:space="preserve">Od města Ostravy je počítáno </w:t>
      </w:r>
      <w:r w:rsidR="00250ED8" w:rsidRPr="003B4B8A">
        <w:rPr>
          <w:rFonts w:ascii="Tahoma" w:hAnsi="Tahoma" w:cs="Tahoma"/>
        </w:rPr>
        <w:t>na základě uzavřený</w:t>
      </w:r>
      <w:r w:rsidR="00250ED8">
        <w:rPr>
          <w:rFonts w:ascii="Tahoma" w:hAnsi="Tahoma" w:cs="Tahoma"/>
        </w:rPr>
        <w:t>c</w:t>
      </w:r>
      <w:r w:rsidR="00250ED8" w:rsidRPr="003B4B8A">
        <w:rPr>
          <w:rFonts w:ascii="Tahoma" w:hAnsi="Tahoma" w:cs="Tahoma"/>
        </w:rPr>
        <w:t xml:space="preserve">h memorand na spolufinancování Novostavby Moravskoslezské vědecké knihovny a Přístavby Domu </w:t>
      </w:r>
      <w:proofErr w:type="gramStart"/>
      <w:r w:rsidR="00250ED8" w:rsidRPr="003B4B8A">
        <w:rPr>
          <w:rFonts w:ascii="Tahoma" w:hAnsi="Tahoma" w:cs="Tahoma"/>
        </w:rPr>
        <w:t>umění - Galerie</w:t>
      </w:r>
      <w:proofErr w:type="gramEnd"/>
      <w:r w:rsidR="00250ED8" w:rsidRPr="003B4B8A">
        <w:rPr>
          <w:rFonts w:ascii="Tahoma" w:hAnsi="Tahoma" w:cs="Tahoma"/>
        </w:rPr>
        <w:t xml:space="preserve"> 21. století</w:t>
      </w:r>
      <w:r w:rsidR="00883081">
        <w:rPr>
          <w:rFonts w:ascii="Tahoma" w:hAnsi="Tahoma" w:cs="Tahoma"/>
        </w:rPr>
        <w:t xml:space="preserve"> s dotací ve výši 300 mil. Kč</w:t>
      </w:r>
      <w:r w:rsidR="00250ED8">
        <w:rPr>
          <w:rFonts w:ascii="Tahoma" w:hAnsi="Tahoma" w:cs="Tahoma"/>
        </w:rPr>
        <w:t>.</w:t>
      </w:r>
    </w:p>
    <w:p w14:paraId="79E65A43" w14:textId="77777777" w:rsidR="008769BE" w:rsidRDefault="008769BE" w:rsidP="00082F8F">
      <w:pPr>
        <w:pStyle w:val="Zpat"/>
        <w:tabs>
          <w:tab w:val="clear" w:pos="4536"/>
          <w:tab w:val="clear" w:pos="9072"/>
        </w:tabs>
        <w:ind w:left="284"/>
        <w:jc w:val="both"/>
        <w:rPr>
          <w:rFonts w:ascii="Tahoma" w:hAnsi="Tahoma" w:cs="Tahoma"/>
        </w:rPr>
      </w:pPr>
    </w:p>
    <w:p w14:paraId="7EE4252D" w14:textId="77777777" w:rsidR="000C7E6A" w:rsidRDefault="000C7E6A" w:rsidP="000C7E6A">
      <w:pPr>
        <w:pStyle w:val="Zpat"/>
        <w:tabs>
          <w:tab w:val="clear" w:pos="4536"/>
          <w:tab w:val="clear" w:pos="9072"/>
        </w:tabs>
        <w:ind w:left="284"/>
        <w:jc w:val="both"/>
        <w:rPr>
          <w:rFonts w:ascii="Tahoma" w:hAnsi="Tahoma" w:cs="Tahoma"/>
        </w:rPr>
      </w:pPr>
      <w:r w:rsidRPr="00826D55">
        <w:rPr>
          <w:rFonts w:ascii="Tahoma" w:hAnsi="Tahoma" w:cs="Tahoma"/>
        </w:rPr>
        <w:t>Předpokládáme, že i v letech 202</w:t>
      </w:r>
      <w:r>
        <w:rPr>
          <w:rFonts w:ascii="Tahoma" w:hAnsi="Tahoma" w:cs="Tahoma"/>
        </w:rPr>
        <w:t>2</w:t>
      </w:r>
      <w:r w:rsidRPr="00826D55">
        <w:rPr>
          <w:rFonts w:ascii="Tahoma" w:hAnsi="Tahoma" w:cs="Tahoma"/>
        </w:rPr>
        <w:t> </w:t>
      </w:r>
      <w:r w:rsidRPr="00826D55">
        <w:rPr>
          <w:rFonts w:ascii="Tahoma" w:hAnsi="Tahoma" w:cs="Tahoma"/>
        </w:rPr>
        <w:noBreakHyphen/>
        <w:t> 202</w:t>
      </w:r>
      <w:r>
        <w:rPr>
          <w:rFonts w:ascii="Tahoma" w:hAnsi="Tahoma" w:cs="Tahoma"/>
        </w:rPr>
        <w:t>5</w:t>
      </w:r>
      <w:r w:rsidRPr="00826D55">
        <w:rPr>
          <w:rFonts w:ascii="Tahoma" w:hAnsi="Tahoma" w:cs="Tahoma"/>
        </w:rPr>
        <w:t xml:space="preserve"> bude kraj inkasovat významný objem dotací souvisejících s akcemi realizovanými z </w:t>
      </w:r>
      <w:r w:rsidRPr="00851B2D">
        <w:rPr>
          <w:rFonts w:ascii="Tahoma" w:hAnsi="Tahoma" w:cs="Tahoma"/>
        </w:rPr>
        <w:t>evropských finančních zdrojů</w:t>
      </w:r>
      <w:r>
        <w:rPr>
          <w:rFonts w:ascii="Tahoma" w:hAnsi="Tahoma" w:cs="Tahoma"/>
        </w:rPr>
        <w:t>. Objem těchto příjmů v </w:t>
      </w:r>
      <w:r w:rsidRPr="000C7E6A">
        <w:rPr>
          <w:rFonts w:ascii="Tahoma" w:hAnsi="Tahoma" w:cs="Tahoma"/>
        </w:rPr>
        <w:t xml:space="preserve">jednotlivých letech bude ovlivněn koncem programového období </w:t>
      </w:r>
      <w:proofErr w:type="gramStart"/>
      <w:r w:rsidRPr="000C7E6A">
        <w:rPr>
          <w:rFonts w:ascii="Tahoma" w:hAnsi="Tahoma" w:cs="Tahoma"/>
        </w:rPr>
        <w:t>2014 - 2020</w:t>
      </w:r>
      <w:proofErr w:type="gramEnd"/>
      <w:r w:rsidRPr="000C7E6A">
        <w:rPr>
          <w:rFonts w:ascii="Tahoma" w:hAnsi="Tahoma" w:cs="Tahoma"/>
        </w:rPr>
        <w:t xml:space="preserve"> a pozvolnějším nástupem nového programového období 2021 - 2027. Proplácení plateb dotací ze strany řídících orgánů je předpokládáno až po úhradě výdajů krajem (platby ex-post). Vyjma neinvestičních projektů zejména v oblasti sociálních věcí, školství a dotací na kotlíky, kde budou přijímány zálohy dotací (platby ex-ante). </w:t>
      </w:r>
      <w:r>
        <w:rPr>
          <w:rFonts w:ascii="Tahoma" w:hAnsi="Tahoma" w:cs="Tahoma"/>
        </w:rPr>
        <w:t xml:space="preserve">  </w:t>
      </w:r>
    </w:p>
    <w:p w14:paraId="4FC311AA" w14:textId="77777777" w:rsidR="00227EFF" w:rsidRDefault="00227EFF" w:rsidP="00082F8F">
      <w:pPr>
        <w:pStyle w:val="Zpat"/>
        <w:tabs>
          <w:tab w:val="clear" w:pos="4536"/>
          <w:tab w:val="clear" w:pos="9072"/>
        </w:tabs>
        <w:ind w:left="284"/>
        <w:jc w:val="both"/>
        <w:rPr>
          <w:rFonts w:ascii="Tahoma" w:hAnsi="Tahoma" w:cs="Tahoma"/>
        </w:rPr>
      </w:pPr>
    </w:p>
    <w:p w14:paraId="79E65A45" w14:textId="0E9D2C20" w:rsidR="008E7B37" w:rsidRPr="00826D55" w:rsidRDefault="008E7B37" w:rsidP="00757748">
      <w:pPr>
        <w:pStyle w:val="Nadpis3"/>
        <w:spacing w:before="360" w:after="180"/>
        <w:rPr>
          <w:rFonts w:ascii="Tahoma" w:hAnsi="Tahoma" w:cs="Tahoma"/>
          <w:b/>
          <w:bCs/>
          <w:sz w:val="24"/>
          <w:szCs w:val="24"/>
        </w:rPr>
      </w:pPr>
      <w:bookmarkStart w:id="2" w:name="_Toc72408815"/>
      <w:r w:rsidRPr="00826D55">
        <w:rPr>
          <w:rFonts w:ascii="Tahoma" w:hAnsi="Tahoma" w:cs="Tahoma"/>
          <w:b/>
          <w:bCs/>
          <w:sz w:val="24"/>
          <w:szCs w:val="24"/>
        </w:rPr>
        <w:t xml:space="preserve">PLÁNOVANÉ VÝDAJE kraje v období let </w:t>
      </w:r>
      <w:proofErr w:type="gramStart"/>
      <w:r w:rsidR="00DA0360" w:rsidRPr="00826D55">
        <w:rPr>
          <w:rFonts w:ascii="Tahoma" w:hAnsi="Tahoma" w:cs="Tahoma"/>
          <w:b/>
          <w:bCs/>
          <w:sz w:val="24"/>
          <w:szCs w:val="24"/>
        </w:rPr>
        <w:t>202</w:t>
      </w:r>
      <w:r w:rsidR="00DA0360">
        <w:rPr>
          <w:rFonts w:ascii="Tahoma" w:hAnsi="Tahoma" w:cs="Tahoma"/>
          <w:b/>
          <w:bCs/>
          <w:sz w:val="24"/>
          <w:szCs w:val="24"/>
        </w:rPr>
        <w:t>2</w:t>
      </w:r>
      <w:r w:rsidR="00DA0360" w:rsidRPr="00826D55">
        <w:rPr>
          <w:rFonts w:ascii="Tahoma" w:hAnsi="Tahoma" w:cs="Tahoma"/>
          <w:b/>
          <w:bCs/>
          <w:sz w:val="24"/>
          <w:szCs w:val="24"/>
        </w:rPr>
        <w:t xml:space="preserve"> – 202</w:t>
      </w:r>
      <w:r w:rsidR="00DA0360">
        <w:rPr>
          <w:rFonts w:ascii="Tahoma" w:hAnsi="Tahoma" w:cs="Tahoma"/>
          <w:b/>
          <w:bCs/>
          <w:sz w:val="24"/>
          <w:szCs w:val="24"/>
        </w:rPr>
        <w:t>5</w:t>
      </w:r>
      <w:bookmarkEnd w:id="2"/>
      <w:proofErr w:type="gramEnd"/>
    </w:p>
    <w:p w14:paraId="79E65A46" w14:textId="77777777" w:rsidR="00D27744" w:rsidRPr="00826D55" w:rsidRDefault="00D27744" w:rsidP="002935C6">
      <w:pPr>
        <w:pStyle w:val="Nadpis4"/>
        <w:rPr>
          <w:rFonts w:ascii="Tahoma" w:hAnsi="Tahoma" w:cs="Tahoma"/>
          <w:sz w:val="24"/>
          <w:szCs w:val="24"/>
        </w:rPr>
      </w:pPr>
      <w:r w:rsidRPr="00826D55">
        <w:rPr>
          <w:rFonts w:ascii="Tahoma" w:hAnsi="Tahoma" w:cs="Tahoma"/>
          <w:sz w:val="24"/>
          <w:szCs w:val="24"/>
        </w:rPr>
        <w:t xml:space="preserve">Běžné výdaje na činnost zastupitelstva kraje a krajského úřadu </w:t>
      </w:r>
    </w:p>
    <w:p w14:paraId="79E65A47" w14:textId="77777777" w:rsidR="00AC58E6" w:rsidRPr="00826D55" w:rsidRDefault="00AC58E6" w:rsidP="00AC58E6">
      <w:pPr>
        <w:rPr>
          <w:rFonts w:ascii="Tahoma" w:hAnsi="Tahoma" w:cs="Tahoma"/>
        </w:rPr>
      </w:pPr>
    </w:p>
    <w:p w14:paraId="5B71D638" w14:textId="40C62593" w:rsidR="00104E38" w:rsidRDefault="00AC58E6" w:rsidP="00A822D7">
      <w:pPr>
        <w:tabs>
          <w:tab w:val="right" w:pos="4962"/>
        </w:tabs>
        <w:rPr>
          <w:rFonts w:ascii="Tahoma" w:hAnsi="Tahoma" w:cs="Tahoma"/>
          <w:sz w:val="16"/>
          <w:szCs w:val="16"/>
        </w:rPr>
      </w:pPr>
      <w:r w:rsidRPr="00826D55">
        <w:rPr>
          <w:rFonts w:ascii="Tahoma" w:hAnsi="Tahoma" w:cs="Tahoma"/>
          <w:sz w:val="16"/>
          <w:szCs w:val="16"/>
        </w:rPr>
        <w:t xml:space="preserve">Graf č. 6 Vývoj běžných výdajů na činnost zastupitelstva kraje a krajského úřadu </w:t>
      </w:r>
      <w:r w:rsidR="00BC5E9E" w:rsidRPr="00826D55">
        <w:rPr>
          <w:rFonts w:ascii="Tahoma" w:hAnsi="Tahoma" w:cs="Tahoma"/>
          <w:sz w:val="16"/>
          <w:szCs w:val="16"/>
        </w:rPr>
        <w:t>(v mil. Kč)</w:t>
      </w:r>
    </w:p>
    <w:p w14:paraId="0C9C4F06" w14:textId="68B73716" w:rsidR="007406F7" w:rsidRDefault="007406F7"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6AC63872" wp14:editId="3F15B130">
            <wp:extent cx="3501908" cy="2105025"/>
            <wp:effectExtent l="0" t="0" r="381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1039" cy="2116525"/>
                    </a:xfrm>
                    <a:prstGeom prst="rect">
                      <a:avLst/>
                    </a:prstGeom>
                    <a:noFill/>
                  </pic:spPr>
                </pic:pic>
              </a:graphicData>
            </a:graphic>
          </wp:inline>
        </w:drawing>
      </w:r>
    </w:p>
    <w:p w14:paraId="31B71C42" w14:textId="77777777" w:rsidR="007406F7" w:rsidRDefault="007406F7" w:rsidP="00A822D7">
      <w:pPr>
        <w:tabs>
          <w:tab w:val="right" w:pos="4962"/>
        </w:tabs>
        <w:rPr>
          <w:rFonts w:ascii="Tahoma" w:hAnsi="Tahoma" w:cs="Tahoma"/>
          <w:sz w:val="16"/>
          <w:szCs w:val="16"/>
        </w:rPr>
      </w:pPr>
    </w:p>
    <w:p w14:paraId="00589D81" w14:textId="3E3B5E32" w:rsidR="00104E38" w:rsidRDefault="00104E38" w:rsidP="00A822D7">
      <w:pPr>
        <w:tabs>
          <w:tab w:val="right" w:pos="4962"/>
        </w:tabs>
        <w:rPr>
          <w:rFonts w:ascii="Tahoma" w:hAnsi="Tahoma" w:cs="Tahoma"/>
          <w:sz w:val="16"/>
          <w:szCs w:val="16"/>
        </w:rPr>
      </w:pPr>
    </w:p>
    <w:p w14:paraId="0DCA6CDD" w14:textId="29BF2464" w:rsidR="00104E38" w:rsidRDefault="00104E38" w:rsidP="00A822D7">
      <w:pPr>
        <w:tabs>
          <w:tab w:val="right" w:pos="4962"/>
        </w:tabs>
        <w:rPr>
          <w:rFonts w:ascii="Tahoma" w:hAnsi="Tahoma" w:cs="Tahoma"/>
          <w:sz w:val="16"/>
          <w:szCs w:val="16"/>
        </w:rPr>
      </w:pPr>
    </w:p>
    <w:p w14:paraId="24E3DC75" w14:textId="77777777" w:rsidR="00104E38" w:rsidRPr="00826D55" w:rsidRDefault="00104E38" w:rsidP="00A822D7">
      <w:pPr>
        <w:tabs>
          <w:tab w:val="right" w:pos="4962"/>
        </w:tabs>
        <w:rPr>
          <w:rFonts w:ascii="Tahoma" w:hAnsi="Tahoma" w:cs="Tahoma"/>
          <w:sz w:val="16"/>
          <w:szCs w:val="16"/>
        </w:rPr>
      </w:pPr>
    </w:p>
    <w:p w14:paraId="195C84A0" w14:textId="122EE0AC" w:rsidR="00894C1F" w:rsidRPr="000362AB" w:rsidRDefault="0052571B" w:rsidP="00894C1F">
      <w:pPr>
        <w:pStyle w:val="Bezmezer"/>
      </w:pPr>
      <w:r w:rsidRPr="00826D55">
        <w:rPr>
          <w:rFonts w:cs="Tahoma"/>
        </w:rPr>
        <w:t xml:space="preserve">V letech </w:t>
      </w:r>
      <w:proofErr w:type="gramStart"/>
      <w:r w:rsidR="00053C77" w:rsidRPr="00826D55">
        <w:rPr>
          <w:rFonts w:cs="Tahoma"/>
          <w:szCs w:val="24"/>
        </w:rPr>
        <w:t>202</w:t>
      </w:r>
      <w:r w:rsidR="00077D2C">
        <w:rPr>
          <w:rFonts w:cs="Tahoma"/>
          <w:szCs w:val="24"/>
        </w:rPr>
        <w:t>2</w:t>
      </w:r>
      <w:r w:rsidR="00053C77" w:rsidRPr="00826D55">
        <w:rPr>
          <w:rFonts w:cs="Tahoma"/>
          <w:szCs w:val="24"/>
        </w:rPr>
        <w:t xml:space="preserve"> </w:t>
      </w:r>
      <w:r w:rsidR="00053C77">
        <w:rPr>
          <w:rFonts w:cs="Tahoma"/>
          <w:szCs w:val="24"/>
        </w:rPr>
        <w:t>–</w:t>
      </w:r>
      <w:r w:rsidR="00053C77" w:rsidRPr="00826D55">
        <w:rPr>
          <w:rFonts w:cs="Tahoma"/>
          <w:szCs w:val="24"/>
        </w:rPr>
        <w:t xml:space="preserve"> 202</w:t>
      </w:r>
      <w:r w:rsidR="00077D2C">
        <w:rPr>
          <w:rFonts w:cs="Tahoma"/>
          <w:szCs w:val="24"/>
        </w:rPr>
        <w:t>5</w:t>
      </w:r>
      <w:proofErr w:type="gramEnd"/>
      <w:r w:rsidR="00053C77">
        <w:rPr>
          <w:rFonts w:cs="Tahoma"/>
          <w:szCs w:val="24"/>
        </w:rPr>
        <w:t xml:space="preserve"> </w:t>
      </w:r>
      <w:r w:rsidRPr="00826D55">
        <w:rPr>
          <w:rFonts w:cs="Tahoma"/>
        </w:rPr>
        <w:t>se u výdajů určených k zabezpečení činnosti orgánů kraje a krajského úřadu</w:t>
      </w:r>
      <w:r w:rsidR="00583B0C" w:rsidRPr="00096511">
        <w:rPr>
          <w:rFonts w:cs="Tahoma"/>
        </w:rPr>
        <w:t xml:space="preserve"> </w:t>
      </w:r>
      <w:r w:rsidRPr="00096511">
        <w:rPr>
          <w:rFonts w:cs="Tahoma"/>
        </w:rPr>
        <w:t xml:space="preserve">předpokládá </w:t>
      </w:r>
      <w:r w:rsidR="004A126A" w:rsidRPr="00096511">
        <w:rPr>
          <w:rFonts w:cs="Tahoma"/>
        </w:rPr>
        <w:t xml:space="preserve">mírné </w:t>
      </w:r>
      <w:r w:rsidRPr="00096511">
        <w:rPr>
          <w:rFonts w:cs="Tahoma"/>
        </w:rPr>
        <w:t>nav</w:t>
      </w:r>
      <w:r w:rsidR="000A4209" w:rsidRPr="00096511">
        <w:rPr>
          <w:rFonts w:cs="Tahoma"/>
        </w:rPr>
        <w:t>ýšení</w:t>
      </w:r>
      <w:r w:rsidR="00583B0C" w:rsidRPr="00096511">
        <w:rPr>
          <w:rFonts w:cs="Tahoma"/>
        </w:rPr>
        <w:t xml:space="preserve"> pouze v roce 2024 s ohledem na to, že</w:t>
      </w:r>
      <w:r w:rsidR="007406F7">
        <w:rPr>
          <w:rFonts w:cs="Tahoma"/>
        </w:rPr>
        <w:t> </w:t>
      </w:r>
      <w:r w:rsidR="00583B0C" w:rsidRPr="00096511">
        <w:rPr>
          <w:rFonts w:cs="Tahoma"/>
        </w:rPr>
        <w:t>se jedná o rok, kdy se budou konat volby do krajských zastupitelstev</w:t>
      </w:r>
      <w:r w:rsidRPr="00096511">
        <w:rPr>
          <w:rFonts w:cs="Tahoma"/>
        </w:rPr>
        <w:t xml:space="preserve">. </w:t>
      </w:r>
      <w:r w:rsidR="008E7B37" w:rsidRPr="00096511">
        <w:rPr>
          <w:rFonts w:cs="Tahoma"/>
        </w:rPr>
        <w:t xml:space="preserve">Významnou výdajovou položkou v této oblasti </w:t>
      </w:r>
      <w:r w:rsidRPr="00096511">
        <w:rPr>
          <w:rFonts w:cs="Tahoma"/>
        </w:rPr>
        <w:t>zůstanou</w:t>
      </w:r>
      <w:r w:rsidR="008E7B37" w:rsidRPr="00096511">
        <w:rPr>
          <w:rFonts w:cs="Tahoma"/>
        </w:rPr>
        <w:t xml:space="preserve"> prostředky určené na </w:t>
      </w:r>
      <w:r w:rsidRPr="00096511">
        <w:rPr>
          <w:rFonts w:cs="Tahoma"/>
        </w:rPr>
        <w:t xml:space="preserve">odměny členů zastupitelstva kraje a platy </w:t>
      </w:r>
      <w:r w:rsidR="008E7B37" w:rsidRPr="00096511">
        <w:rPr>
          <w:rFonts w:cs="Tahoma"/>
        </w:rPr>
        <w:t>zaměstnanců zařazených do krajského úřadu</w:t>
      </w:r>
      <w:r w:rsidRPr="00096511">
        <w:rPr>
          <w:rFonts w:cs="Tahoma"/>
        </w:rPr>
        <w:t xml:space="preserve">. </w:t>
      </w:r>
      <w:r w:rsidR="00C87BDC" w:rsidRPr="00096511">
        <w:t>Součástí těchto výdajů je také realizace opatření či podpora těch stávajících</w:t>
      </w:r>
      <w:r w:rsidR="003B4B8A" w:rsidRPr="00096511">
        <w:t xml:space="preserve">, které povedou </w:t>
      </w:r>
      <w:r w:rsidR="00C87BDC" w:rsidRPr="00096511">
        <w:t>ke zvýšení kvality poskytovaných služeb krajským úřadem</w:t>
      </w:r>
      <w:r w:rsidR="003B4B8A" w:rsidRPr="00096511">
        <w:t xml:space="preserve">, </w:t>
      </w:r>
      <w:r w:rsidR="00C87BDC" w:rsidRPr="00096511">
        <w:t>zajištění nejen objektové, ale i informační bezpečnosti vyplývající pro kraj ze</w:t>
      </w:r>
      <w:r w:rsidR="000A5170" w:rsidRPr="00096511">
        <w:t> </w:t>
      </w:r>
      <w:r w:rsidR="00C87BDC" w:rsidRPr="00096511">
        <w:t>stávající legislativy</w:t>
      </w:r>
      <w:r w:rsidR="003B4B8A" w:rsidRPr="00096511">
        <w:t xml:space="preserve"> a zaváděním </w:t>
      </w:r>
      <w:proofErr w:type="spellStart"/>
      <w:r w:rsidR="003B4B8A" w:rsidRPr="00096511">
        <w:t>eGovermentu</w:t>
      </w:r>
      <w:proofErr w:type="spellEnd"/>
      <w:r w:rsidR="00C87BDC" w:rsidRPr="00096511">
        <w:t xml:space="preserve">. </w:t>
      </w:r>
      <w:r w:rsidR="00086B1D" w:rsidRPr="00096511">
        <w:t xml:space="preserve">Naproti tomu se bude pokračovat s </w:t>
      </w:r>
      <w:r w:rsidRPr="00096511">
        <w:t xml:space="preserve">úspornými opatřeními, díky nimž jsou </w:t>
      </w:r>
      <w:r w:rsidR="00086B1D" w:rsidRPr="00096511">
        <w:t>sni</w:t>
      </w:r>
      <w:r w:rsidRPr="00096511">
        <w:t>ž</w:t>
      </w:r>
      <w:r w:rsidR="00086B1D" w:rsidRPr="00096511">
        <w:t xml:space="preserve">ovány </w:t>
      </w:r>
      <w:r w:rsidRPr="00096511">
        <w:t>vybrané provozní výdaje – např. nákupy materiálu, tepla, pohonných hmot</w:t>
      </w:r>
      <w:r w:rsidRPr="000362AB">
        <w:t>.</w:t>
      </w:r>
      <w:r w:rsidR="00C70357" w:rsidRPr="000362AB">
        <w:t xml:space="preserve"> </w:t>
      </w:r>
      <w:r w:rsidR="00894C1F" w:rsidRPr="000362AB">
        <w:t xml:space="preserve">Součástí výdajů </w:t>
      </w:r>
      <w:r w:rsidR="000362AB" w:rsidRPr="000362AB">
        <w:t xml:space="preserve">na činnost zastupitelstva kraje a krajského úřadu je </w:t>
      </w:r>
      <w:r w:rsidR="00894C1F" w:rsidRPr="000362AB">
        <w:t>rovněž</w:t>
      </w:r>
      <w:r w:rsidR="000362AB" w:rsidRPr="000362AB">
        <w:t xml:space="preserve"> </w:t>
      </w:r>
      <w:proofErr w:type="gramStart"/>
      <w:r w:rsidR="000362AB" w:rsidRPr="000362AB">
        <w:t xml:space="preserve">tvorba  </w:t>
      </w:r>
      <w:r w:rsidR="00894C1F" w:rsidRPr="000362AB">
        <w:t>Sociální</w:t>
      </w:r>
      <w:proofErr w:type="gramEnd"/>
      <w:r w:rsidR="00894C1F" w:rsidRPr="000362AB">
        <w:t xml:space="preserve"> fond</w:t>
      </w:r>
      <w:r w:rsidR="000362AB" w:rsidRPr="000362AB">
        <w:t>u.</w:t>
      </w:r>
    </w:p>
    <w:p w14:paraId="5820109D" w14:textId="77777777" w:rsidR="00894C1F" w:rsidRDefault="00894C1F" w:rsidP="00086B1D">
      <w:pPr>
        <w:pStyle w:val="Bezmezer"/>
        <w:rPr>
          <w:i/>
        </w:rPr>
      </w:pPr>
    </w:p>
    <w:p w14:paraId="2B8D31B0" w14:textId="612A2B7A" w:rsidR="00E765D6" w:rsidRPr="00C70357" w:rsidRDefault="002A2B72" w:rsidP="00086B1D">
      <w:pPr>
        <w:pStyle w:val="Bezmezer"/>
        <w:rPr>
          <w:iCs/>
        </w:rPr>
      </w:pPr>
      <w:r w:rsidRPr="00096511">
        <w:rPr>
          <w:iCs/>
        </w:rPr>
        <w:t xml:space="preserve">Z důvodu </w:t>
      </w:r>
      <w:r w:rsidR="00C70357" w:rsidRPr="00096511">
        <w:rPr>
          <w:iCs/>
        </w:rPr>
        <w:t xml:space="preserve">nejasnosti způsobené </w:t>
      </w:r>
      <w:r w:rsidR="00A1491A" w:rsidRPr="00096511">
        <w:rPr>
          <w:iCs/>
        </w:rPr>
        <w:t xml:space="preserve">projednáváním </w:t>
      </w:r>
      <w:r w:rsidR="00C70357" w:rsidRPr="00096511">
        <w:rPr>
          <w:iCs/>
        </w:rPr>
        <w:t xml:space="preserve">novely stavebního zákona </w:t>
      </w:r>
      <w:r w:rsidR="00E90A2E" w:rsidRPr="00096511">
        <w:rPr>
          <w:iCs/>
        </w:rPr>
        <w:t>a existencí několika pozměňovacích návrh</w:t>
      </w:r>
      <w:r w:rsidR="001816C1" w:rsidRPr="00096511">
        <w:rPr>
          <w:iCs/>
        </w:rPr>
        <w:t>ů</w:t>
      </w:r>
      <w:r w:rsidR="00E90A2E" w:rsidRPr="00096511">
        <w:rPr>
          <w:iCs/>
        </w:rPr>
        <w:t xml:space="preserve"> k tomuto zákonu </w:t>
      </w:r>
      <w:r w:rsidR="00C70357" w:rsidRPr="00096511">
        <w:rPr>
          <w:iCs/>
        </w:rPr>
        <w:t>není ve výhledu zohledněn dopad</w:t>
      </w:r>
      <w:r w:rsidR="00E765D6" w:rsidRPr="00096511">
        <w:rPr>
          <w:iCs/>
        </w:rPr>
        <w:t xml:space="preserve"> vzniku nového stavebního úřadu</w:t>
      </w:r>
      <w:r w:rsidR="00C70357" w:rsidRPr="00096511">
        <w:rPr>
          <w:iCs/>
        </w:rPr>
        <w:t>.</w:t>
      </w:r>
    </w:p>
    <w:p w14:paraId="79E65A4D" w14:textId="40B2EF25" w:rsidR="0052571B" w:rsidRPr="00C70357" w:rsidRDefault="001942BD" w:rsidP="00086B1D">
      <w:pPr>
        <w:pStyle w:val="Bezmezer"/>
        <w:rPr>
          <w:iCs/>
        </w:rPr>
      </w:pPr>
      <w:r w:rsidRPr="00C70357">
        <w:rPr>
          <w:iCs/>
        </w:rPr>
        <w:t xml:space="preserve"> </w:t>
      </w:r>
    </w:p>
    <w:p w14:paraId="79E65A4F"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Finance a správa majetku</w:t>
      </w:r>
    </w:p>
    <w:p w14:paraId="79E65A50" w14:textId="77777777" w:rsidR="009F7F00" w:rsidRPr="00826D55" w:rsidRDefault="009F7F00" w:rsidP="009F7F00"/>
    <w:p w14:paraId="79E65A53" w14:textId="06998340" w:rsidR="008203B0" w:rsidRDefault="00AC58E6" w:rsidP="009575DE">
      <w:pPr>
        <w:tabs>
          <w:tab w:val="right" w:pos="4962"/>
        </w:tabs>
        <w:rPr>
          <w:rFonts w:ascii="Tahoma" w:hAnsi="Tahoma" w:cs="Tahoma"/>
          <w:sz w:val="16"/>
          <w:szCs w:val="16"/>
        </w:rPr>
      </w:pPr>
      <w:r w:rsidRPr="00826D55">
        <w:rPr>
          <w:rFonts w:ascii="Tahoma" w:hAnsi="Tahoma" w:cs="Tahoma"/>
          <w:sz w:val="16"/>
          <w:szCs w:val="16"/>
        </w:rPr>
        <w:t xml:space="preserve">Graf č. 7 Vývoj </w:t>
      </w:r>
      <w:r w:rsidR="00AB38BF" w:rsidRPr="00826D55">
        <w:rPr>
          <w:rFonts w:ascii="Tahoma" w:hAnsi="Tahoma" w:cs="Tahoma"/>
          <w:sz w:val="16"/>
          <w:szCs w:val="16"/>
        </w:rPr>
        <w:t xml:space="preserve">výdajů v oblasti Finance a správa majetku </w:t>
      </w:r>
      <w:r w:rsidR="00BC5E9E" w:rsidRPr="00826D55">
        <w:rPr>
          <w:rFonts w:ascii="Tahoma" w:hAnsi="Tahoma" w:cs="Tahoma"/>
          <w:sz w:val="16"/>
          <w:szCs w:val="16"/>
        </w:rPr>
        <w:t>(v mil. Kč)</w:t>
      </w:r>
    </w:p>
    <w:p w14:paraId="4A4CF4FB" w14:textId="4048BF08" w:rsidR="007406F7" w:rsidRDefault="007406F7" w:rsidP="009575DE">
      <w:pPr>
        <w:tabs>
          <w:tab w:val="right" w:pos="4962"/>
        </w:tabs>
        <w:rPr>
          <w:rFonts w:ascii="Tahoma" w:hAnsi="Tahoma" w:cs="Tahoma"/>
          <w:sz w:val="16"/>
          <w:szCs w:val="16"/>
        </w:rPr>
      </w:pPr>
      <w:r>
        <w:rPr>
          <w:rFonts w:ascii="Tahoma" w:hAnsi="Tahoma" w:cs="Tahoma"/>
          <w:noProof/>
          <w:sz w:val="16"/>
          <w:szCs w:val="16"/>
        </w:rPr>
        <w:drawing>
          <wp:inline distT="0" distB="0" distL="0" distR="0" wp14:anchorId="7162B127" wp14:editId="0824B0C1">
            <wp:extent cx="3454371" cy="20764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2757" cy="2087502"/>
                    </a:xfrm>
                    <a:prstGeom prst="rect">
                      <a:avLst/>
                    </a:prstGeom>
                    <a:noFill/>
                  </pic:spPr>
                </pic:pic>
              </a:graphicData>
            </a:graphic>
          </wp:inline>
        </w:drawing>
      </w:r>
    </w:p>
    <w:p w14:paraId="1593A3C5" w14:textId="77777777" w:rsidR="008A66CB" w:rsidRDefault="008A66CB" w:rsidP="00836171">
      <w:pPr>
        <w:jc w:val="both"/>
        <w:rPr>
          <w:rFonts w:ascii="Tahoma" w:hAnsi="Tahoma" w:cs="Tahoma"/>
        </w:rPr>
      </w:pPr>
    </w:p>
    <w:p w14:paraId="4D9B4AF5" w14:textId="1D42B8B9" w:rsidR="008A66CB" w:rsidRDefault="008A66CB" w:rsidP="00836171">
      <w:pPr>
        <w:jc w:val="both"/>
        <w:rPr>
          <w:rFonts w:ascii="Tahoma" w:hAnsi="Tahoma" w:cs="Tahoma"/>
        </w:rPr>
      </w:pPr>
      <w:r w:rsidRPr="00437D9F">
        <w:rPr>
          <w:rFonts w:ascii="Tahoma" w:hAnsi="Tahoma" w:cs="Tahoma"/>
        </w:rPr>
        <w:t xml:space="preserve">Jedním z hlavních výdajů v této oblasti jsou hrazené úroky z úvěrů čerpaných krajem. Je počítáno s úhradou úroků z úvěru od Evropské investiční banky, úvěrů od UniCredit Bank Czech Republic and Slovakia, a.s., úvěru České spořitelny, a.s., ale také předpokládaného nového úvěru. Objem výdajů na platbu úroků bude mít rostoucí tendenci. To je dáno skutečností, že vzroste potřeba využití úvěrů na předfinancování dotací u evropských projektů a současně bude postupně </w:t>
      </w:r>
      <w:proofErr w:type="spellStart"/>
      <w:r w:rsidRPr="00437D9F">
        <w:rPr>
          <w:rFonts w:ascii="Tahoma" w:hAnsi="Tahoma" w:cs="Tahoma"/>
        </w:rPr>
        <w:t>odčepán</w:t>
      </w:r>
      <w:proofErr w:type="spellEnd"/>
      <w:r w:rsidRPr="00437D9F">
        <w:rPr>
          <w:rFonts w:ascii="Tahoma" w:hAnsi="Tahoma" w:cs="Tahoma"/>
        </w:rPr>
        <w:t xml:space="preserve"> celý investiční úvěr od České spořitelny</w:t>
      </w:r>
      <w:r w:rsidR="00832011" w:rsidRPr="00437D9F">
        <w:rPr>
          <w:rFonts w:ascii="Tahoma" w:hAnsi="Tahoma" w:cs="Tahoma"/>
        </w:rPr>
        <w:t>, a.s</w:t>
      </w:r>
      <w:r w:rsidRPr="00437D9F">
        <w:rPr>
          <w:rFonts w:ascii="Tahoma" w:hAnsi="Tahoma" w:cs="Tahoma"/>
        </w:rPr>
        <w:t xml:space="preserve">. Dalším faktorem bude očekávaný růst základních úrokových sazeb. Pozitivně bude naopak na výši těchto výdajů působit klesající objem nesplacené jistiny dlouhodobých úvěrů od Evropské investiční banky a UniCredit Bank Czech Republic and Slovakia, a.s.  </w:t>
      </w:r>
      <w:r w:rsidR="00BE47CF">
        <w:rPr>
          <w:rFonts w:ascii="Tahoma" w:hAnsi="Tahoma" w:cs="Tahoma"/>
        </w:rPr>
        <w:t xml:space="preserve">Z důvodu uzavření nových pojistných smluv </w:t>
      </w:r>
      <w:r w:rsidR="00BE47CF" w:rsidRPr="00C418C4">
        <w:rPr>
          <w:rFonts w:ascii="Tahoma" w:hAnsi="Tahoma" w:cs="Tahoma"/>
        </w:rPr>
        <w:t>na pojištění nemovitého, movitého majetku, vozidel a odpovědnosti kraje a jeho organizací</w:t>
      </w:r>
      <w:r w:rsidR="003F299D">
        <w:rPr>
          <w:rFonts w:ascii="Tahoma" w:hAnsi="Tahoma" w:cs="Tahoma"/>
        </w:rPr>
        <w:t xml:space="preserve"> v</w:t>
      </w:r>
      <w:r w:rsidR="00BE47CF">
        <w:rPr>
          <w:rFonts w:ascii="Tahoma" w:hAnsi="Tahoma" w:cs="Tahoma"/>
        </w:rPr>
        <w:t xml:space="preserve">ýdaje na </w:t>
      </w:r>
      <w:r w:rsidR="00BE47CF" w:rsidRPr="00C418C4">
        <w:rPr>
          <w:rFonts w:ascii="Tahoma" w:hAnsi="Tahoma" w:cs="Tahoma"/>
        </w:rPr>
        <w:t xml:space="preserve">pojistné </w:t>
      </w:r>
      <w:r w:rsidR="00BE47CF">
        <w:rPr>
          <w:rFonts w:ascii="Tahoma" w:hAnsi="Tahoma" w:cs="Tahoma"/>
        </w:rPr>
        <w:t xml:space="preserve">meziročně rostou. </w:t>
      </w:r>
    </w:p>
    <w:p w14:paraId="223702AF" w14:textId="77777777" w:rsidR="003F299D" w:rsidRDefault="003F299D" w:rsidP="00836171">
      <w:pPr>
        <w:jc w:val="both"/>
        <w:rPr>
          <w:rFonts w:ascii="Tahoma" w:hAnsi="Tahoma" w:cs="Tahoma"/>
        </w:rPr>
      </w:pPr>
    </w:p>
    <w:p w14:paraId="688CA468" w14:textId="6E31E0E3" w:rsidR="00DB6DF3" w:rsidRDefault="008E7B37" w:rsidP="004D7093">
      <w:pPr>
        <w:jc w:val="both"/>
        <w:rPr>
          <w:rFonts w:ascii="Tahoma" w:hAnsi="Tahoma" w:cs="Tahoma"/>
        </w:rPr>
      </w:pPr>
      <w:r w:rsidRPr="00C418C4">
        <w:rPr>
          <w:rFonts w:ascii="Tahoma" w:hAnsi="Tahoma" w:cs="Tahoma"/>
        </w:rPr>
        <w:t>Další</w:t>
      </w:r>
      <w:r w:rsidR="003B7401" w:rsidRPr="00C418C4">
        <w:rPr>
          <w:rFonts w:ascii="Tahoma" w:hAnsi="Tahoma" w:cs="Tahoma"/>
        </w:rPr>
        <w:t xml:space="preserve"> pravidelné</w:t>
      </w:r>
      <w:r w:rsidRPr="00C418C4">
        <w:rPr>
          <w:rFonts w:ascii="Tahoma" w:hAnsi="Tahoma" w:cs="Tahoma"/>
        </w:rPr>
        <w:t xml:space="preserve"> výdaj</w:t>
      </w:r>
      <w:r w:rsidR="003B7401" w:rsidRPr="00C418C4">
        <w:rPr>
          <w:rFonts w:ascii="Tahoma" w:hAnsi="Tahoma" w:cs="Tahoma"/>
        </w:rPr>
        <w:t>e</w:t>
      </w:r>
      <w:r w:rsidRPr="00C418C4">
        <w:rPr>
          <w:rFonts w:ascii="Tahoma" w:hAnsi="Tahoma" w:cs="Tahoma"/>
        </w:rPr>
        <w:t xml:space="preserve"> se týkají předpokládané platby daní, výdajů související</w:t>
      </w:r>
      <w:r w:rsidR="00DA7E06" w:rsidRPr="00C418C4">
        <w:rPr>
          <w:rFonts w:ascii="Tahoma" w:hAnsi="Tahoma" w:cs="Tahoma"/>
        </w:rPr>
        <w:t>ch</w:t>
      </w:r>
      <w:r w:rsidRPr="00C418C4">
        <w:rPr>
          <w:rFonts w:ascii="Tahoma" w:hAnsi="Tahoma" w:cs="Tahoma"/>
        </w:rPr>
        <w:t xml:space="preserve"> s centralizovanými nákupy</w:t>
      </w:r>
      <w:r w:rsidR="00DA7E06" w:rsidRPr="00C418C4">
        <w:rPr>
          <w:rFonts w:ascii="Tahoma" w:hAnsi="Tahoma" w:cs="Tahoma"/>
        </w:rPr>
        <w:t xml:space="preserve"> a</w:t>
      </w:r>
      <w:r w:rsidRPr="00C418C4">
        <w:rPr>
          <w:rFonts w:ascii="Tahoma" w:hAnsi="Tahoma" w:cs="Tahoma"/>
        </w:rPr>
        <w:t xml:space="preserve"> výdajů </w:t>
      </w:r>
      <w:r w:rsidR="00DA7E06" w:rsidRPr="00C418C4">
        <w:rPr>
          <w:rFonts w:ascii="Tahoma" w:hAnsi="Tahoma" w:cs="Tahoma"/>
        </w:rPr>
        <w:t xml:space="preserve">spojených </w:t>
      </w:r>
      <w:r w:rsidRPr="00C418C4">
        <w:rPr>
          <w:rFonts w:ascii="Tahoma" w:hAnsi="Tahoma" w:cs="Tahoma"/>
        </w:rPr>
        <w:t xml:space="preserve">s užíváním nebytových prostor krajského úřadu cizími subjekty. </w:t>
      </w:r>
      <w:r w:rsidR="003B7401" w:rsidRPr="00C418C4">
        <w:rPr>
          <w:rFonts w:ascii="Tahoma" w:hAnsi="Tahoma" w:cs="Tahoma"/>
        </w:rPr>
        <w:t xml:space="preserve">Tyto výdaje jsou meziročně </w:t>
      </w:r>
      <w:r w:rsidR="00CB2E9B" w:rsidRPr="00C418C4">
        <w:rPr>
          <w:rFonts w:ascii="Tahoma" w:hAnsi="Tahoma" w:cs="Tahoma"/>
        </w:rPr>
        <w:t>s</w:t>
      </w:r>
      <w:r w:rsidR="002F74E8" w:rsidRPr="00C418C4">
        <w:rPr>
          <w:rFonts w:ascii="Tahoma" w:hAnsi="Tahoma" w:cs="Tahoma"/>
        </w:rPr>
        <w:t>tejné</w:t>
      </w:r>
      <w:r w:rsidR="002F74E8" w:rsidRPr="004D7093">
        <w:rPr>
          <w:rFonts w:ascii="Tahoma" w:hAnsi="Tahoma" w:cs="Tahoma"/>
        </w:rPr>
        <w:t xml:space="preserve"> nebo mírně rostou</w:t>
      </w:r>
      <w:r w:rsidR="003B7401" w:rsidRPr="004D7093">
        <w:rPr>
          <w:rFonts w:ascii="Tahoma" w:hAnsi="Tahoma" w:cs="Tahoma"/>
        </w:rPr>
        <w:t>.</w:t>
      </w:r>
      <w:r w:rsidR="004D7093">
        <w:rPr>
          <w:rFonts w:ascii="Tahoma" w:hAnsi="Tahoma" w:cs="Tahoma"/>
        </w:rPr>
        <w:t xml:space="preserve"> </w:t>
      </w:r>
    </w:p>
    <w:p w14:paraId="52BD476F" w14:textId="77777777" w:rsidR="00BD755C" w:rsidRDefault="00BD755C" w:rsidP="004D7093">
      <w:pPr>
        <w:jc w:val="both"/>
        <w:rPr>
          <w:rFonts w:ascii="Tahoma" w:hAnsi="Tahoma" w:cs="Tahoma"/>
        </w:rPr>
      </w:pPr>
    </w:p>
    <w:p w14:paraId="79E65A57" w14:textId="6935AB4F" w:rsidR="008E7B37" w:rsidRDefault="008E7B37" w:rsidP="00882D2E">
      <w:pPr>
        <w:jc w:val="both"/>
        <w:rPr>
          <w:rFonts w:ascii="Tahoma" w:hAnsi="Tahoma" w:cs="Tahoma"/>
        </w:rPr>
      </w:pPr>
      <w:r w:rsidRPr="00826D55">
        <w:rPr>
          <w:rFonts w:ascii="Tahoma" w:hAnsi="Tahoma" w:cs="Tahoma"/>
        </w:rPr>
        <w:t>V části finance a správa majetku je pro období výhledu vyčleněna rezerva na</w:t>
      </w:r>
      <w:r w:rsidR="000A5170" w:rsidRPr="00826D55">
        <w:rPr>
          <w:rFonts w:ascii="Tahoma" w:hAnsi="Tahoma" w:cs="Tahoma"/>
        </w:rPr>
        <w:t> </w:t>
      </w:r>
      <w:r w:rsidRPr="00826D55">
        <w:rPr>
          <w:rFonts w:ascii="Tahoma" w:hAnsi="Tahoma" w:cs="Tahoma"/>
        </w:rPr>
        <w:t xml:space="preserve">mimořádné akce a akce s nedořešeným financováním </w:t>
      </w:r>
      <w:r w:rsidR="00142801" w:rsidRPr="00826D55">
        <w:rPr>
          <w:rFonts w:ascii="Tahoma" w:hAnsi="Tahoma" w:cs="Tahoma"/>
        </w:rPr>
        <w:t xml:space="preserve">ve výši </w:t>
      </w:r>
      <w:r w:rsidR="003C1F21">
        <w:rPr>
          <w:rFonts w:ascii="Tahoma" w:hAnsi="Tahoma" w:cs="Tahoma"/>
        </w:rPr>
        <w:t>5</w:t>
      </w:r>
      <w:r w:rsidR="002F74E8">
        <w:rPr>
          <w:rFonts w:ascii="Tahoma" w:hAnsi="Tahoma" w:cs="Tahoma"/>
        </w:rPr>
        <w:t>0</w:t>
      </w:r>
      <w:r w:rsidR="00142801" w:rsidRPr="00826D55">
        <w:rPr>
          <w:rFonts w:ascii="Tahoma" w:hAnsi="Tahoma" w:cs="Tahoma"/>
        </w:rPr>
        <w:t xml:space="preserve"> mil. Kč ročně</w:t>
      </w:r>
      <w:r w:rsidR="003C1F21">
        <w:rPr>
          <w:rFonts w:ascii="Tahoma" w:hAnsi="Tahoma" w:cs="Tahoma"/>
        </w:rPr>
        <w:t>.</w:t>
      </w:r>
    </w:p>
    <w:p w14:paraId="79E65A58" w14:textId="77777777" w:rsidR="002F74E8" w:rsidRPr="00826D55" w:rsidRDefault="002F74E8" w:rsidP="002F74E8">
      <w:pPr>
        <w:jc w:val="both"/>
        <w:rPr>
          <w:rFonts w:ascii="Tahoma" w:hAnsi="Tahoma" w:cs="Tahoma"/>
          <w:u w:val="single"/>
        </w:rPr>
      </w:pPr>
    </w:p>
    <w:p w14:paraId="79E65A59"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 xml:space="preserve">Samosprávné a jiné činnosti zajišťované prostřednictvím krajského úřadu </w:t>
      </w:r>
    </w:p>
    <w:p w14:paraId="79E65A5A" w14:textId="77777777" w:rsidR="00200A7C" w:rsidRPr="00826D55" w:rsidRDefault="00200A7C" w:rsidP="00200A7C"/>
    <w:p w14:paraId="016ED3C7" w14:textId="71D6C2CF" w:rsidR="00FF1649" w:rsidRDefault="00200A7C"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AE361B" w:rsidRPr="00826D55">
        <w:rPr>
          <w:rFonts w:ascii="Tahoma" w:hAnsi="Tahoma" w:cs="Tahoma"/>
          <w:sz w:val="16"/>
          <w:szCs w:val="16"/>
        </w:rPr>
        <w:t>8</w:t>
      </w:r>
      <w:r w:rsidRPr="00826D55">
        <w:rPr>
          <w:rFonts w:ascii="Tahoma" w:hAnsi="Tahoma" w:cs="Tahoma"/>
          <w:sz w:val="16"/>
          <w:szCs w:val="16"/>
        </w:rPr>
        <w:t xml:space="preserve"> Vývoj výdajů v oblasti Samosprávné a jiné činnosti zajišťované prostřednictvím krajského úřadu </w:t>
      </w:r>
      <w:r w:rsidR="00BC5E9E" w:rsidRPr="00826D55">
        <w:rPr>
          <w:rFonts w:ascii="Tahoma" w:hAnsi="Tahoma" w:cs="Tahoma"/>
          <w:sz w:val="16"/>
          <w:szCs w:val="16"/>
        </w:rPr>
        <w:t>(v mil. Kč)</w:t>
      </w:r>
    </w:p>
    <w:p w14:paraId="56FC7523" w14:textId="090B4BBF" w:rsidR="007406F7" w:rsidRDefault="007406F7"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1CC34CE5" wp14:editId="5ED77A8D">
            <wp:extent cx="3533599" cy="212407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3275" cy="2135902"/>
                    </a:xfrm>
                    <a:prstGeom prst="rect">
                      <a:avLst/>
                    </a:prstGeom>
                    <a:noFill/>
                  </pic:spPr>
                </pic:pic>
              </a:graphicData>
            </a:graphic>
          </wp:inline>
        </w:drawing>
      </w:r>
    </w:p>
    <w:p w14:paraId="79E65A5D" w14:textId="77777777" w:rsidR="002F74E8" w:rsidRPr="00826D55" w:rsidRDefault="002F74E8" w:rsidP="00A822D7">
      <w:pPr>
        <w:tabs>
          <w:tab w:val="right" w:pos="4962"/>
        </w:tabs>
        <w:rPr>
          <w:rFonts w:ascii="Tahoma" w:hAnsi="Tahoma" w:cs="Tahoma"/>
          <w:sz w:val="16"/>
          <w:szCs w:val="16"/>
        </w:rPr>
      </w:pPr>
    </w:p>
    <w:p w14:paraId="79E65A5E" w14:textId="69298E8D" w:rsidR="0091779F" w:rsidRDefault="00CF40C1" w:rsidP="0091779F">
      <w:pPr>
        <w:jc w:val="both"/>
        <w:rPr>
          <w:rFonts w:ascii="Tahoma" w:hAnsi="Tahoma" w:cs="Tahoma"/>
        </w:rPr>
      </w:pPr>
      <w:r w:rsidRPr="00826D55">
        <w:rPr>
          <w:rFonts w:ascii="Tahoma" w:hAnsi="Tahoma" w:cs="Tahoma"/>
        </w:rPr>
        <w:t>Objem plánovaných v</w:t>
      </w:r>
      <w:r w:rsidR="0091779F" w:rsidRPr="00826D55">
        <w:rPr>
          <w:rFonts w:ascii="Tahoma" w:hAnsi="Tahoma" w:cs="Tahoma"/>
        </w:rPr>
        <w:t>ýdaj</w:t>
      </w:r>
      <w:r w:rsidRPr="00826D55">
        <w:rPr>
          <w:rFonts w:ascii="Tahoma" w:hAnsi="Tahoma" w:cs="Tahoma"/>
        </w:rPr>
        <w:t>ů</w:t>
      </w:r>
      <w:r w:rsidR="0091779F" w:rsidRPr="00826D55">
        <w:rPr>
          <w:rFonts w:ascii="Tahoma" w:hAnsi="Tahoma" w:cs="Tahoma"/>
        </w:rPr>
        <w:t xml:space="preserve"> v této oblasti </w:t>
      </w:r>
      <w:r w:rsidR="007D3C7C" w:rsidRPr="00826D55">
        <w:rPr>
          <w:rFonts w:ascii="Tahoma" w:hAnsi="Tahoma" w:cs="Tahoma"/>
        </w:rPr>
        <w:t xml:space="preserve">má </w:t>
      </w:r>
      <w:r w:rsidR="00FB3A28" w:rsidRPr="00826D55">
        <w:rPr>
          <w:rFonts w:ascii="Tahoma" w:hAnsi="Tahoma" w:cs="Tahoma"/>
        </w:rPr>
        <w:t>rostoucí tendenci</w:t>
      </w:r>
      <w:r w:rsidR="007B586A" w:rsidRPr="00826D55">
        <w:rPr>
          <w:rFonts w:ascii="Tahoma" w:hAnsi="Tahoma" w:cs="Tahoma"/>
          <w:i/>
        </w:rPr>
        <w:t xml:space="preserve"> </w:t>
      </w:r>
      <w:r w:rsidRPr="00826D55">
        <w:rPr>
          <w:rFonts w:ascii="Tahoma" w:hAnsi="Tahoma" w:cs="Tahoma"/>
        </w:rPr>
        <w:t>a</w:t>
      </w:r>
      <w:r w:rsidR="000A5170" w:rsidRPr="00826D55">
        <w:rPr>
          <w:rFonts w:ascii="Tahoma" w:hAnsi="Tahoma" w:cs="Tahoma"/>
        </w:rPr>
        <w:t> </w:t>
      </w:r>
      <w:r w:rsidRPr="00826D55">
        <w:rPr>
          <w:rFonts w:ascii="Tahoma" w:hAnsi="Tahoma" w:cs="Tahoma"/>
        </w:rPr>
        <w:t xml:space="preserve">zajistí pokrytí </w:t>
      </w:r>
      <w:r w:rsidR="0091779F" w:rsidRPr="00826D55">
        <w:rPr>
          <w:rFonts w:ascii="Tahoma" w:hAnsi="Tahoma" w:cs="Tahoma"/>
        </w:rPr>
        <w:t>vešker</w:t>
      </w:r>
      <w:r w:rsidRPr="00826D55">
        <w:rPr>
          <w:rFonts w:ascii="Tahoma" w:hAnsi="Tahoma" w:cs="Tahoma"/>
        </w:rPr>
        <w:t>ých</w:t>
      </w:r>
      <w:r w:rsidR="0091779F" w:rsidRPr="00826D55">
        <w:rPr>
          <w:rFonts w:ascii="Tahoma" w:hAnsi="Tahoma" w:cs="Tahoma"/>
        </w:rPr>
        <w:t xml:space="preserve"> </w:t>
      </w:r>
      <w:r w:rsidRPr="00826D55">
        <w:rPr>
          <w:rFonts w:ascii="Tahoma" w:hAnsi="Tahoma" w:cs="Tahoma"/>
        </w:rPr>
        <w:t xml:space="preserve">schválených </w:t>
      </w:r>
      <w:r w:rsidR="0091779F" w:rsidRPr="00826D55">
        <w:rPr>
          <w:rFonts w:ascii="Tahoma" w:hAnsi="Tahoma" w:cs="Tahoma"/>
        </w:rPr>
        <w:t>závazk</w:t>
      </w:r>
      <w:r w:rsidRPr="00826D55">
        <w:rPr>
          <w:rFonts w:ascii="Tahoma" w:hAnsi="Tahoma" w:cs="Tahoma"/>
        </w:rPr>
        <w:t>ů</w:t>
      </w:r>
      <w:r w:rsidR="007D3C7C" w:rsidRPr="00826D55">
        <w:rPr>
          <w:rFonts w:ascii="Tahoma" w:hAnsi="Tahoma" w:cs="Tahoma"/>
        </w:rPr>
        <w:t xml:space="preserve"> kraje, příp. závazků, které se předpokládají</w:t>
      </w:r>
      <w:r w:rsidR="0091779F" w:rsidRPr="00826D55">
        <w:rPr>
          <w:rFonts w:ascii="Tahoma" w:hAnsi="Tahoma" w:cs="Tahoma"/>
        </w:rPr>
        <w:t xml:space="preserve"> </w:t>
      </w:r>
      <w:r w:rsidR="007D3C7C" w:rsidRPr="00096511">
        <w:rPr>
          <w:rFonts w:ascii="Tahoma" w:hAnsi="Tahoma" w:cs="Tahoma"/>
        </w:rPr>
        <w:t>v</w:t>
      </w:r>
      <w:r w:rsidR="004623F1" w:rsidRPr="00096511">
        <w:rPr>
          <w:rFonts w:ascii="Tahoma" w:hAnsi="Tahoma" w:cs="Tahoma"/>
        </w:rPr>
        <w:t> </w:t>
      </w:r>
      <w:r w:rsidR="0091779F" w:rsidRPr="00096511">
        <w:rPr>
          <w:rFonts w:ascii="Tahoma" w:hAnsi="Tahoma" w:cs="Tahoma"/>
        </w:rPr>
        <w:t>budoucích let</w:t>
      </w:r>
      <w:r w:rsidR="004623F1" w:rsidRPr="00096511">
        <w:rPr>
          <w:rFonts w:ascii="Tahoma" w:hAnsi="Tahoma" w:cs="Tahoma"/>
        </w:rPr>
        <w:t>ech</w:t>
      </w:r>
      <w:r w:rsidR="007D3C7C" w:rsidRPr="00096511">
        <w:rPr>
          <w:rFonts w:ascii="Tahoma" w:hAnsi="Tahoma" w:cs="Tahoma"/>
        </w:rPr>
        <w:t xml:space="preserve"> smluvně uzavřít,</w:t>
      </w:r>
      <w:r w:rsidRPr="00096511">
        <w:rPr>
          <w:rFonts w:ascii="Tahoma" w:hAnsi="Tahoma" w:cs="Tahoma"/>
        </w:rPr>
        <w:t xml:space="preserve"> a dále umožní realizaci dalších akcí v jednotlivých odvětví</w:t>
      </w:r>
      <w:r w:rsidR="000024E5" w:rsidRPr="00096511">
        <w:rPr>
          <w:rFonts w:ascii="Tahoma" w:hAnsi="Tahoma" w:cs="Tahoma"/>
        </w:rPr>
        <w:t>ch</w:t>
      </w:r>
      <w:r w:rsidRPr="00096511">
        <w:rPr>
          <w:rFonts w:ascii="Tahoma" w:hAnsi="Tahoma" w:cs="Tahoma"/>
        </w:rPr>
        <w:t>.</w:t>
      </w:r>
      <w:r w:rsidR="0091779F" w:rsidRPr="00096511">
        <w:rPr>
          <w:rFonts w:ascii="Tahoma" w:hAnsi="Tahoma" w:cs="Tahoma"/>
        </w:rPr>
        <w:t xml:space="preserve"> </w:t>
      </w:r>
    </w:p>
    <w:p w14:paraId="7A4EA763" w14:textId="77777777" w:rsidR="00A40C4D" w:rsidRPr="00096511" w:rsidRDefault="00A40C4D" w:rsidP="0091779F">
      <w:pPr>
        <w:jc w:val="both"/>
        <w:rPr>
          <w:rFonts w:ascii="Tahoma" w:hAnsi="Tahoma" w:cs="Tahoma"/>
        </w:rPr>
      </w:pPr>
    </w:p>
    <w:p w14:paraId="02537F9B" w14:textId="7182015E" w:rsidR="001E28B2" w:rsidRDefault="0091779F" w:rsidP="00A40C4D">
      <w:pPr>
        <w:jc w:val="both"/>
        <w:rPr>
          <w:rFonts w:ascii="Tahoma" w:hAnsi="Tahoma" w:cs="Tahoma"/>
          <w:color w:val="FF0000"/>
        </w:rPr>
      </w:pPr>
      <w:r w:rsidRPr="00096511">
        <w:rPr>
          <w:rFonts w:ascii="Tahoma" w:hAnsi="Tahoma" w:cs="Tahoma"/>
        </w:rPr>
        <w:t xml:space="preserve">Mezi </w:t>
      </w:r>
      <w:r w:rsidR="00CF40C1" w:rsidRPr="00096511">
        <w:rPr>
          <w:rFonts w:ascii="Tahoma" w:hAnsi="Tahoma" w:cs="Tahoma"/>
        </w:rPr>
        <w:t xml:space="preserve">významné </w:t>
      </w:r>
      <w:r w:rsidRPr="00096511">
        <w:rPr>
          <w:rFonts w:ascii="Tahoma" w:hAnsi="Tahoma" w:cs="Tahoma"/>
        </w:rPr>
        <w:t xml:space="preserve">závazky, se kterými je počítáno v období </w:t>
      </w:r>
      <w:proofErr w:type="gramStart"/>
      <w:r w:rsidRPr="00096511">
        <w:rPr>
          <w:rFonts w:ascii="Tahoma" w:hAnsi="Tahoma" w:cs="Tahoma"/>
        </w:rPr>
        <w:t>výhledu</w:t>
      </w:r>
      <w:r w:rsidR="00847847">
        <w:rPr>
          <w:rFonts w:ascii="Tahoma" w:hAnsi="Tahoma" w:cs="Tahoma"/>
        </w:rPr>
        <w:t xml:space="preserve"> </w:t>
      </w:r>
      <w:r w:rsidRPr="00096511">
        <w:rPr>
          <w:rFonts w:ascii="Tahoma" w:hAnsi="Tahoma" w:cs="Tahoma"/>
        </w:rPr>
        <w:t xml:space="preserve"> patří</w:t>
      </w:r>
      <w:proofErr w:type="gramEnd"/>
      <w:r w:rsidR="00847847">
        <w:rPr>
          <w:rFonts w:ascii="Tahoma" w:hAnsi="Tahoma" w:cs="Tahoma"/>
        </w:rPr>
        <w:t xml:space="preserve"> </w:t>
      </w:r>
      <w:r w:rsidR="001E28B2" w:rsidRPr="00096511">
        <w:rPr>
          <w:rFonts w:ascii="Tahoma" w:hAnsi="Tahoma" w:cs="Tahoma"/>
        </w:rPr>
        <w:t>výdaje na</w:t>
      </w:r>
      <w:r w:rsidR="007466D0">
        <w:rPr>
          <w:rFonts w:ascii="Tahoma" w:hAnsi="Tahoma" w:cs="Tahoma"/>
        </w:rPr>
        <w:t> </w:t>
      </w:r>
      <w:r w:rsidR="001E28B2" w:rsidRPr="00096511">
        <w:rPr>
          <w:rFonts w:ascii="Tahoma" w:hAnsi="Tahoma" w:cs="Tahoma"/>
        </w:rPr>
        <w:t>dopravní obslužnost</w:t>
      </w:r>
      <w:r w:rsidR="00847847">
        <w:rPr>
          <w:rFonts w:ascii="Tahoma" w:hAnsi="Tahoma" w:cs="Tahoma"/>
        </w:rPr>
        <w:t xml:space="preserve">. </w:t>
      </w:r>
      <w:r w:rsidR="00A40C4D">
        <w:rPr>
          <w:rFonts w:ascii="Tahoma" w:hAnsi="Tahoma" w:cs="Tahoma"/>
        </w:rPr>
        <w:t>V</w:t>
      </w:r>
      <w:r w:rsidR="00A40C4D" w:rsidRPr="00096511">
        <w:rPr>
          <w:rFonts w:ascii="Tahoma" w:hAnsi="Tahoma" w:cs="Tahoma"/>
        </w:rPr>
        <w:t xml:space="preserve">ýdaje na </w:t>
      </w:r>
      <w:r w:rsidR="00A40C4D" w:rsidRPr="00A40C4D">
        <w:rPr>
          <w:rFonts w:ascii="Tahoma" w:hAnsi="Tahoma" w:cs="Tahoma"/>
        </w:rPr>
        <w:t xml:space="preserve">dopravní obslužnost drážní se </w:t>
      </w:r>
      <w:r w:rsidR="001E28B2" w:rsidRPr="00A40C4D">
        <w:rPr>
          <w:rFonts w:ascii="Tahoma" w:hAnsi="Tahoma" w:cs="Tahoma"/>
        </w:rPr>
        <w:t xml:space="preserve">předpokládají s postupným meziročním inflačním nárůstem, a to v souladu s uzavřenými smlouvami na zajištění dopravní obslužnosti drážní osobní dopravou. V souvislosti s tímto zastupitelstvo kraje schválilo závazky k financování ztráty dopravce zajišťujícího dopravní obslužnost na jednotlivých tratích po dobu </w:t>
      </w:r>
      <w:r w:rsidR="001E28B2" w:rsidRPr="00096511">
        <w:rPr>
          <w:rFonts w:ascii="Tahoma" w:hAnsi="Tahoma" w:cs="Tahoma"/>
        </w:rPr>
        <w:t>účinnosti jednotlivých smluv v tzv.</w:t>
      </w:r>
      <w:r w:rsidR="007466D0">
        <w:rPr>
          <w:rFonts w:ascii="Tahoma" w:hAnsi="Tahoma" w:cs="Tahoma"/>
        </w:rPr>
        <w:t> </w:t>
      </w:r>
      <w:r w:rsidR="001E28B2" w:rsidRPr="00096511">
        <w:rPr>
          <w:rFonts w:ascii="Tahoma" w:hAnsi="Tahoma" w:cs="Tahoma"/>
        </w:rPr>
        <w:t>netto režimu</w:t>
      </w:r>
      <w:r w:rsidR="001E28B2" w:rsidRPr="004251F4">
        <w:rPr>
          <w:rFonts w:ascii="Tahoma" w:hAnsi="Tahoma" w:cs="Tahoma"/>
        </w:rPr>
        <w:t xml:space="preserve"> (příležitosti a rizika spojená s výběrem tržeb nese dopravce). </w:t>
      </w:r>
      <w:r w:rsidR="00D15B29" w:rsidRPr="004251F4">
        <w:rPr>
          <w:rFonts w:ascii="Tahoma" w:hAnsi="Tahoma" w:cs="Tahoma"/>
        </w:rPr>
        <w:t xml:space="preserve">Zároveň </w:t>
      </w:r>
      <w:r w:rsidR="009B2D22" w:rsidRPr="004251F4">
        <w:rPr>
          <w:rFonts w:ascii="Tahoma" w:hAnsi="Tahoma" w:cs="Tahoma"/>
        </w:rPr>
        <w:t xml:space="preserve">se bude pokračovat </w:t>
      </w:r>
      <w:r w:rsidR="000D6C88" w:rsidRPr="004251F4">
        <w:rPr>
          <w:rFonts w:ascii="Tahoma" w:hAnsi="Tahoma" w:cs="Tahoma"/>
        </w:rPr>
        <w:t>v přípravě dalších</w:t>
      </w:r>
      <w:r w:rsidR="001E28B2" w:rsidRPr="004251F4">
        <w:rPr>
          <w:rFonts w:ascii="Tahoma" w:hAnsi="Tahoma" w:cs="Tahoma"/>
        </w:rPr>
        <w:t xml:space="preserve"> veřejn</w:t>
      </w:r>
      <w:r w:rsidR="000D6C88" w:rsidRPr="004251F4">
        <w:rPr>
          <w:rFonts w:ascii="Tahoma" w:hAnsi="Tahoma" w:cs="Tahoma"/>
        </w:rPr>
        <w:t>ých</w:t>
      </w:r>
      <w:r w:rsidR="001E28B2" w:rsidRPr="004251F4">
        <w:rPr>
          <w:rFonts w:ascii="Tahoma" w:hAnsi="Tahoma" w:cs="Tahoma"/>
        </w:rPr>
        <w:t xml:space="preserve"> zakáz</w:t>
      </w:r>
      <w:r w:rsidR="000D6C88" w:rsidRPr="004251F4">
        <w:rPr>
          <w:rFonts w:ascii="Tahoma" w:hAnsi="Tahoma" w:cs="Tahoma"/>
        </w:rPr>
        <w:t>e</w:t>
      </w:r>
      <w:r w:rsidR="001E28B2" w:rsidRPr="004251F4">
        <w:rPr>
          <w:rFonts w:ascii="Tahoma" w:hAnsi="Tahoma" w:cs="Tahoma"/>
        </w:rPr>
        <w:t xml:space="preserve">k na zajištění drážní dopravní obslužnosti na jednotlivé tratě na území Moravskoslezského kraje, kdy postupně bude docházet k uzavírání smluv s vybranými dopravci v tzv. brutto režimu (příležitosti a rizika spojená s výběrem tržeb nese Moravskoslezský kraj). V souvislosti s tímto </w:t>
      </w:r>
      <w:r w:rsidR="000D6C88" w:rsidRPr="004251F4">
        <w:rPr>
          <w:rFonts w:ascii="Tahoma" w:hAnsi="Tahoma" w:cs="Tahoma"/>
        </w:rPr>
        <w:t xml:space="preserve">bude </w:t>
      </w:r>
      <w:r w:rsidR="001E28B2" w:rsidRPr="004251F4">
        <w:rPr>
          <w:rFonts w:ascii="Tahoma" w:hAnsi="Tahoma" w:cs="Tahoma"/>
        </w:rPr>
        <w:t>zastupitelstv</w:t>
      </w:r>
      <w:r w:rsidR="004D14B5" w:rsidRPr="004251F4">
        <w:rPr>
          <w:rFonts w:ascii="Tahoma" w:hAnsi="Tahoma" w:cs="Tahoma"/>
        </w:rPr>
        <w:t>u</w:t>
      </w:r>
      <w:r w:rsidR="001E28B2" w:rsidRPr="004251F4">
        <w:rPr>
          <w:rFonts w:ascii="Tahoma" w:hAnsi="Tahoma" w:cs="Tahoma"/>
        </w:rPr>
        <w:t xml:space="preserve"> kraje </w:t>
      </w:r>
      <w:proofErr w:type="gramStart"/>
      <w:r w:rsidR="004D14B5" w:rsidRPr="004251F4">
        <w:rPr>
          <w:rFonts w:ascii="Tahoma" w:hAnsi="Tahoma" w:cs="Tahoma"/>
        </w:rPr>
        <w:t xml:space="preserve">vždy </w:t>
      </w:r>
      <w:r w:rsidR="001E28B2" w:rsidRPr="004251F4">
        <w:rPr>
          <w:rFonts w:ascii="Tahoma" w:hAnsi="Tahoma" w:cs="Tahoma"/>
        </w:rPr>
        <w:t xml:space="preserve"> </w:t>
      </w:r>
      <w:r w:rsidR="004D14B5" w:rsidRPr="004251F4">
        <w:rPr>
          <w:rFonts w:ascii="Tahoma" w:hAnsi="Tahoma" w:cs="Tahoma"/>
        </w:rPr>
        <w:t>předložen</w:t>
      </w:r>
      <w:proofErr w:type="gramEnd"/>
      <w:r w:rsidR="004D14B5" w:rsidRPr="004251F4">
        <w:rPr>
          <w:rFonts w:ascii="Tahoma" w:hAnsi="Tahoma" w:cs="Tahoma"/>
        </w:rPr>
        <w:t xml:space="preserve"> ke schválení </w:t>
      </w:r>
      <w:r w:rsidR="001E28B2" w:rsidRPr="004251F4">
        <w:rPr>
          <w:rFonts w:ascii="Tahoma" w:hAnsi="Tahoma" w:cs="Tahoma"/>
        </w:rPr>
        <w:t>závaz</w:t>
      </w:r>
      <w:r w:rsidR="004D14B5" w:rsidRPr="004251F4">
        <w:rPr>
          <w:rFonts w:ascii="Tahoma" w:hAnsi="Tahoma" w:cs="Tahoma"/>
        </w:rPr>
        <w:t>e</w:t>
      </w:r>
      <w:r w:rsidR="001E28B2" w:rsidRPr="004251F4">
        <w:rPr>
          <w:rFonts w:ascii="Tahoma" w:hAnsi="Tahoma" w:cs="Tahoma"/>
        </w:rPr>
        <w:t>k k financování ztráty dopravce zajišťujícího dopravní obslužnost drážní po dobu budoucích smluv. Finanční prostředky na zajištění financování konkrétních smluv v případě jednotlivých let tak budou nárokovány v rámci návrhu rozpočtu kraje pro jednotlivé roky, na základě schváleného usnesení zastupitelstvem kraje, avšak v případě tzv. brutto smluv vždy poníženy o předpokládané ovlivňující další faktory (výše tržeb – vliv až cca 48 %, inflace/deflace).</w:t>
      </w:r>
      <w:r w:rsidR="00A40C4D">
        <w:rPr>
          <w:rFonts w:ascii="Tahoma" w:hAnsi="Tahoma" w:cs="Tahoma"/>
        </w:rPr>
        <w:t xml:space="preserve"> </w:t>
      </w:r>
      <w:r w:rsidR="001E28B2">
        <w:rPr>
          <w:rFonts w:ascii="Tahoma" w:hAnsi="Tahoma" w:cs="Tahoma"/>
        </w:rPr>
        <w:t xml:space="preserve">Výdaje na linkovou dopravní obslužnost, </w:t>
      </w:r>
      <w:r w:rsidR="001E28B2" w:rsidRPr="004B0868">
        <w:rPr>
          <w:rFonts w:ascii="Tahoma" w:hAnsi="Tahoma" w:cs="Tahoma"/>
        </w:rPr>
        <w:t xml:space="preserve">které se předpokládají s postupným meziročním inflačním nárůstem, a to v souladu s uzavřenými smlouvami na zajištění dopravní obslužnosti linkovou osobní dopravou v jednotlivých oblastech kraje. Smlouvy jsou uzavírány na období </w:t>
      </w:r>
      <w:r w:rsidR="001E28B2">
        <w:rPr>
          <w:rFonts w:ascii="Tahoma" w:hAnsi="Tahoma" w:cs="Tahoma"/>
        </w:rPr>
        <w:t>10 let na základě realizovaných veřejných zakázek. V souvislosti s tímto zastupitelstvo kraje schválilo závazky k financování ztráty dopravce zajišťujícího dopravní obslužnost v jednotlivých oblastech po dobu účinnosti smluv. Finanční prostředky na zajištění financování konkrétních smluv v případě jednotlivých let tak budou nárokovány v rámci návrhu rozpočtu kraje pro jednotlivé roky, na základě schváleného usnesení zastupitelstvem kraje, avšak vždy poníženy o předpokládané ovlivňující další faktory (výše tržeb – vliv až cca 40 %, příspěvek obcí, inflace/deflace).</w:t>
      </w:r>
    </w:p>
    <w:p w14:paraId="7C58FCC7" w14:textId="77777777" w:rsidR="001E28B2" w:rsidRPr="001E28B2" w:rsidRDefault="001E28B2" w:rsidP="001E28B2">
      <w:pPr>
        <w:spacing w:line="280" w:lineRule="exact"/>
        <w:jc w:val="both"/>
        <w:rPr>
          <w:rFonts w:ascii="Tahoma" w:hAnsi="Tahoma" w:cs="Tahoma"/>
          <w:color w:val="FF0000"/>
          <w:highlight w:val="yellow"/>
        </w:rPr>
      </w:pPr>
    </w:p>
    <w:p w14:paraId="79E65A62" w14:textId="77777777" w:rsidR="00F4250A" w:rsidRPr="00826D55" w:rsidRDefault="00F4250A" w:rsidP="00183A1E">
      <w:pPr>
        <w:pStyle w:val="Zkladntextodsazen2"/>
        <w:tabs>
          <w:tab w:val="left" w:pos="0"/>
        </w:tabs>
        <w:spacing w:after="0" w:line="240" w:lineRule="auto"/>
        <w:ind w:left="0"/>
        <w:jc w:val="both"/>
        <w:rPr>
          <w:rFonts w:ascii="Tahoma" w:hAnsi="Tahoma" w:cs="Tahoma"/>
          <w:i/>
        </w:rPr>
      </w:pPr>
      <w:r w:rsidRPr="00952AD2">
        <w:rPr>
          <w:rFonts w:ascii="Tahoma" w:hAnsi="Tahoma" w:cs="Tahoma"/>
          <w:lang w:val="cs-CZ"/>
        </w:rPr>
        <w:t>V</w:t>
      </w:r>
      <w:r w:rsidR="00E71F60" w:rsidRPr="00952AD2">
        <w:rPr>
          <w:rFonts w:ascii="Tahoma" w:hAnsi="Tahoma" w:cs="Tahoma"/>
          <w:lang w:val="cs-CZ"/>
        </w:rPr>
        <w:t xml:space="preserve"> tabulce č. 5 </w:t>
      </w:r>
      <w:r w:rsidR="00B24D9C" w:rsidRPr="00952AD2">
        <w:rPr>
          <w:rFonts w:ascii="Tahoma" w:hAnsi="Tahoma" w:cs="Tahoma"/>
          <w:lang w:val="cs-CZ"/>
        </w:rPr>
        <w:t xml:space="preserve">(tabulková část výhledu) </w:t>
      </w:r>
      <w:r w:rsidRPr="00952AD2">
        <w:rPr>
          <w:rFonts w:ascii="Tahoma" w:hAnsi="Tahoma" w:cs="Tahoma"/>
          <w:lang w:val="cs-CZ"/>
        </w:rPr>
        <w:t>jsou uvedeny všechny zastupitelstvem kraje schválené závazky a jejich vyčíslení po celou</w:t>
      </w:r>
      <w:r w:rsidRPr="00826D55">
        <w:rPr>
          <w:rFonts w:ascii="Tahoma" w:hAnsi="Tahoma" w:cs="Tahoma"/>
          <w:lang w:val="cs-CZ"/>
        </w:rPr>
        <w:t xml:space="preserve"> dobu jejich trvání.  </w:t>
      </w:r>
    </w:p>
    <w:p w14:paraId="79E65A63" w14:textId="77777777" w:rsidR="00F4250A" w:rsidRPr="00826D55" w:rsidRDefault="00F4250A" w:rsidP="00F4250A">
      <w:pPr>
        <w:pStyle w:val="Zkladntextodsazen2"/>
        <w:tabs>
          <w:tab w:val="left" w:pos="0"/>
        </w:tabs>
        <w:spacing w:after="0" w:line="240" w:lineRule="auto"/>
        <w:jc w:val="both"/>
        <w:rPr>
          <w:rFonts w:ascii="Tahoma" w:hAnsi="Tahoma" w:cs="Tahoma"/>
          <w:lang w:val="cs-CZ"/>
        </w:rPr>
      </w:pPr>
    </w:p>
    <w:p w14:paraId="79E65A64" w14:textId="52445299" w:rsidR="00B4030D" w:rsidRDefault="00F4250A" w:rsidP="00E13877">
      <w:pPr>
        <w:pStyle w:val="Zkladntext"/>
        <w:rPr>
          <w:rFonts w:ascii="Tahoma" w:hAnsi="Tahoma" w:cs="Tahoma"/>
          <w:sz w:val="24"/>
          <w:szCs w:val="24"/>
          <w:lang w:eastAsia="x-none"/>
        </w:rPr>
      </w:pPr>
      <w:r w:rsidRPr="00826D55">
        <w:rPr>
          <w:rFonts w:ascii="Tahoma" w:hAnsi="Tahoma" w:cs="Tahoma"/>
          <w:sz w:val="24"/>
          <w:szCs w:val="24"/>
          <w:lang w:eastAsia="x-none"/>
        </w:rPr>
        <w:t xml:space="preserve">Další vliv na zvýšení výdajů na samosprávné činnosti mají rovněž </w:t>
      </w:r>
      <w:r w:rsidR="008E7B37" w:rsidRPr="00826D55">
        <w:rPr>
          <w:rFonts w:ascii="Tahoma" w:hAnsi="Tahoma" w:cs="Tahoma"/>
          <w:sz w:val="24"/>
          <w:szCs w:val="24"/>
          <w:lang w:eastAsia="x-none"/>
        </w:rPr>
        <w:t>výdaje na udržitelnost projekt</w:t>
      </w:r>
      <w:r w:rsidR="00085260" w:rsidRPr="00826D55">
        <w:rPr>
          <w:rFonts w:ascii="Tahoma" w:hAnsi="Tahoma" w:cs="Tahoma"/>
          <w:sz w:val="24"/>
          <w:szCs w:val="24"/>
          <w:lang w:eastAsia="x-none"/>
        </w:rPr>
        <w:t xml:space="preserve">ů </w:t>
      </w:r>
      <w:r w:rsidR="00B4030D" w:rsidRPr="00826D55">
        <w:rPr>
          <w:rFonts w:ascii="Tahoma" w:hAnsi="Tahoma" w:cs="Tahoma"/>
          <w:sz w:val="24"/>
          <w:szCs w:val="24"/>
          <w:lang w:eastAsia="x-none"/>
        </w:rPr>
        <w:t>spolufinancovaných z evropských finančních zdrojů</w:t>
      </w:r>
      <w:r w:rsidRPr="00826D55">
        <w:rPr>
          <w:rFonts w:ascii="Tahoma" w:hAnsi="Tahoma" w:cs="Tahoma"/>
          <w:sz w:val="24"/>
          <w:szCs w:val="24"/>
          <w:lang w:eastAsia="x-none"/>
        </w:rPr>
        <w:t xml:space="preserve">. </w:t>
      </w:r>
      <w:r w:rsidR="00183A1E" w:rsidRPr="00826D55">
        <w:rPr>
          <w:rFonts w:ascii="Tahoma" w:hAnsi="Tahoma" w:cs="Tahoma"/>
          <w:sz w:val="24"/>
          <w:szCs w:val="24"/>
          <w:lang w:eastAsia="x-none"/>
        </w:rPr>
        <w:t>Výdaje, které vyplývají z</w:t>
      </w:r>
      <w:r w:rsidR="007A3B76" w:rsidRPr="00826D55">
        <w:rPr>
          <w:rFonts w:ascii="Tahoma" w:hAnsi="Tahoma" w:cs="Tahoma"/>
          <w:sz w:val="24"/>
          <w:szCs w:val="24"/>
          <w:lang w:eastAsia="x-none"/>
        </w:rPr>
        <w:t> </w:t>
      </w:r>
      <w:r w:rsidR="00183A1E" w:rsidRPr="00826D55">
        <w:rPr>
          <w:rFonts w:ascii="Tahoma" w:hAnsi="Tahoma" w:cs="Tahoma"/>
          <w:sz w:val="24"/>
          <w:szCs w:val="24"/>
          <w:lang w:eastAsia="x-none"/>
        </w:rPr>
        <w:t>akcí</w:t>
      </w:r>
      <w:r w:rsidR="007A3B76" w:rsidRPr="00826D55">
        <w:rPr>
          <w:rFonts w:ascii="Tahoma" w:hAnsi="Tahoma" w:cs="Tahoma"/>
          <w:sz w:val="24"/>
          <w:szCs w:val="24"/>
          <w:lang w:eastAsia="x-none"/>
        </w:rPr>
        <w:t xml:space="preserve"> spolufin</w:t>
      </w:r>
      <w:r w:rsidR="00C02CCE">
        <w:rPr>
          <w:rFonts w:ascii="Tahoma" w:hAnsi="Tahoma" w:cs="Tahoma"/>
          <w:sz w:val="24"/>
          <w:szCs w:val="24"/>
          <w:lang w:eastAsia="x-none"/>
        </w:rPr>
        <w:t>ancovaných</w:t>
      </w:r>
      <w:r w:rsidR="007A3B76" w:rsidRPr="00826D55">
        <w:rPr>
          <w:rFonts w:ascii="Tahoma" w:hAnsi="Tahoma" w:cs="Tahoma"/>
          <w:sz w:val="24"/>
          <w:szCs w:val="24"/>
          <w:lang w:eastAsia="x-none"/>
        </w:rPr>
        <w:t xml:space="preserve"> z</w:t>
      </w:r>
      <w:r w:rsidR="00C02CCE">
        <w:rPr>
          <w:rFonts w:ascii="Tahoma" w:hAnsi="Tahoma" w:cs="Tahoma"/>
          <w:sz w:val="24"/>
          <w:szCs w:val="24"/>
          <w:lang w:eastAsia="x-none"/>
        </w:rPr>
        <w:t> evropských finančních zdrojů</w:t>
      </w:r>
      <w:r w:rsidR="007A3B76" w:rsidRPr="00826D55">
        <w:rPr>
          <w:rFonts w:ascii="Tahoma" w:hAnsi="Tahoma" w:cs="Tahoma"/>
          <w:sz w:val="24"/>
          <w:szCs w:val="24"/>
          <w:lang w:eastAsia="x-none"/>
        </w:rPr>
        <w:t xml:space="preserve">, </w:t>
      </w:r>
      <w:r w:rsidR="00183A1E" w:rsidRPr="00826D55">
        <w:rPr>
          <w:rFonts w:ascii="Tahoma" w:hAnsi="Tahoma" w:cs="Tahoma"/>
          <w:sz w:val="24"/>
          <w:szCs w:val="24"/>
          <w:lang w:eastAsia="x-none"/>
        </w:rPr>
        <w:t xml:space="preserve">jsou </w:t>
      </w:r>
      <w:r w:rsidR="007A3B76" w:rsidRPr="00826D55">
        <w:rPr>
          <w:rFonts w:ascii="Tahoma" w:hAnsi="Tahoma" w:cs="Tahoma"/>
          <w:sz w:val="24"/>
          <w:szCs w:val="24"/>
          <w:lang w:eastAsia="x-none"/>
        </w:rPr>
        <w:t>vyčísleny</w:t>
      </w:r>
      <w:r w:rsidR="00183A1E" w:rsidRPr="00826D55">
        <w:rPr>
          <w:rFonts w:ascii="Tahoma" w:hAnsi="Tahoma" w:cs="Tahoma"/>
          <w:sz w:val="24"/>
          <w:szCs w:val="24"/>
          <w:lang w:eastAsia="x-none"/>
        </w:rPr>
        <w:t xml:space="preserve"> v</w:t>
      </w:r>
      <w:r w:rsidR="00E71F60" w:rsidRPr="00826D55">
        <w:rPr>
          <w:rFonts w:ascii="Tahoma" w:hAnsi="Tahoma" w:cs="Tahoma"/>
          <w:sz w:val="24"/>
          <w:szCs w:val="24"/>
          <w:lang w:eastAsia="x-none"/>
        </w:rPr>
        <w:t> tabulce č.</w:t>
      </w:r>
      <w:r w:rsidR="00C02CCE">
        <w:rPr>
          <w:rFonts w:ascii="Tahoma" w:hAnsi="Tahoma" w:cs="Tahoma"/>
          <w:sz w:val="24"/>
          <w:szCs w:val="24"/>
          <w:lang w:eastAsia="x-none"/>
        </w:rPr>
        <w:t> </w:t>
      </w:r>
      <w:r w:rsidR="00E71F60" w:rsidRPr="00826D55">
        <w:rPr>
          <w:rFonts w:ascii="Tahoma" w:hAnsi="Tahoma" w:cs="Tahoma"/>
          <w:sz w:val="24"/>
          <w:szCs w:val="24"/>
          <w:lang w:eastAsia="x-none"/>
        </w:rPr>
        <w:t>6</w:t>
      </w:r>
      <w:r w:rsidR="007466D0">
        <w:rPr>
          <w:rFonts w:ascii="Tahoma" w:hAnsi="Tahoma" w:cs="Tahoma"/>
          <w:sz w:val="24"/>
          <w:szCs w:val="24"/>
          <w:lang w:eastAsia="x-none"/>
        </w:rPr>
        <w:t> </w:t>
      </w:r>
      <w:r w:rsidR="00B81701" w:rsidRPr="00826D55">
        <w:rPr>
          <w:rFonts w:ascii="Tahoma" w:hAnsi="Tahoma" w:cs="Tahoma"/>
          <w:sz w:val="24"/>
          <w:szCs w:val="24"/>
          <w:lang w:eastAsia="x-none"/>
        </w:rPr>
        <w:t>Přehled</w:t>
      </w:r>
      <w:r w:rsidR="00B81701" w:rsidRPr="00826D55">
        <w:rPr>
          <w:rFonts w:ascii="Tahoma" w:hAnsi="Tahoma" w:cs="Tahoma"/>
          <w:sz w:val="24"/>
          <w:szCs w:val="24"/>
        </w:rPr>
        <w:t xml:space="preserve"> výdajů na zajištění udržitelnosti akcí spolufinancovaných z </w:t>
      </w:r>
      <w:r w:rsidR="00141089" w:rsidRPr="00826D55">
        <w:rPr>
          <w:rFonts w:ascii="Tahoma" w:hAnsi="Tahoma" w:cs="Tahoma"/>
          <w:sz w:val="24"/>
          <w:szCs w:val="24"/>
        </w:rPr>
        <w:t>e</w:t>
      </w:r>
      <w:r w:rsidR="00B81701" w:rsidRPr="00826D55">
        <w:rPr>
          <w:rFonts w:ascii="Tahoma" w:hAnsi="Tahoma" w:cs="Tahoma"/>
          <w:sz w:val="24"/>
          <w:szCs w:val="24"/>
        </w:rPr>
        <w:t>vropských finančních zdrojů</w:t>
      </w:r>
      <w:r w:rsidR="00C467F9" w:rsidRPr="00826D55">
        <w:rPr>
          <w:rFonts w:ascii="Tahoma" w:hAnsi="Tahoma" w:cs="Tahoma"/>
          <w:sz w:val="24"/>
          <w:szCs w:val="24"/>
        </w:rPr>
        <w:t xml:space="preserve"> </w:t>
      </w:r>
      <w:r w:rsidR="00C467F9" w:rsidRPr="00826D55">
        <w:rPr>
          <w:rFonts w:ascii="Tahoma" w:hAnsi="Tahoma" w:cs="Tahoma"/>
          <w:sz w:val="24"/>
          <w:szCs w:val="24"/>
          <w:lang w:eastAsia="x-none"/>
        </w:rPr>
        <w:t>(tabulková část výhledu</w:t>
      </w:r>
      <w:r w:rsidR="00C467F9" w:rsidRPr="004D06DE">
        <w:rPr>
          <w:rFonts w:ascii="Tahoma" w:hAnsi="Tahoma" w:cs="Tahoma"/>
          <w:sz w:val="24"/>
          <w:szCs w:val="24"/>
          <w:lang w:eastAsia="x-none"/>
        </w:rPr>
        <w:t>)</w:t>
      </w:r>
      <w:r w:rsidR="00141089" w:rsidRPr="004D06DE">
        <w:rPr>
          <w:rFonts w:ascii="Tahoma" w:hAnsi="Tahoma" w:cs="Tahoma"/>
          <w:sz w:val="24"/>
          <w:szCs w:val="24"/>
          <w:lang w:eastAsia="x-none"/>
        </w:rPr>
        <w:t xml:space="preserve">. </w:t>
      </w:r>
      <w:r w:rsidR="002C4745" w:rsidRPr="004D06DE">
        <w:rPr>
          <w:rFonts w:ascii="Tahoma" w:hAnsi="Tahoma" w:cs="Tahoma"/>
          <w:sz w:val="24"/>
          <w:szCs w:val="24"/>
          <w:lang w:eastAsia="x-none"/>
        </w:rPr>
        <w:t>L</w:t>
      </w:r>
      <w:r w:rsidR="00B4030D" w:rsidRPr="004D06DE">
        <w:rPr>
          <w:rFonts w:ascii="Tahoma" w:hAnsi="Tahoma" w:cs="Tahoma"/>
          <w:sz w:val="24"/>
          <w:szCs w:val="24"/>
          <w:lang w:eastAsia="x-none"/>
        </w:rPr>
        <w:t xml:space="preserve">ze očekávat, že </w:t>
      </w:r>
      <w:r w:rsidR="00425486" w:rsidRPr="004D06DE">
        <w:rPr>
          <w:rFonts w:ascii="Tahoma" w:hAnsi="Tahoma" w:cs="Tahoma"/>
          <w:sz w:val="24"/>
          <w:szCs w:val="24"/>
          <w:lang w:eastAsia="x-none"/>
        </w:rPr>
        <w:t>při</w:t>
      </w:r>
      <w:r w:rsidR="00A31263" w:rsidRPr="004D06DE">
        <w:rPr>
          <w:rFonts w:ascii="Tahoma" w:hAnsi="Tahoma" w:cs="Tahoma"/>
          <w:sz w:val="24"/>
          <w:szCs w:val="24"/>
          <w:lang w:eastAsia="x-none"/>
        </w:rPr>
        <w:t>b</w:t>
      </w:r>
      <w:r w:rsidR="00425486" w:rsidRPr="004D06DE">
        <w:rPr>
          <w:rFonts w:ascii="Tahoma" w:hAnsi="Tahoma" w:cs="Tahoma"/>
          <w:sz w:val="24"/>
          <w:szCs w:val="24"/>
          <w:lang w:eastAsia="x-none"/>
        </w:rPr>
        <w:t>y</w:t>
      </w:r>
      <w:r w:rsidR="00A31263" w:rsidRPr="004D06DE">
        <w:rPr>
          <w:rFonts w:ascii="Tahoma" w:hAnsi="Tahoma" w:cs="Tahoma"/>
          <w:sz w:val="24"/>
          <w:szCs w:val="24"/>
          <w:lang w:eastAsia="x-none"/>
        </w:rPr>
        <w:t xml:space="preserve">dou další </w:t>
      </w:r>
      <w:r w:rsidR="00B4030D" w:rsidRPr="004D06DE">
        <w:rPr>
          <w:rFonts w:ascii="Tahoma" w:hAnsi="Tahoma" w:cs="Tahoma"/>
          <w:sz w:val="24"/>
          <w:szCs w:val="24"/>
          <w:lang w:eastAsia="x-none"/>
        </w:rPr>
        <w:t xml:space="preserve">výdaje na udržitelnost projektů realizovaných v rámci </w:t>
      </w:r>
      <w:r w:rsidR="00B83906" w:rsidRPr="004D06DE">
        <w:rPr>
          <w:rFonts w:ascii="Tahoma" w:hAnsi="Tahoma" w:cs="Tahoma"/>
          <w:sz w:val="24"/>
          <w:szCs w:val="24"/>
          <w:lang w:eastAsia="x-none"/>
        </w:rPr>
        <w:t xml:space="preserve">nového </w:t>
      </w:r>
      <w:r w:rsidR="00B4030D" w:rsidRPr="004D06DE">
        <w:rPr>
          <w:rFonts w:ascii="Tahoma" w:hAnsi="Tahoma" w:cs="Tahoma"/>
          <w:sz w:val="24"/>
          <w:szCs w:val="24"/>
          <w:lang w:eastAsia="x-none"/>
        </w:rPr>
        <w:t xml:space="preserve">programového období </w:t>
      </w:r>
      <w:proofErr w:type="gramStart"/>
      <w:r w:rsidR="00B4030D" w:rsidRPr="004D06DE">
        <w:rPr>
          <w:rFonts w:ascii="Tahoma" w:hAnsi="Tahoma" w:cs="Tahoma"/>
          <w:sz w:val="24"/>
          <w:szCs w:val="24"/>
          <w:lang w:eastAsia="x-none"/>
        </w:rPr>
        <w:t>20</w:t>
      </w:r>
      <w:r w:rsidR="00B83906" w:rsidRPr="004D06DE">
        <w:rPr>
          <w:rFonts w:ascii="Tahoma" w:hAnsi="Tahoma" w:cs="Tahoma"/>
          <w:sz w:val="24"/>
          <w:szCs w:val="24"/>
          <w:lang w:eastAsia="x-none"/>
        </w:rPr>
        <w:t>2</w:t>
      </w:r>
      <w:r w:rsidR="00B4030D" w:rsidRPr="004D06DE">
        <w:rPr>
          <w:rFonts w:ascii="Tahoma" w:hAnsi="Tahoma" w:cs="Tahoma"/>
          <w:sz w:val="24"/>
          <w:szCs w:val="24"/>
          <w:lang w:eastAsia="x-none"/>
        </w:rPr>
        <w:t>1</w:t>
      </w:r>
      <w:r w:rsidR="004623F1" w:rsidRPr="004D06DE">
        <w:rPr>
          <w:rFonts w:ascii="Tahoma" w:hAnsi="Tahoma" w:cs="Tahoma"/>
          <w:sz w:val="24"/>
          <w:szCs w:val="24"/>
          <w:lang w:eastAsia="x-none"/>
        </w:rPr>
        <w:t> </w:t>
      </w:r>
      <w:r w:rsidR="004D19ED" w:rsidRPr="004D06DE">
        <w:rPr>
          <w:rFonts w:ascii="Tahoma" w:hAnsi="Tahoma" w:cs="Tahoma"/>
          <w:sz w:val="24"/>
          <w:szCs w:val="24"/>
          <w:lang w:eastAsia="x-none"/>
        </w:rPr>
        <w:t>–</w:t>
      </w:r>
      <w:r w:rsidR="004623F1" w:rsidRPr="004D06DE">
        <w:rPr>
          <w:rFonts w:ascii="Tahoma" w:hAnsi="Tahoma" w:cs="Tahoma"/>
          <w:sz w:val="24"/>
          <w:szCs w:val="24"/>
          <w:lang w:eastAsia="x-none"/>
        </w:rPr>
        <w:t> </w:t>
      </w:r>
      <w:r w:rsidR="00B4030D" w:rsidRPr="004D06DE">
        <w:rPr>
          <w:rFonts w:ascii="Tahoma" w:hAnsi="Tahoma" w:cs="Tahoma"/>
          <w:sz w:val="24"/>
          <w:szCs w:val="24"/>
          <w:lang w:eastAsia="x-none"/>
        </w:rPr>
        <w:t>202</w:t>
      </w:r>
      <w:r w:rsidR="00B83906" w:rsidRPr="004D06DE">
        <w:rPr>
          <w:rFonts w:ascii="Tahoma" w:hAnsi="Tahoma" w:cs="Tahoma"/>
          <w:sz w:val="24"/>
          <w:szCs w:val="24"/>
          <w:lang w:eastAsia="x-none"/>
        </w:rPr>
        <w:t>7</w:t>
      </w:r>
      <w:proofErr w:type="gramEnd"/>
      <w:r w:rsidR="00B4030D" w:rsidRPr="004D06DE">
        <w:rPr>
          <w:rFonts w:ascii="Tahoma" w:hAnsi="Tahoma" w:cs="Tahoma"/>
          <w:sz w:val="24"/>
          <w:szCs w:val="24"/>
          <w:lang w:eastAsia="x-none"/>
        </w:rPr>
        <w:t>.</w:t>
      </w:r>
      <w:r w:rsidR="00B4030D" w:rsidRPr="00826D55">
        <w:rPr>
          <w:rFonts w:ascii="Tahoma" w:hAnsi="Tahoma" w:cs="Tahoma"/>
          <w:sz w:val="24"/>
          <w:szCs w:val="24"/>
          <w:lang w:eastAsia="x-none"/>
        </w:rPr>
        <w:t xml:space="preserve">  </w:t>
      </w:r>
    </w:p>
    <w:p w14:paraId="376A1A6E" w14:textId="77777777" w:rsidR="00D26DA8" w:rsidRPr="00826D55" w:rsidRDefault="00D26DA8" w:rsidP="00E13877">
      <w:pPr>
        <w:pStyle w:val="Zkladntext"/>
        <w:rPr>
          <w:rFonts w:ascii="Tahoma" w:hAnsi="Tahoma" w:cs="Tahoma"/>
        </w:rPr>
      </w:pPr>
    </w:p>
    <w:p w14:paraId="641DA7DB" w14:textId="5993E23B" w:rsidR="007233DB" w:rsidRDefault="009F7F00" w:rsidP="002935C6">
      <w:pPr>
        <w:jc w:val="both"/>
        <w:rPr>
          <w:rFonts w:ascii="Tahoma" w:hAnsi="Tahoma" w:cs="Tahoma"/>
        </w:rPr>
      </w:pPr>
      <w:r w:rsidRPr="00DD4B5E">
        <w:rPr>
          <w:rFonts w:ascii="Tahoma" w:hAnsi="Tahoma" w:cs="Tahoma"/>
        </w:rPr>
        <w:t>Mezi samosprávné činnosti patří i vyhlašování dotačních programů</w:t>
      </w:r>
      <w:r w:rsidR="00C418C4" w:rsidRPr="00DD4B5E">
        <w:rPr>
          <w:rFonts w:ascii="Tahoma" w:hAnsi="Tahoma" w:cs="Tahoma"/>
        </w:rPr>
        <w:t xml:space="preserve"> a poskytování individuálních dotací. </w:t>
      </w:r>
      <w:r w:rsidR="002238D0" w:rsidRPr="00DD4B5E">
        <w:rPr>
          <w:rFonts w:ascii="Tahoma" w:hAnsi="Tahoma" w:cs="Tahoma"/>
        </w:rPr>
        <w:t>V</w:t>
      </w:r>
      <w:r w:rsidR="00E13877" w:rsidRPr="00DD4B5E">
        <w:rPr>
          <w:rFonts w:ascii="Tahoma" w:hAnsi="Tahoma" w:cs="Tahoma"/>
        </w:rPr>
        <w:t xml:space="preserve">e sledovaném období </w:t>
      </w:r>
      <w:r w:rsidR="00C94278" w:rsidRPr="00DD4B5E">
        <w:rPr>
          <w:rFonts w:ascii="Tahoma" w:hAnsi="Tahoma" w:cs="Tahoma"/>
        </w:rPr>
        <w:t xml:space="preserve">jsou </w:t>
      </w:r>
      <w:r w:rsidR="00E13877" w:rsidRPr="00DD4B5E">
        <w:rPr>
          <w:rFonts w:ascii="Tahoma" w:hAnsi="Tahoma" w:cs="Tahoma"/>
        </w:rPr>
        <w:t>výdaje</w:t>
      </w:r>
      <w:r w:rsidR="00C418C4" w:rsidRPr="00DD4B5E">
        <w:rPr>
          <w:rFonts w:ascii="Tahoma" w:hAnsi="Tahoma" w:cs="Tahoma"/>
        </w:rPr>
        <w:t xml:space="preserve"> na dotace výrazněji</w:t>
      </w:r>
      <w:r w:rsidR="008B7C79" w:rsidRPr="00DD4B5E">
        <w:rPr>
          <w:rFonts w:ascii="Tahoma" w:hAnsi="Tahoma" w:cs="Tahoma"/>
        </w:rPr>
        <w:t xml:space="preserve"> </w:t>
      </w:r>
      <w:proofErr w:type="gramStart"/>
      <w:r w:rsidR="008B7C79" w:rsidRPr="00DD4B5E">
        <w:rPr>
          <w:rFonts w:ascii="Tahoma" w:hAnsi="Tahoma" w:cs="Tahoma"/>
        </w:rPr>
        <w:t xml:space="preserve">omezeny </w:t>
      </w:r>
      <w:r w:rsidR="002238D0" w:rsidRPr="00DD4B5E">
        <w:rPr>
          <w:rFonts w:ascii="Tahoma" w:hAnsi="Tahoma" w:cs="Tahoma"/>
        </w:rPr>
        <w:t xml:space="preserve"> pouze</w:t>
      </w:r>
      <w:proofErr w:type="gramEnd"/>
      <w:r w:rsidR="002238D0" w:rsidRPr="00DD4B5E">
        <w:rPr>
          <w:rFonts w:ascii="Tahoma" w:hAnsi="Tahoma" w:cs="Tahoma"/>
        </w:rPr>
        <w:t xml:space="preserve"> na výdaje vyplývající ze schválených závazků u již realizovaných víceletých dotačních programů a dotačních programů </w:t>
      </w:r>
      <w:r w:rsidR="004E76B9" w:rsidRPr="00DD4B5E">
        <w:rPr>
          <w:rFonts w:ascii="Tahoma" w:hAnsi="Tahoma" w:cs="Tahoma"/>
        </w:rPr>
        <w:t>vázaných na konkrétní příjmy</w:t>
      </w:r>
      <w:r w:rsidR="00AB4582" w:rsidRPr="00DD4B5E">
        <w:rPr>
          <w:rFonts w:ascii="Tahoma" w:hAnsi="Tahoma" w:cs="Tahoma"/>
        </w:rPr>
        <w:t xml:space="preserve"> resp.</w:t>
      </w:r>
      <w:r w:rsidR="002F0E90" w:rsidRPr="00DD4B5E">
        <w:rPr>
          <w:rFonts w:ascii="Tahoma" w:hAnsi="Tahoma" w:cs="Tahoma"/>
        </w:rPr>
        <w:t xml:space="preserve"> které</w:t>
      </w:r>
      <w:r w:rsidR="00AB4582" w:rsidRPr="00DD4B5E">
        <w:rPr>
          <w:rFonts w:ascii="Tahoma" w:hAnsi="Tahoma" w:cs="Tahoma"/>
        </w:rPr>
        <w:t xml:space="preserve"> přešly na kraj v rámci přerozdělení sdílených daní.</w:t>
      </w:r>
    </w:p>
    <w:p w14:paraId="5D6B78E9" w14:textId="77777777" w:rsidR="007233DB" w:rsidRDefault="007233DB" w:rsidP="002935C6">
      <w:pPr>
        <w:jc w:val="both"/>
        <w:rPr>
          <w:rFonts w:ascii="Tahoma" w:hAnsi="Tahoma" w:cs="Tahoma"/>
        </w:rPr>
      </w:pPr>
    </w:p>
    <w:p w14:paraId="79E65A67"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Příspěvky na provoz příspěvkovým organizacím kraje</w:t>
      </w:r>
    </w:p>
    <w:p w14:paraId="79E65A68" w14:textId="77777777" w:rsidR="00200A7C" w:rsidRPr="00826D55" w:rsidRDefault="00200A7C" w:rsidP="00200A7C"/>
    <w:p w14:paraId="470C9823" w14:textId="175F88A8" w:rsidR="00E65DE4" w:rsidRDefault="00AE361B" w:rsidP="00BC5E9E">
      <w:pPr>
        <w:rPr>
          <w:rFonts w:ascii="Tahoma" w:hAnsi="Tahoma" w:cs="Tahoma"/>
          <w:sz w:val="16"/>
          <w:szCs w:val="16"/>
        </w:rPr>
      </w:pPr>
      <w:r w:rsidRPr="00826D55">
        <w:rPr>
          <w:rFonts w:ascii="Tahoma" w:hAnsi="Tahoma" w:cs="Tahoma"/>
          <w:sz w:val="16"/>
          <w:szCs w:val="16"/>
        </w:rPr>
        <w:t xml:space="preserve">Graf č. 9 Vývoj </w:t>
      </w:r>
      <w:r w:rsidR="007320C0" w:rsidRPr="00826D55">
        <w:rPr>
          <w:rFonts w:ascii="Tahoma" w:hAnsi="Tahoma" w:cs="Tahoma"/>
          <w:sz w:val="16"/>
          <w:szCs w:val="16"/>
        </w:rPr>
        <w:t xml:space="preserve">příspěvků na provoz příspěvkových organizací </w:t>
      </w:r>
      <w:r w:rsidR="00BC5E9E" w:rsidRPr="00826D55">
        <w:rPr>
          <w:rFonts w:ascii="Tahoma" w:hAnsi="Tahoma" w:cs="Tahoma"/>
          <w:sz w:val="16"/>
          <w:szCs w:val="16"/>
        </w:rPr>
        <w:t>(v mil. Kč)</w:t>
      </w:r>
    </w:p>
    <w:p w14:paraId="470A44C3" w14:textId="036AA962" w:rsidR="007406F7" w:rsidRDefault="007406F7" w:rsidP="00BC5E9E">
      <w:pPr>
        <w:rPr>
          <w:rFonts w:ascii="Tahoma" w:hAnsi="Tahoma" w:cs="Tahoma"/>
          <w:sz w:val="16"/>
          <w:szCs w:val="16"/>
        </w:rPr>
      </w:pPr>
      <w:r>
        <w:rPr>
          <w:rFonts w:ascii="Tahoma" w:hAnsi="Tahoma" w:cs="Tahoma"/>
          <w:noProof/>
          <w:sz w:val="16"/>
          <w:szCs w:val="16"/>
        </w:rPr>
        <w:drawing>
          <wp:inline distT="0" distB="0" distL="0" distR="0" wp14:anchorId="78BE9E40" wp14:editId="2C954911">
            <wp:extent cx="3581137" cy="2152650"/>
            <wp:effectExtent l="0" t="0" r="63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1871" cy="2159102"/>
                    </a:xfrm>
                    <a:prstGeom prst="rect">
                      <a:avLst/>
                    </a:prstGeom>
                    <a:noFill/>
                  </pic:spPr>
                </pic:pic>
              </a:graphicData>
            </a:graphic>
          </wp:inline>
        </w:drawing>
      </w:r>
    </w:p>
    <w:p w14:paraId="4DACC669" w14:textId="77777777" w:rsidR="007406F7" w:rsidRDefault="007406F7" w:rsidP="00BC5E9E">
      <w:pPr>
        <w:rPr>
          <w:rFonts w:ascii="Tahoma" w:hAnsi="Tahoma" w:cs="Tahoma"/>
          <w:sz w:val="16"/>
          <w:szCs w:val="16"/>
        </w:rPr>
      </w:pPr>
    </w:p>
    <w:p w14:paraId="79E65A6C" w14:textId="7620DA9A" w:rsidR="00FB3A28" w:rsidRPr="00826D55" w:rsidRDefault="00FB3A28" w:rsidP="00BC5E9E">
      <w:pPr>
        <w:rPr>
          <w:rFonts w:ascii="Tahoma" w:hAnsi="Tahoma" w:cs="Tahoma"/>
          <w:sz w:val="16"/>
          <w:szCs w:val="16"/>
        </w:rPr>
      </w:pPr>
    </w:p>
    <w:p w14:paraId="79E65A6E" w14:textId="43CEF5D5" w:rsidR="003C14B2" w:rsidRPr="00826D55" w:rsidRDefault="00360C61" w:rsidP="003C14B2">
      <w:pPr>
        <w:jc w:val="both"/>
        <w:rPr>
          <w:rFonts w:ascii="Tahoma" w:hAnsi="Tahoma" w:cs="Tahoma"/>
        </w:rPr>
      </w:pPr>
      <w:r w:rsidRPr="00826D55">
        <w:rPr>
          <w:rFonts w:ascii="Tahoma" w:hAnsi="Tahoma" w:cs="Tahoma"/>
        </w:rPr>
        <w:t xml:space="preserve">U výdajů, které </w:t>
      </w:r>
      <w:r w:rsidRPr="004502B8">
        <w:rPr>
          <w:rFonts w:ascii="Tahoma" w:hAnsi="Tahoma" w:cs="Tahoma"/>
        </w:rPr>
        <w:t>slouží k financování běžného provozu příspěvkových organizací, jejichž zřizovatelem je kraj</w:t>
      </w:r>
      <w:r w:rsidR="002B6425" w:rsidRPr="004502B8">
        <w:rPr>
          <w:rFonts w:ascii="Tahoma" w:hAnsi="Tahoma" w:cs="Tahoma"/>
        </w:rPr>
        <w:t>,</w:t>
      </w:r>
      <w:r w:rsidRPr="004502B8">
        <w:rPr>
          <w:rFonts w:ascii="Tahoma" w:hAnsi="Tahoma" w:cs="Tahoma"/>
        </w:rPr>
        <w:t xml:space="preserve"> </w:t>
      </w:r>
      <w:r w:rsidR="004716B8">
        <w:rPr>
          <w:rFonts w:ascii="Tahoma" w:hAnsi="Tahoma" w:cs="Tahoma"/>
        </w:rPr>
        <w:t xml:space="preserve">jsou příspěvky na provoz nastaveny na úrovni </w:t>
      </w:r>
      <w:r w:rsidR="0061783F">
        <w:rPr>
          <w:rFonts w:ascii="Tahoma" w:hAnsi="Tahoma" w:cs="Tahoma"/>
        </w:rPr>
        <w:t xml:space="preserve">příspěvku schváleném </w:t>
      </w:r>
      <w:r w:rsidR="006838BD">
        <w:rPr>
          <w:rFonts w:ascii="Tahoma" w:hAnsi="Tahoma" w:cs="Tahoma"/>
        </w:rPr>
        <w:t xml:space="preserve">organizacím pro rok 2021. </w:t>
      </w:r>
      <w:r w:rsidR="00542F28">
        <w:rPr>
          <w:rFonts w:ascii="Tahoma" w:hAnsi="Tahoma" w:cs="Tahoma"/>
        </w:rPr>
        <w:t xml:space="preserve">Z důvodu nepřesného </w:t>
      </w:r>
      <w:r w:rsidR="00A719A4">
        <w:rPr>
          <w:rFonts w:ascii="Tahoma" w:hAnsi="Tahoma" w:cs="Tahoma"/>
        </w:rPr>
        <w:t xml:space="preserve">predikování </w:t>
      </w:r>
      <w:r w:rsidR="00542F28">
        <w:rPr>
          <w:rFonts w:ascii="Tahoma" w:hAnsi="Tahoma" w:cs="Tahoma"/>
        </w:rPr>
        <w:t xml:space="preserve">není počítáno </w:t>
      </w:r>
      <w:proofErr w:type="gramStart"/>
      <w:r w:rsidR="00542F28">
        <w:rPr>
          <w:rFonts w:ascii="Tahoma" w:hAnsi="Tahoma" w:cs="Tahoma"/>
        </w:rPr>
        <w:t xml:space="preserve">s </w:t>
      </w:r>
      <w:r w:rsidR="006D28F4">
        <w:rPr>
          <w:rFonts w:ascii="Tahoma" w:hAnsi="Tahoma" w:cs="Tahoma"/>
        </w:rPr>
        <w:t xml:space="preserve"> růst</w:t>
      </w:r>
      <w:r w:rsidR="00542F28">
        <w:rPr>
          <w:rFonts w:ascii="Tahoma" w:hAnsi="Tahoma" w:cs="Tahoma"/>
        </w:rPr>
        <w:t>em</w:t>
      </w:r>
      <w:proofErr w:type="gramEnd"/>
      <w:r w:rsidR="006D28F4">
        <w:rPr>
          <w:rFonts w:ascii="Tahoma" w:hAnsi="Tahoma" w:cs="Tahoma"/>
        </w:rPr>
        <w:t xml:space="preserve"> cen energií a služeb</w:t>
      </w:r>
      <w:r w:rsidR="00542F28" w:rsidRPr="00DD4B5E">
        <w:rPr>
          <w:rFonts w:ascii="Tahoma" w:hAnsi="Tahoma" w:cs="Tahoma"/>
        </w:rPr>
        <w:t>.</w:t>
      </w:r>
      <w:r w:rsidR="006D28F4" w:rsidRPr="00DD4B5E">
        <w:rPr>
          <w:rFonts w:ascii="Tahoma" w:hAnsi="Tahoma" w:cs="Tahoma"/>
        </w:rPr>
        <w:t xml:space="preserve"> </w:t>
      </w:r>
      <w:r w:rsidR="00A719A4" w:rsidRPr="00DD4B5E">
        <w:rPr>
          <w:rFonts w:ascii="Tahoma" w:hAnsi="Tahoma" w:cs="Tahoma"/>
        </w:rPr>
        <w:t>Organizacím ale jsou z</w:t>
      </w:r>
      <w:r w:rsidR="0075702E" w:rsidRPr="00DD4B5E">
        <w:rPr>
          <w:rFonts w:ascii="Tahoma" w:hAnsi="Tahoma" w:cs="Tahoma"/>
        </w:rPr>
        <w:t>v</w:t>
      </w:r>
      <w:r w:rsidR="009830AD" w:rsidRPr="00DD4B5E">
        <w:rPr>
          <w:rFonts w:ascii="Tahoma" w:hAnsi="Tahoma" w:cs="Tahoma"/>
        </w:rPr>
        <w:t>y</w:t>
      </w:r>
      <w:r w:rsidR="0075702E" w:rsidRPr="00DD4B5E">
        <w:rPr>
          <w:rFonts w:ascii="Tahoma" w:hAnsi="Tahoma" w:cs="Tahoma"/>
        </w:rPr>
        <w:t>š</w:t>
      </w:r>
      <w:r w:rsidR="00A719A4" w:rsidRPr="00DD4B5E">
        <w:rPr>
          <w:rFonts w:ascii="Tahoma" w:hAnsi="Tahoma" w:cs="Tahoma"/>
        </w:rPr>
        <w:t xml:space="preserve">ovány </w:t>
      </w:r>
      <w:r w:rsidR="00153343" w:rsidRPr="00DD4B5E">
        <w:rPr>
          <w:rFonts w:ascii="Tahoma" w:hAnsi="Tahoma" w:cs="Tahoma"/>
        </w:rPr>
        <w:t xml:space="preserve">účelové </w:t>
      </w:r>
      <w:r w:rsidR="0075702E" w:rsidRPr="00DD4B5E">
        <w:rPr>
          <w:rFonts w:ascii="Tahoma" w:hAnsi="Tahoma" w:cs="Tahoma"/>
        </w:rPr>
        <w:t>příspěvky</w:t>
      </w:r>
      <w:r w:rsidR="00153343" w:rsidRPr="00DD4B5E">
        <w:rPr>
          <w:rFonts w:ascii="Tahoma" w:hAnsi="Tahoma" w:cs="Tahoma"/>
        </w:rPr>
        <w:t xml:space="preserve"> na provoz</w:t>
      </w:r>
      <w:r w:rsidR="00A719A4" w:rsidRPr="00DD4B5E">
        <w:rPr>
          <w:rFonts w:ascii="Tahoma" w:hAnsi="Tahoma" w:cs="Tahoma"/>
        </w:rPr>
        <w:t xml:space="preserve"> v souvislosti</w:t>
      </w:r>
      <w:r w:rsidRPr="00DD4B5E">
        <w:rPr>
          <w:rFonts w:ascii="Tahoma" w:hAnsi="Tahoma" w:cs="Tahoma"/>
        </w:rPr>
        <w:t xml:space="preserve"> s pořízením nového majetku za spoluúčasti evropských zdrojů</w:t>
      </w:r>
      <w:r w:rsidRPr="00952AD2">
        <w:rPr>
          <w:rFonts w:ascii="Tahoma" w:hAnsi="Tahoma" w:cs="Tahoma"/>
        </w:rPr>
        <w:t xml:space="preserve">. </w:t>
      </w:r>
      <w:r w:rsidR="00CE0924" w:rsidRPr="00952AD2">
        <w:rPr>
          <w:rFonts w:ascii="Tahoma" w:hAnsi="Tahoma" w:cs="Tahoma"/>
        </w:rPr>
        <w:t xml:space="preserve"> </w:t>
      </w:r>
      <w:r w:rsidRPr="00952AD2">
        <w:rPr>
          <w:rFonts w:ascii="Tahoma" w:hAnsi="Tahoma" w:cs="Tahoma"/>
        </w:rPr>
        <w:t>Více viz tabulka č.</w:t>
      </w:r>
      <w:r w:rsidR="00E71F60" w:rsidRPr="00952AD2">
        <w:rPr>
          <w:rFonts w:ascii="Tahoma" w:hAnsi="Tahoma" w:cs="Tahoma"/>
        </w:rPr>
        <w:t xml:space="preserve"> </w:t>
      </w:r>
      <w:r w:rsidR="00C467F9" w:rsidRPr="00952AD2">
        <w:rPr>
          <w:rFonts w:ascii="Tahoma" w:hAnsi="Tahoma" w:cs="Tahoma"/>
        </w:rPr>
        <w:t>6</w:t>
      </w:r>
      <w:r w:rsidRPr="00952AD2">
        <w:rPr>
          <w:rFonts w:ascii="Tahoma" w:hAnsi="Tahoma" w:cs="Tahoma"/>
        </w:rPr>
        <w:t xml:space="preserve"> Přehled výdajů</w:t>
      </w:r>
      <w:r w:rsidRPr="00826D55">
        <w:rPr>
          <w:rFonts w:ascii="Tahoma" w:hAnsi="Tahoma" w:cs="Tahoma"/>
        </w:rPr>
        <w:t xml:space="preserve"> na zajištění udržitelnosti akcí spolufinancovaných z evropských finančních zdrojů</w:t>
      </w:r>
      <w:r w:rsidR="00C467F9" w:rsidRPr="00826D55">
        <w:rPr>
          <w:rFonts w:ascii="Tahoma" w:hAnsi="Tahoma" w:cs="Tahoma"/>
        </w:rPr>
        <w:t xml:space="preserve"> (tabulková část výhledu)</w:t>
      </w:r>
      <w:r w:rsidRPr="00826D55">
        <w:rPr>
          <w:rFonts w:ascii="Tahoma" w:hAnsi="Tahoma" w:cs="Tahoma"/>
        </w:rPr>
        <w:t>.</w:t>
      </w:r>
      <w:r w:rsidR="00BB2C71">
        <w:rPr>
          <w:rFonts w:ascii="Tahoma" w:hAnsi="Tahoma" w:cs="Tahoma"/>
        </w:rPr>
        <w:t xml:space="preserve"> </w:t>
      </w:r>
      <w:r w:rsidR="00CB48A1" w:rsidRPr="00826D55">
        <w:rPr>
          <w:rFonts w:ascii="Tahoma" w:hAnsi="Tahoma" w:cs="Tahoma"/>
        </w:rPr>
        <w:t>Požadavek na navýšení příspěvku na provoz z titulu vyšších výdajů související s</w:t>
      </w:r>
      <w:r w:rsidR="000A5170" w:rsidRPr="00826D55">
        <w:rPr>
          <w:rFonts w:ascii="Tahoma" w:hAnsi="Tahoma" w:cs="Tahoma"/>
        </w:rPr>
        <w:t> </w:t>
      </w:r>
      <w:r w:rsidR="00CB48A1" w:rsidRPr="00826D55">
        <w:rPr>
          <w:rFonts w:ascii="Tahoma" w:hAnsi="Tahoma" w:cs="Tahoma"/>
        </w:rPr>
        <w:t xml:space="preserve">udržitelností projektu bude </w:t>
      </w:r>
      <w:r w:rsidR="002B6425" w:rsidRPr="00826D55">
        <w:rPr>
          <w:rFonts w:ascii="Tahoma" w:hAnsi="Tahoma" w:cs="Tahoma"/>
        </w:rPr>
        <w:t xml:space="preserve">vždy </w:t>
      </w:r>
      <w:r w:rsidR="00CB48A1" w:rsidRPr="00826D55">
        <w:rPr>
          <w:rFonts w:ascii="Tahoma" w:hAnsi="Tahoma" w:cs="Tahoma"/>
        </w:rPr>
        <w:t xml:space="preserve">řešen při přípravě rozpočtu kraje na daný kalendářní rok, a to na základě předloženého </w:t>
      </w:r>
      <w:r w:rsidR="003C14B2" w:rsidRPr="00826D55">
        <w:rPr>
          <w:rFonts w:ascii="Tahoma" w:hAnsi="Tahoma" w:cs="Tahoma"/>
        </w:rPr>
        <w:t>rozpočtu</w:t>
      </w:r>
      <w:r w:rsidR="00CB48A1" w:rsidRPr="00826D55">
        <w:rPr>
          <w:rFonts w:ascii="Tahoma" w:hAnsi="Tahoma" w:cs="Tahoma"/>
        </w:rPr>
        <w:t xml:space="preserve"> příslušné příspěvkové organizace.  </w:t>
      </w:r>
    </w:p>
    <w:p w14:paraId="79E65A6F" w14:textId="77777777" w:rsidR="000C0850" w:rsidRPr="00826D55" w:rsidRDefault="000C0850" w:rsidP="003C14B2">
      <w:pPr>
        <w:jc w:val="both"/>
        <w:rPr>
          <w:rFonts w:ascii="Tahoma" w:hAnsi="Tahoma" w:cs="Tahoma"/>
        </w:rPr>
      </w:pPr>
    </w:p>
    <w:p w14:paraId="79E65A70" w14:textId="7BB81AB5" w:rsidR="007B02D4" w:rsidRDefault="00CB48A1" w:rsidP="004502B8">
      <w:pPr>
        <w:jc w:val="both"/>
        <w:rPr>
          <w:rFonts w:ascii="Tahoma" w:hAnsi="Tahoma" w:cs="Tahoma"/>
        </w:rPr>
      </w:pPr>
      <w:r w:rsidRPr="00826D55">
        <w:rPr>
          <w:rFonts w:ascii="Tahoma" w:hAnsi="Tahoma" w:cs="Tahoma"/>
        </w:rPr>
        <w:t xml:space="preserve">Obdobně jako v posledních letech je do výhledu zařazena návratná finanční výpomoc pro </w:t>
      </w:r>
      <w:r w:rsidR="00F560F9" w:rsidRPr="00826D55">
        <w:rPr>
          <w:rFonts w:ascii="Tahoma" w:hAnsi="Tahoma" w:cs="Tahoma"/>
        </w:rPr>
        <w:t xml:space="preserve">organizace v odvětví </w:t>
      </w:r>
      <w:r w:rsidR="003C14B2" w:rsidRPr="00826D55">
        <w:rPr>
          <w:rFonts w:ascii="Tahoma" w:hAnsi="Tahoma" w:cs="Tahoma"/>
        </w:rPr>
        <w:t xml:space="preserve">sociálních věcí pro překlenutí </w:t>
      </w:r>
      <w:proofErr w:type="gramStart"/>
      <w:r w:rsidR="003C14B2" w:rsidRPr="00826D55">
        <w:rPr>
          <w:rFonts w:ascii="Tahoma" w:hAnsi="Tahoma" w:cs="Tahoma"/>
        </w:rPr>
        <w:t>období</w:t>
      </w:r>
      <w:proofErr w:type="gramEnd"/>
      <w:r w:rsidR="003C14B2" w:rsidRPr="00826D55">
        <w:rPr>
          <w:rFonts w:ascii="Tahoma" w:hAnsi="Tahoma" w:cs="Tahoma"/>
        </w:rPr>
        <w:t xml:space="preserve"> než kraj obdrží a rozdělí dotaci od Ministerstva práce a sociálních věcí.</w:t>
      </w:r>
      <w:r w:rsidR="00F560F9" w:rsidRPr="00826D55">
        <w:rPr>
          <w:rFonts w:ascii="Tahoma" w:hAnsi="Tahoma" w:cs="Tahoma"/>
        </w:rPr>
        <w:t xml:space="preserve"> </w:t>
      </w:r>
      <w:r w:rsidR="008E4D11" w:rsidRPr="00826D55">
        <w:rPr>
          <w:rFonts w:ascii="Tahoma" w:hAnsi="Tahoma" w:cs="Tahoma"/>
        </w:rPr>
        <w:t>V případě potřeby budou návratné finanční výpomoci poskytovány i ostatním příspěvkovým organizacím zejména pro</w:t>
      </w:r>
      <w:r w:rsidR="007466D0">
        <w:rPr>
          <w:rFonts w:ascii="Tahoma" w:hAnsi="Tahoma" w:cs="Tahoma"/>
        </w:rPr>
        <w:t> </w:t>
      </w:r>
      <w:r w:rsidR="00F560F9" w:rsidRPr="00826D55">
        <w:rPr>
          <w:rFonts w:ascii="Tahoma" w:hAnsi="Tahoma" w:cs="Tahoma"/>
        </w:rPr>
        <w:t xml:space="preserve">zajištění profinancování akcí spolufinancovaných z EU, které realizují přímo </w:t>
      </w:r>
      <w:r w:rsidR="008E4D11" w:rsidRPr="00826D55">
        <w:rPr>
          <w:rFonts w:ascii="Tahoma" w:hAnsi="Tahoma" w:cs="Tahoma"/>
        </w:rPr>
        <w:t>tyto organizace.</w:t>
      </w:r>
    </w:p>
    <w:p w14:paraId="79E65A71" w14:textId="77777777" w:rsidR="004502B8" w:rsidRPr="00826D55" w:rsidRDefault="004502B8" w:rsidP="004502B8">
      <w:pPr>
        <w:jc w:val="both"/>
        <w:rPr>
          <w:rFonts w:ascii="Tahoma" w:hAnsi="Tahoma" w:cs="Tahoma"/>
          <w:u w:val="single"/>
        </w:rPr>
      </w:pPr>
    </w:p>
    <w:p w14:paraId="79E65A72" w14:textId="77777777" w:rsidR="00141089" w:rsidRPr="00826D55" w:rsidRDefault="008E7B37" w:rsidP="00571045">
      <w:pPr>
        <w:jc w:val="both"/>
        <w:rPr>
          <w:rFonts w:ascii="Tahoma" w:hAnsi="Tahoma" w:cs="Tahoma"/>
        </w:rPr>
      </w:pPr>
      <w:r w:rsidRPr="00826D55">
        <w:rPr>
          <w:rFonts w:ascii="Tahoma" w:hAnsi="Tahoma" w:cs="Tahoma"/>
          <w:u w:val="single"/>
        </w:rPr>
        <w:t>Reprodukce majetku kraje</w:t>
      </w:r>
    </w:p>
    <w:p w14:paraId="79E65A73" w14:textId="77777777" w:rsidR="00B81701" w:rsidRPr="00826D55" w:rsidRDefault="00B81701" w:rsidP="00B81701"/>
    <w:p w14:paraId="79A2329F" w14:textId="34437C8D" w:rsidR="00C21827" w:rsidRDefault="00AE361B" w:rsidP="00E9669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10</w:t>
      </w:r>
      <w:r w:rsidRPr="00826D55">
        <w:rPr>
          <w:rFonts w:ascii="Tahoma" w:hAnsi="Tahoma" w:cs="Tahoma"/>
          <w:sz w:val="16"/>
          <w:szCs w:val="16"/>
        </w:rPr>
        <w:t xml:space="preserve"> Vývoj výdajů </w:t>
      </w:r>
      <w:r w:rsidR="007320C0" w:rsidRPr="00826D55">
        <w:rPr>
          <w:rFonts w:ascii="Tahoma" w:hAnsi="Tahoma" w:cs="Tahoma"/>
          <w:sz w:val="16"/>
          <w:szCs w:val="16"/>
        </w:rPr>
        <w:t xml:space="preserve">na reprodukci majetku kraje </w:t>
      </w:r>
      <w:r w:rsidR="00BC5E9E" w:rsidRPr="00826D55">
        <w:rPr>
          <w:rFonts w:ascii="Tahoma" w:hAnsi="Tahoma" w:cs="Tahoma"/>
          <w:sz w:val="16"/>
          <w:szCs w:val="16"/>
        </w:rPr>
        <w:t>(v mil. Kč)</w:t>
      </w:r>
    </w:p>
    <w:p w14:paraId="7D69BB87" w14:textId="6694C12B" w:rsidR="00C21827" w:rsidRDefault="00C21827" w:rsidP="00E96695">
      <w:pPr>
        <w:tabs>
          <w:tab w:val="right" w:pos="4962"/>
        </w:tabs>
        <w:rPr>
          <w:rFonts w:ascii="Tahoma" w:hAnsi="Tahoma" w:cs="Tahoma"/>
          <w:sz w:val="16"/>
          <w:szCs w:val="16"/>
        </w:rPr>
      </w:pPr>
      <w:r>
        <w:rPr>
          <w:rFonts w:ascii="Tahoma" w:hAnsi="Tahoma" w:cs="Tahoma"/>
          <w:noProof/>
          <w:sz w:val="16"/>
          <w:szCs w:val="16"/>
        </w:rPr>
        <w:drawing>
          <wp:inline distT="0" distB="0" distL="0" distR="0" wp14:anchorId="677844ED" wp14:editId="1D6D1E25">
            <wp:extent cx="3660366" cy="22002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0331" cy="2212276"/>
                    </a:xfrm>
                    <a:prstGeom prst="rect">
                      <a:avLst/>
                    </a:prstGeom>
                    <a:noFill/>
                  </pic:spPr>
                </pic:pic>
              </a:graphicData>
            </a:graphic>
          </wp:inline>
        </w:drawing>
      </w:r>
    </w:p>
    <w:p w14:paraId="71A15D2F" w14:textId="5680CF1B" w:rsidR="00C21827" w:rsidRDefault="00C21827" w:rsidP="00E96695">
      <w:pPr>
        <w:tabs>
          <w:tab w:val="right" w:pos="4962"/>
        </w:tabs>
        <w:rPr>
          <w:rFonts w:ascii="Tahoma" w:hAnsi="Tahoma" w:cs="Tahoma"/>
          <w:sz w:val="16"/>
          <w:szCs w:val="16"/>
        </w:rPr>
      </w:pPr>
    </w:p>
    <w:p w14:paraId="605FEBEC" w14:textId="77777777" w:rsidR="00C21827" w:rsidRDefault="00C21827" w:rsidP="00141089">
      <w:pPr>
        <w:jc w:val="both"/>
        <w:rPr>
          <w:rFonts w:ascii="Tahoma" w:hAnsi="Tahoma" w:cs="Tahoma"/>
        </w:rPr>
      </w:pPr>
    </w:p>
    <w:p w14:paraId="392E8125" w14:textId="1C0E0198" w:rsidR="000E714F" w:rsidRPr="00233545" w:rsidRDefault="008E7B37" w:rsidP="00141089">
      <w:pPr>
        <w:jc w:val="both"/>
        <w:rPr>
          <w:rFonts w:ascii="Tahoma" w:hAnsi="Tahoma" w:cs="Tahoma"/>
        </w:rPr>
      </w:pPr>
      <w:r w:rsidRPr="00826D55">
        <w:rPr>
          <w:rFonts w:ascii="Tahoma" w:hAnsi="Tahoma" w:cs="Tahoma"/>
        </w:rPr>
        <w:t xml:space="preserve">Výdaje na akce reprodukce majetku kraje, které nejsou spolufinancovány z evropských zdrojů, </w:t>
      </w:r>
      <w:r w:rsidR="00FF4581" w:rsidRPr="00826D55">
        <w:rPr>
          <w:rFonts w:ascii="Tahoma" w:hAnsi="Tahoma" w:cs="Tahoma"/>
        </w:rPr>
        <w:t xml:space="preserve">mají </w:t>
      </w:r>
      <w:r w:rsidRPr="00826D55">
        <w:rPr>
          <w:rFonts w:ascii="Tahoma" w:hAnsi="Tahoma" w:cs="Tahoma"/>
        </w:rPr>
        <w:t xml:space="preserve">v období </w:t>
      </w:r>
      <w:r w:rsidRPr="00233545">
        <w:rPr>
          <w:rFonts w:ascii="Tahoma" w:hAnsi="Tahoma" w:cs="Tahoma"/>
        </w:rPr>
        <w:t xml:space="preserve">výhledu </w:t>
      </w:r>
      <w:r w:rsidR="00D71DFD" w:rsidRPr="00233545">
        <w:rPr>
          <w:rFonts w:ascii="Tahoma" w:hAnsi="Tahoma" w:cs="Tahoma"/>
        </w:rPr>
        <w:t>značně nerovnoměrný vývoj</w:t>
      </w:r>
      <w:r w:rsidR="002E48F9" w:rsidRPr="00233545">
        <w:rPr>
          <w:rFonts w:ascii="Tahoma" w:hAnsi="Tahoma" w:cs="Tahoma"/>
        </w:rPr>
        <w:t>. O</w:t>
      </w:r>
      <w:r w:rsidR="00245444" w:rsidRPr="00233545">
        <w:rPr>
          <w:rFonts w:ascii="Tahoma" w:hAnsi="Tahoma" w:cs="Tahoma"/>
        </w:rPr>
        <w:t>bsahuj</w:t>
      </w:r>
      <w:r w:rsidR="008A516D" w:rsidRPr="00233545">
        <w:rPr>
          <w:rFonts w:ascii="Tahoma" w:hAnsi="Tahoma" w:cs="Tahoma"/>
        </w:rPr>
        <w:t>í</w:t>
      </w:r>
      <w:r w:rsidR="00245444" w:rsidRPr="00233545">
        <w:rPr>
          <w:rFonts w:ascii="Tahoma" w:hAnsi="Tahoma" w:cs="Tahoma"/>
        </w:rPr>
        <w:t xml:space="preserve"> </w:t>
      </w:r>
      <w:r w:rsidRPr="00233545">
        <w:rPr>
          <w:rFonts w:ascii="Tahoma" w:hAnsi="Tahoma" w:cs="Tahoma"/>
        </w:rPr>
        <w:t>závazky</w:t>
      </w:r>
      <w:r w:rsidR="00113299" w:rsidRPr="00233545">
        <w:rPr>
          <w:rFonts w:ascii="Tahoma" w:hAnsi="Tahoma" w:cs="Tahoma"/>
        </w:rPr>
        <w:t xml:space="preserve"> kraje</w:t>
      </w:r>
      <w:r w:rsidRPr="00233545">
        <w:rPr>
          <w:rFonts w:ascii="Tahoma" w:hAnsi="Tahoma" w:cs="Tahoma"/>
        </w:rPr>
        <w:t xml:space="preserve">, které činí v období výhledu </w:t>
      </w:r>
      <w:r w:rsidR="00E93221" w:rsidRPr="00233545">
        <w:rPr>
          <w:rFonts w:ascii="Tahoma" w:hAnsi="Tahoma" w:cs="Tahoma"/>
        </w:rPr>
        <w:t>2,</w:t>
      </w:r>
      <w:r w:rsidR="00952AD2" w:rsidRPr="00233545">
        <w:rPr>
          <w:rFonts w:ascii="Tahoma" w:hAnsi="Tahoma" w:cs="Tahoma"/>
        </w:rPr>
        <w:t>9</w:t>
      </w:r>
      <w:r w:rsidRPr="00233545">
        <w:rPr>
          <w:rFonts w:ascii="Tahoma" w:hAnsi="Tahoma" w:cs="Tahoma"/>
        </w:rPr>
        <w:t xml:space="preserve"> mld. Kč</w:t>
      </w:r>
      <w:r w:rsidR="008A516D" w:rsidRPr="00233545">
        <w:rPr>
          <w:rFonts w:ascii="Tahoma" w:hAnsi="Tahoma" w:cs="Tahoma"/>
        </w:rPr>
        <w:t xml:space="preserve"> – více viz </w:t>
      </w:r>
      <w:r w:rsidR="00E71F60" w:rsidRPr="00233545">
        <w:rPr>
          <w:rFonts w:ascii="Tahoma" w:hAnsi="Tahoma" w:cs="Tahoma"/>
        </w:rPr>
        <w:t xml:space="preserve">tabulka </w:t>
      </w:r>
      <w:r w:rsidR="008A516D" w:rsidRPr="00233545">
        <w:rPr>
          <w:rFonts w:ascii="Tahoma" w:hAnsi="Tahoma" w:cs="Tahoma"/>
        </w:rPr>
        <w:t>č.</w:t>
      </w:r>
      <w:r w:rsidR="00E71F60" w:rsidRPr="00233545">
        <w:rPr>
          <w:rFonts w:ascii="Tahoma" w:hAnsi="Tahoma" w:cs="Tahoma"/>
        </w:rPr>
        <w:t xml:space="preserve"> 4</w:t>
      </w:r>
      <w:r w:rsidR="00C467F9" w:rsidRPr="00233545">
        <w:rPr>
          <w:rFonts w:ascii="Tahoma" w:hAnsi="Tahoma" w:cs="Tahoma"/>
        </w:rPr>
        <w:t xml:space="preserve"> (tabulková část výhledu)</w:t>
      </w:r>
      <w:r w:rsidR="00E71F60" w:rsidRPr="00233545">
        <w:rPr>
          <w:rFonts w:ascii="Tahoma" w:hAnsi="Tahoma" w:cs="Tahoma"/>
        </w:rPr>
        <w:t>.</w:t>
      </w:r>
      <w:r w:rsidR="008A516D" w:rsidRPr="00233545">
        <w:rPr>
          <w:rFonts w:ascii="Tahoma" w:hAnsi="Tahoma" w:cs="Tahoma"/>
        </w:rPr>
        <w:t xml:space="preserve"> </w:t>
      </w:r>
      <w:r w:rsidR="00141089" w:rsidRPr="00233545">
        <w:rPr>
          <w:rFonts w:ascii="Tahoma" w:hAnsi="Tahoma" w:cs="Tahoma"/>
        </w:rPr>
        <w:t>J</w:t>
      </w:r>
      <w:r w:rsidR="00421D9F" w:rsidRPr="00233545">
        <w:rPr>
          <w:rFonts w:ascii="Tahoma" w:hAnsi="Tahoma" w:cs="Tahoma"/>
        </w:rPr>
        <w:t xml:space="preserve">sou </w:t>
      </w:r>
      <w:r w:rsidR="00141089" w:rsidRPr="00233545">
        <w:rPr>
          <w:rFonts w:ascii="Tahoma" w:hAnsi="Tahoma" w:cs="Tahoma"/>
        </w:rPr>
        <w:t>zde zařazen</w:t>
      </w:r>
      <w:r w:rsidR="00E93221" w:rsidRPr="00233545">
        <w:rPr>
          <w:rFonts w:ascii="Tahoma" w:hAnsi="Tahoma" w:cs="Tahoma"/>
        </w:rPr>
        <w:t xml:space="preserve">y </w:t>
      </w:r>
      <w:r w:rsidR="00141089" w:rsidRPr="00233545">
        <w:rPr>
          <w:rFonts w:ascii="Tahoma" w:hAnsi="Tahoma" w:cs="Tahoma"/>
        </w:rPr>
        <w:t>závazk</w:t>
      </w:r>
      <w:r w:rsidR="00E93221" w:rsidRPr="00233545">
        <w:rPr>
          <w:rFonts w:ascii="Tahoma" w:hAnsi="Tahoma" w:cs="Tahoma"/>
        </w:rPr>
        <w:t>y</w:t>
      </w:r>
      <w:r w:rsidR="00141089" w:rsidRPr="00233545">
        <w:rPr>
          <w:rFonts w:ascii="Tahoma" w:hAnsi="Tahoma" w:cs="Tahoma"/>
        </w:rPr>
        <w:t xml:space="preserve"> kraje dle </w:t>
      </w:r>
      <w:r w:rsidR="00E93221" w:rsidRPr="00233545">
        <w:rPr>
          <w:rFonts w:ascii="Tahoma" w:hAnsi="Tahoma" w:cs="Tahoma"/>
        </w:rPr>
        <w:t>uzavřených smluv</w:t>
      </w:r>
      <w:r w:rsidR="00663E48" w:rsidRPr="00233545">
        <w:rPr>
          <w:rFonts w:ascii="Tahoma" w:hAnsi="Tahoma" w:cs="Tahoma"/>
        </w:rPr>
        <w:t xml:space="preserve"> a </w:t>
      </w:r>
      <w:r w:rsidR="00113299" w:rsidRPr="00233545">
        <w:rPr>
          <w:rFonts w:ascii="Tahoma" w:hAnsi="Tahoma" w:cs="Tahoma"/>
        </w:rPr>
        <w:t xml:space="preserve">rovněž </w:t>
      </w:r>
      <w:r w:rsidR="00AF2E75" w:rsidRPr="00233545">
        <w:rPr>
          <w:rFonts w:ascii="Tahoma" w:hAnsi="Tahoma" w:cs="Tahoma"/>
        </w:rPr>
        <w:t xml:space="preserve">upravené </w:t>
      </w:r>
      <w:r w:rsidR="00564293" w:rsidRPr="00233545">
        <w:rPr>
          <w:rFonts w:ascii="Tahoma" w:hAnsi="Tahoma" w:cs="Tahoma"/>
        </w:rPr>
        <w:t>závazky kraje vyplývající z</w:t>
      </w:r>
      <w:r w:rsidR="00850223" w:rsidRPr="00233545">
        <w:rPr>
          <w:rFonts w:ascii="Tahoma" w:hAnsi="Tahoma" w:cs="Tahoma"/>
        </w:rPr>
        <w:t xml:space="preserve"> provedené </w:t>
      </w:r>
      <w:r w:rsidR="00564293" w:rsidRPr="00233545">
        <w:rPr>
          <w:rFonts w:ascii="Tahoma" w:hAnsi="Tahoma" w:cs="Tahoma"/>
        </w:rPr>
        <w:t xml:space="preserve">revize </w:t>
      </w:r>
      <w:r w:rsidR="00E10605" w:rsidRPr="00233545">
        <w:rPr>
          <w:rFonts w:ascii="Tahoma" w:hAnsi="Tahoma" w:cs="Tahoma"/>
        </w:rPr>
        <w:t>f</w:t>
      </w:r>
      <w:r w:rsidR="00393F7A" w:rsidRPr="00233545">
        <w:rPr>
          <w:rFonts w:ascii="Tahoma" w:hAnsi="Tahoma" w:cs="Tahoma"/>
        </w:rPr>
        <w:t xml:space="preserve">inancování akcí reprodukce majetku kraje na rok 2021, </w:t>
      </w:r>
      <w:r w:rsidR="0077382F" w:rsidRPr="00233545">
        <w:rPr>
          <w:rFonts w:ascii="Tahoma" w:hAnsi="Tahoma" w:cs="Tahoma"/>
        </w:rPr>
        <w:t xml:space="preserve">včetně </w:t>
      </w:r>
      <w:r w:rsidR="00393F7A" w:rsidRPr="00233545">
        <w:rPr>
          <w:rFonts w:ascii="Tahoma" w:hAnsi="Tahoma" w:cs="Tahoma"/>
        </w:rPr>
        <w:t>změn závazků kraje v dalších letech a změn financování akcí z úvěru od</w:t>
      </w:r>
      <w:r w:rsidR="007466D0">
        <w:rPr>
          <w:rFonts w:ascii="Tahoma" w:hAnsi="Tahoma" w:cs="Tahoma"/>
        </w:rPr>
        <w:t> </w:t>
      </w:r>
      <w:r w:rsidR="00393F7A" w:rsidRPr="00233545">
        <w:rPr>
          <w:rFonts w:ascii="Tahoma" w:hAnsi="Tahoma" w:cs="Tahoma"/>
        </w:rPr>
        <w:t>České spořitelny, a. s.</w:t>
      </w:r>
      <w:r w:rsidR="00A5657D" w:rsidRPr="00233545">
        <w:rPr>
          <w:rFonts w:ascii="Tahoma" w:hAnsi="Tahoma" w:cs="Tahoma"/>
        </w:rPr>
        <w:t xml:space="preserve"> </w:t>
      </w:r>
    </w:p>
    <w:p w14:paraId="25005BC7" w14:textId="77777777" w:rsidR="000E714F" w:rsidRPr="00233545" w:rsidRDefault="000E714F" w:rsidP="00141089">
      <w:pPr>
        <w:jc w:val="both"/>
        <w:rPr>
          <w:rFonts w:ascii="Tahoma" w:hAnsi="Tahoma" w:cs="Tahoma"/>
        </w:rPr>
      </w:pPr>
    </w:p>
    <w:p w14:paraId="43F06622" w14:textId="3EF433DB" w:rsidR="00B828D0" w:rsidRPr="00233545" w:rsidRDefault="00141089" w:rsidP="00702AC1">
      <w:pPr>
        <w:jc w:val="both"/>
        <w:rPr>
          <w:rFonts w:ascii="Tahoma" w:hAnsi="Tahoma" w:cs="Tahoma"/>
        </w:rPr>
      </w:pPr>
      <w:r w:rsidRPr="00233545">
        <w:rPr>
          <w:rFonts w:ascii="Tahoma" w:hAnsi="Tahoma" w:cs="Tahoma"/>
        </w:rPr>
        <w:t xml:space="preserve">Výhled </w:t>
      </w:r>
      <w:r w:rsidR="002E48F9" w:rsidRPr="00233545">
        <w:rPr>
          <w:rFonts w:ascii="Tahoma" w:hAnsi="Tahoma" w:cs="Tahoma"/>
        </w:rPr>
        <w:t>umožní realizac</w:t>
      </w:r>
      <w:r w:rsidRPr="00233545">
        <w:rPr>
          <w:rFonts w:ascii="Tahoma" w:hAnsi="Tahoma" w:cs="Tahoma"/>
        </w:rPr>
        <w:t>i</w:t>
      </w:r>
      <w:r w:rsidR="002E48F9" w:rsidRPr="00233545">
        <w:rPr>
          <w:rFonts w:ascii="Tahoma" w:hAnsi="Tahoma" w:cs="Tahoma"/>
        </w:rPr>
        <w:t xml:space="preserve"> nových investičních akcí</w:t>
      </w:r>
      <w:r w:rsidR="00DF28FC" w:rsidRPr="00233545">
        <w:rPr>
          <w:rFonts w:ascii="Tahoma" w:hAnsi="Tahoma" w:cs="Tahoma"/>
        </w:rPr>
        <w:t xml:space="preserve"> v rámci nespecifikovaných výdajů (1,5</w:t>
      </w:r>
      <w:r w:rsidR="007466D0">
        <w:rPr>
          <w:rFonts w:ascii="Tahoma" w:hAnsi="Tahoma" w:cs="Tahoma"/>
        </w:rPr>
        <w:t> </w:t>
      </w:r>
      <w:r w:rsidR="00DF28FC" w:rsidRPr="00233545">
        <w:rPr>
          <w:rFonts w:ascii="Tahoma" w:hAnsi="Tahoma" w:cs="Tahoma"/>
        </w:rPr>
        <w:t>mld. Kč)</w:t>
      </w:r>
      <w:r w:rsidR="002E48F9" w:rsidRPr="00233545">
        <w:rPr>
          <w:rFonts w:ascii="Tahoma" w:hAnsi="Tahoma" w:cs="Tahoma"/>
        </w:rPr>
        <w:t>. Jejich z</w:t>
      </w:r>
      <w:r w:rsidR="008E7B37" w:rsidRPr="00233545">
        <w:rPr>
          <w:rFonts w:ascii="Tahoma" w:hAnsi="Tahoma" w:cs="Tahoma"/>
        </w:rPr>
        <w:t xml:space="preserve">ahajování </w:t>
      </w:r>
      <w:r w:rsidR="002E48F9" w:rsidRPr="00233545">
        <w:rPr>
          <w:rFonts w:ascii="Tahoma" w:hAnsi="Tahoma" w:cs="Tahoma"/>
        </w:rPr>
        <w:t xml:space="preserve">ale </w:t>
      </w:r>
      <w:r w:rsidR="00245444" w:rsidRPr="00233545">
        <w:rPr>
          <w:rFonts w:ascii="Tahoma" w:hAnsi="Tahoma" w:cs="Tahoma"/>
        </w:rPr>
        <w:t>významně ovlivní p</w:t>
      </w:r>
      <w:r w:rsidR="008E7B37" w:rsidRPr="00233545">
        <w:rPr>
          <w:rFonts w:ascii="Tahoma" w:hAnsi="Tahoma" w:cs="Tahoma"/>
        </w:rPr>
        <w:t>odobně jako v</w:t>
      </w:r>
      <w:r w:rsidR="008A516D" w:rsidRPr="00233545">
        <w:rPr>
          <w:rFonts w:ascii="Tahoma" w:hAnsi="Tahoma" w:cs="Tahoma"/>
        </w:rPr>
        <w:t> </w:t>
      </w:r>
      <w:r w:rsidR="008E7B37" w:rsidRPr="00233545">
        <w:rPr>
          <w:rFonts w:ascii="Tahoma" w:hAnsi="Tahoma" w:cs="Tahoma"/>
        </w:rPr>
        <w:t>minul</w:t>
      </w:r>
      <w:r w:rsidR="008A516D" w:rsidRPr="00233545">
        <w:rPr>
          <w:rFonts w:ascii="Tahoma" w:hAnsi="Tahoma" w:cs="Tahoma"/>
        </w:rPr>
        <w:t xml:space="preserve">ých letech </w:t>
      </w:r>
      <w:r w:rsidR="00285C70" w:rsidRPr="00233545">
        <w:rPr>
          <w:rFonts w:ascii="Tahoma" w:hAnsi="Tahoma" w:cs="Tahoma"/>
        </w:rPr>
        <w:t xml:space="preserve">možnost </w:t>
      </w:r>
      <w:r w:rsidR="008E7B37" w:rsidRPr="00233545">
        <w:rPr>
          <w:rFonts w:ascii="Tahoma" w:hAnsi="Tahoma" w:cs="Tahoma"/>
        </w:rPr>
        <w:t>spolufinancov</w:t>
      </w:r>
      <w:r w:rsidR="00245444" w:rsidRPr="00233545">
        <w:rPr>
          <w:rFonts w:ascii="Tahoma" w:hAnsi="Tahoma" w:cs="Tahoma"/>
        </w:rPr>
        <w:t>ání z evropských finančních zdrojů</w:t>
      </w:r>
      <w:r w:rsidR="00C02CCE" w:rsidRPr="00233545">
        <w:rPr>
          <w:rFonts w:ascii="Tahoma" w:hAnsi="Tahoma" w:cs="Tahoma"/>
        </w:rPr>
        <w:t>,</w:t>
      </w:r>
      <w:r w:rsidR="008A516D" w:rsidRPr="00233545">
        <w:rPr>
          <w:rFonts w:ascii="Tahoma" w:hAnsi="Tahoma" w:cs="Tahoma"/>
        </w:rPr>
        <w:t xml:space="preserve"> příp. z jiných zdrojů. </w:t>
      </w:r>
    </w:p>
    <w:p w14:paraId="0662772F" w14:textId="77777777" w:rsidR="00B828D0" w:rsidRPr="00233545" w:rsidRDefault="00B828D0" w:rsidP="00702AC1">
      <w:pPr>
        <w:jc w:val="both"/>
        <w:rPr>
          <w:rFonts w:ascii="Tahoma" w:hAnsi="Tahoma" w:cs="Tahoma"/>
        </w:rPr>
      </w:pPr>
    </w:p>
    <w:p w14:paraId="64997430" w14:textId="716EBD84" w:rsidR="00D26DA8" w:rsidRDefault="00F0215B" w:rsidP="00702AC1">
      <w:pPr>
        <w:jc w:val="both"/>
        <w:rPr>
          <w:rFonts w:ascii="Tahoma" w:hAnsi="Tahoma" w:cs="Tahoma"/>
        </w:rPr>
      </w:pPr>
      <w:r w:rsidRPr="00233545">
        <w:rPr>
          <w:rFonts w:ascii="Tahoma" w:hAnsi="Tahoma" w:cs="Tahoma"/>
        </w:rPr>
        <w:t>Jedním z</w:t>
      </w:r>
      <w:r w:rsidR="00E615E4" w:rsidRPr="00233545">
        <w:rPr>
          <w:rFonts w:ascii="Tahoma" w:hAnsi="Tahoma" w:cs="Tahoma"/>
        </w:rPr>
        <w:t xml:space="preserve"> dalších </w:t>
      </w:r>
      <w:r w:rsidRPr="00233545">
        <w:rPr>
          <w:rFonts w:ascii="Tahoma" w:hAnsi="Tahoma" w:cs="Tahoma"/>
        </w:rPr>
        <w:t xml:space="preserve">zdrojů pro realizaci akcí reprodukce majetku kraje </w:t>
      </w:r>
      <w:r w:rsidR="00E615E4" w:rsidRPr="00233545">
        <w:rPr>
          <w:rFonts w:ascii="Tahoma" w:hAnsi="Tahoma" w:cs="Tahoma"/>
        </w:rPr>
        <w:t>bude</w:t>
      </w:r>
      <w:r w:rsidRPr="00233545">
        <w:rPr>
          <w:rFonts w:ascii="Tahoma" w:hAnsi="Tahoma" w:cs="Tahoma"/>
        </w:rPr>
        <w:t xml:space="preserve"> Fond pro</w:t>
      </w:r>
      <w:r w:rsidR="007466D0">
        <w:rPr>
          <w:rFonts w:ascii="Tahoma" w:hAnsi="Tahoma" w:cs="Tahoma"/>
        </w:rPr>
        <w:t> </w:t>
      </w:r>
      <w:r w:rsidRPr="00233545">
        <w:rPr>
          <w:rFonts w:ascii="Tahoma" w:hAnsi="Tahoma" w:cs="Tahoma"/>
        </w:rPr>
        <w:t>financování strategických projektů Moravskoslezského kraje, který byl zřízen usnesením zastupitelstva kraje č. 4/262 ze dne 15. 6. 2017. Účelem tohoto fondu je financování významných investičních projektů kraje, případně i</w:t>
      </w:r>
      <w:r w:rsidR="00E14D6B" w:rsidRPr="00233545">
        <w:rPr>
          <w:rFonts w:ascii="Tahoma" w:hAnsi="Tahoma" w:cs="Tahoma"/>
        </w:rPr>
        <w:t> </w:t>
      </w:r>
      <w:r w:rsidRPr="00233545">
        <w:rPr>
          <w:rFonts w:ascii="Tahoma" w:hAnsi="Tahoma" w:cs="Tahoma"/>
        </w:rPr>
        <w:t>předfinancování národního či evropského podílu těchto významných investičních projektů. Ve</w:t>
      </w:r>
      <w:r w:rsidR="007466D0">
        <w:rPr>
          <w:rFonts w:ascii="Tahoma" w:hAnsi="Tahoma" w:cs="Tahoma"/>
        </w:rPr>
        <w:t> </w:t>
      </w:r>
      <w:r w:rsidRPr="00233545">
        <w:rPr>
          <w:rFonts w:ascii="Tahoma" w:hAnsi="Tahoma" w:cs="Tahoma"/>
        </w:rPr>
        <w:t xml:space="preserve">sledovaném období je </w:t>
      </w:r>
      <w:r w:rsidR="00874227" w:rsidRPr="00233545">
        <w:rPr>
          <w:rFonts w:ascii="Tahoma" w:hAnsi="Tahoma" w:cs="Tahoma"/>
        </w:rPr>
        <w:t xml:space="preserve">navrženo jej </w:t>
      </w:r>
      <w:r w:rsidRPr="00233545">
        <w:rPr>
          <w:rFonts w:ascii="Tahoma" w:hAnsi="Tahoma" w:cs="Tahoma"/>
        </w:rPr>
        <w:t>použ</w:t>
      </w:r>
      <w:r w:rsidR="00874227" w:rsidRPr="00233545">
        <w:rPr>
          <w:rFonts w:ascii="Tahoma" w:hAnsi="Tahoma" w:cs="Tahoma"/>
        </w:rPr>
        <w:t>í</w:t>
      </w:r>
      <w:r w:rsidRPr="00233545">
        <w:rPr>
          <w:rFonts w:ascii="Tahoma" w:hAnsi="Tahoma" w:cs="Tahoma"/>
        </w:rPr>
        <w:t>t</w:t>
      </w:r>
      <w:r w:rsidR="00874227" w:rsidRPr="00233545">
        <w:rPr>
          <w:rFonts w:ascii="Tahoma" w:hAnsi="Tahoma" w:cs="Tahoma"/>
        </w:rPr>
        <w:t xml:space="preserve"> ve výš</w:t>
      </w:r>
      <w:r w:rsidR="00A5657D" w:rsidRPr="00233545">
        <w:rPr>
          <w:rFonts w:ascii="Tahoma" w:hAnsi="Tahoma" w:cs="Tahoma"/>
        </w:rPr>
        <w:t>i</w:t>
      </w:r>
      <w:r w:rsidR="00874227" w:rsidRPr="00233545">
        <w:rPr>
          <w:rFonts w:ascii="Tahoma" w:hAnsi="Tahoma" w:cs="Tahoma"/>
        </w:rPr>
        <w:t xml:space="preserve"> 2</w:t>
      </w:r>
      <w:r w:rsidR="00C21827">
        <w:rPr>
          <w:rFonts w:ascii="Tahoma" w:hAnsi="Tahoma" w:cs="Tahoma"/>
        </w:rPr>
        <w:t>83</w:t>
      </w:r>
      <w:r w:rsidR="00874227" w:rsidRPr="00233545">
        <w:rPr>
          <w:rFonts w:ascii="Tahoma" w:hAnsi="Tahoma" w:cs="Tahoma"/>
        </w:rPr>
        <w:t xml:space="preserve"> mil. Kč</w:t>
      </w:r>
      <w:r w:rsidRPr="00233545">
        <w:rPr>
          <w:rFonts w:ascii="Tahoma" w:hAnsi="Tahoma" w:cs="Tahoma"/>
        </w:rPr>
        <w:t>.</w:t>
      </w:r>
      <w:r w:rsidR="00702AC1">
        <w:rPr>
          <w:rFonts w:ascii="Tahoma" w:hAnsi="Tahoma" w:cs="Tahoma"/>
        </w:rPr>
        <w:t xml:space="preserve"> </w:t>
      </w:r>
    </w:p>
    <w:p w14:paraId="4043AFE5" w14:textId="77777777" w:rsidR="00D26DA8" w:rsidRDefault="00D26DA8" w:rsidP="00702AC1">
      <w:pPr>
        <w:jc w:val="both"/>
        <w:rPr>
          <w:rFonts w:ascii="Tahoma" w:hAnsi="Tahoma" w:cs="Tahoma"/>
        </w:rPr>
      </w:pPr>
    </w:p>
    <w:p w14:paraId="42314FCC" w14:textId="6E0B3D83" w:rsidR="00702AC1" w:rsidRDefault="00702AC1" w:rsidP="00702AC1">
      <w:pPr>
        <w:jc w:val="both"/>
        <w:rPr>
          <w:rFonts w:ascii="Tahoma" w:hAnsi="Tahoma" w:cs="Tahoma"/>
        </w:rPr>
      </w:pPr>
      <w:r w:rsidRPr="0007331E">
        <w:rPr>
          <w:rFonts w:ascii="Tahoma" w:hAnsi="Tahoma" w:cs="Tahoma"/>
        </w:rPr>
        <w:t>V případech vzniku havárií na majetku kraje bude možné využít Zajišťovací fond kraje.</w:t>
      </w:r>
      <w:r w:rsidRPr="00826D55">
        <w:rPr>
          <w:rFonts w:ascii="Tahoma" w:hAnsi="Tahoma" w:cs="Tahoma"/>
        </w:rPr>
        <w:t xml:space="preserve">  </w:t>
      </w:r>
    </w:p>
    <w:p w14:paraId="338951A4" w14:textId="360DC104" w:rsidR="004F0EDD" w:rsidRDefault="004F0EDD" w:rsidP="00702AC1">
      <w:pPr>
        <w:jc w:val="both"/>
        <w:rPr>
          <w:rFonts w:ascii="Tahoma" w:hAnsi="Tahoma" w:cs="Tahoma"/>
        </w:rPr>
      </w:pPr>
    </w:p>
    <w:p w14:paraId="48B29862" w14:textId="068CD0F4" w:rsidR="004F0EDD" w:rsidRDefault="004F0EDD" w:rsidP="00702AC1">
      <w:pPr>
        <w:jc w:val="both"/>
        <w:rPr>
          <w:rFonts w:ascii="Tahoma" w:hAnsi="Tahoma" w:cs="Tahoma"/>
        </w:rPr>
      </w:pPr>
    </w:p>
    <w:p w14:paraId="6338E2F3" w14:textId="18677AF7" w:rsidR="004F0EDD" w:rsidRDefault="004F0EDD" w:rsidP="00702AC1">
      <w:pPr>
        <w:jc w:val="both"/>
        <w:rPr>
          <w:rFonts w:ascii="Tahoma" w:hAnsi="Tahoma" w:cs="Tahoma"/>
        </w:rPr>
      </w:pPr>
    </w:p>
    <w:p w14:paraId="54E524C7" w14:textId="75C0D855" w:rsidR="004F0EDD" w:rsidRDefault="004F0EDD" w:rsidP="00702AC1">
      <w:pPr>
        <w:jc w:val="both"/>
        <w:rPr>
          <w:rFonts w:ascii="Tahoma" w:hAnsi="Tahoma" w:cs="Tahoma"/>
        </w:rPr>
      </w:pPr>
    </w:p>
    <w:p w14:paraId="02382041" w14:textId="3E3A1C54" w:rsidR="004F0EDD" w:rsidRDefault="004F0EDD" w:rsidP="00702AC1">
      <w:pPr>
        <w:jc w:val="both"/>
        <w:rPr>
          <w:rFonts w:ascii="Tahoma" w:hAnsi="Tahoma" w:cs="Tahoma"/>
        </w:rPr>
      </w:pPr>
    </w:p>
    <w:p w14:paraId="565D9DA1" w14:textId="60751589" w:rsidR="004F0EDD" w:rsidRDefault="004F0EDD" w:rsidP="00702AC1">
      <w:pPr>
        <w:jc w:val="both"/>
        <w:rPr>
          <w:rFonts w:ascii="Tahoma" w:hAnsi="Tahoma" w:cs="Tahoma"/>
        </w:rPr>
      </w:pPr>
    </w:p>
    <w:p w14:paraId="79E65A7E" w14:textId="77777777" w:rsidR="008E7B37" w:rsidRPr="00826D55" w:rsidRDefault="008E7B37" w:rsidP="00922B9D">
      <w:pPr>
        <w:pStyle w:val="Nadpis4"/>
        <w:rPr>
          <w:rFonts w:ascii="Tahoma" w:hAnsi="Tahoma" w:cs="Tahoma"/>
          <w:sz w:val="24"/>
          <w:szCs w:val="24"/>
        </w:rPr>
      </w:pPr>
      <w:r w:rsidRPr="00826D55">
        <w:rPr>
          <w:rFonts w:ascii="Tahoma" w:hAnsi="Tahoma" w:cs="Tahoma"/>
          <w:sz w:val="24"/>
          <w:szCs w:val="24"/>
        </w:rPr>
        <w:t>Akce spolufinancované z evropských finančních zdrojů</w:t>
      </w:r>
    </w:p>
    <w:p w14:paraId="79E65A7F" w14:textId="77777777" w:rsidR="00AE361B" w:rsidRPr="00826D55" w:rsidRDefault="00AE361B" w:rsidP="00AE361B"/>
    <w:p w14:paraId="629D69FF" w14:textId="7E2A3BEB" w:rsidR="007406F7" w:rsidRDefault="00AE361B" w:rsidP="00CA1D8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11</w:t>
      </w:r>
      <w:r w:rsidRPr="00826D55">
        <w:rPr>
          <w:rFonts w:ascii="Tahoma" w:hAnsi="Tahoma" w:cs="Tahoma"/>
          <w:sz w:val="16"/>
          <w:szCs w:val="16"/>
        </w:rPr>
        <w:t xml:space="preserve"> Vývoj výdajů </w:t>
      </w:r>
      <w:r w:rsidR="007320C0" w:rsidRPr="00826D55">
        <w:rPr>
          <w:rFonts w:ascii="Tahoma" w:hAnsi="Tahoma" w:cs="Tahoma"/>
          <w:sz w:val="16"/>
          <w:szCs w:val="16"/>
        </w:rPr>
        <w:t>na akce spolufinancované</w:t>
      </w:r>
      <w:r w:rsidR="00BC5E9E" w:rsidRPr="00826D55">
        <w:rPr>
          <w:rFonts w:ascii="Tahoma" w:hAnsi="Tahoma" w:cs="Tahoma"/>
          <w:sz w:val="16"/>
          <w:szCs w:val="16"/>
        </w:rPr>
        <w:t xml:space="preserve"> z evropských finančních zdrojů (v mil. Kč)</w:t>
      </w:r>
    </w:p>
    <w:p w14:paraId="35499557" w14:textId="6A4EA560" w:rsidR="00C21827" w:rsidRDefault="00C21827" w:rsidP="00CA1D85">
      <w:pPr>
        <w:tabs>
          <w:tab w:val="right" w:pos="4962"/>
        </w:tabs>
        <w:rPr>
          <w:rFonts w:ascii="Tahoma" w:hAnsi="Tahoma" w:cs="Tahoma"/>
          <w:sz w:val="16"/>
          <w:szCs w:val="16"/>
        </w:rPr>
      </w:pPr>
      <w:r>
        <w:rPr>
          <w:rFonts w:ascii="Tahoma" w:hAnsi="Tahoma" w:cs="Tahoma"/>
          <w:noProof/>
          <w:sz w:val="16"/>
          <w:szCs w:val="16"/>
        </w:rPr>
        <w:drawing>
          <wp:inline distT="0" distB="0" distL="0" distR="0" wp14:anchorId="3625430B" wp14:editId="4F5A0DFA">
            <wp:extent cx="3612828" cy="2171700"/>
            <wp:effectExtent l="0" t="0" r="698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25359" cy="2179233"/>
                    </a:xfrm>
                    <a:prstGeom prst="rect">
                      <a:avLst/>
                    </a:prstGeom>
                    <a:noFill/>
                  </pic:spPr>
                </pic:pic>
              </a:graphicData>
            </a:graphic>
          </wp:inline>
        </w:drawing>
      </w:r>
    </w:p>
    <w:p w14:paraId="200F9A50" w14:textId="77777777" w:rsidR="00C21827" w:rsidRDefault="00C21827" w:rsidP="00CA1D85">
      <w:pPr>
        <w:tabs>
          <w:tab w:val="right" w:pos="4962"/>
        </w:tabs>
        <w:rPr>
          <w:rFonts w:ascii="Tahoma" w:hAnsi="Tahoma" w:cs="Tahoma"/>
          <w:sz w:val="16"/>
          <w:szCs w:val="16"/>
        </w:rPr>
      </w:pPr>
    </w:p>
    <w:p w14:paraId="2EC9451C" w14:textId="3891FB1A" w:rsidR="00F80D60" w:rsidRDefault="00D255B3" w:rsidP="00D255B3">
      <w:pPr>
        <w:pStyle w:val="Zkladntext3"/>
        <w:jc w:val="both"/>
        <w:rPr>
          <w:sz w:val="24"/>
          <w:szCs w:val="24"/>
        </w:rPr>
      </w:pPr>
      <w:r w:rsidRPr="00E118A7">
        <w:rPr>
          <w:sz w:val="24"/>
          <w:szCs w:val="24"/>
        </w:rPr>
        <w:t>Ve výhledu jsou na léta 202</w:t>
      </w:r>
      <w:r w:rsidR="00E615E4" w:rsidRPr="00E118A7">
        <w:rPr>
          <w:sz w:val="24"/>
          <w:szCs w:val="24"/>
        </w:rPr>
        <w:t>2</w:t>
      </w:r>
      <w:r w:rsidRPr="00E118A7">
        <w:rPr>
          <w:sz w:val="24"/>
          <w:szCs w:val="24"/>
        </w:rPr>
        <w:t xml:space="preserve"> – 202</w:t>
      </w:r>
      <w:r w:rsidR="00E615E4" w:rsidRPr="00E118A7">
        <w:rPr>
          <w:sz w:val="24"/>
          <w:szCs w:val="24"/>
        </w:rPr>
        <w:t>5</w:t>
      </w:r>
      <w:r w:rsidRPr="00E118A7">
        <w:rPr>
          <w:sz w:val="24"/>
          <w:szCs w:val="24"/>
        </w:rPr>
        <w:t xml:space="preserve"> zařazeny finanční prostředky na</w:t>
      </w:r>
      <w:r w:rsidR="00E14D6B" w:rsidRPr="00E118A7">
        <w:rPr>
          <w:sz w:val="24"/>
          <w:szCs w:val="24"/>
        </w:rPr>
        <w:t xml:space="preserve"> </w:t>
      </w:r>
      <w:r w:rsidRPr="00E118A7">
        <w:rPr>
          <w:sz w:val="24"/>
          <w:szCs w:val="24"/>
        </w:rPr>
        <w:t>přípravu a realizaci akcí v rámci programového období 2014 – 2020</w:t>
      </w:r>
      <w:r w:rsidR="00E118A7" w:rsidRPr="00E118A7">
        <w:rPr>
          <w:sz w:val="24"/>
          <w:szCs w:val="24"/>
        </w:rPr>
        <w:t xml:space="preserve"> i programového období 2021 – </w:t>
      </w:r>
      <w:proofErr w:type="gramStart"/>
      <w:r w:rsidR="00E118A7" w:rsidRPr="00E118A7">
        <w:rPr>
          <w:sz w:val="24"/>
          <w:szCs w:val="24"/>
        </w:rPr>
        <w:t xml:space="preserve">2027 </w:t>
      </w:r>
      <w:r w:rsidRPr="00E118A7">
        <w:rPr>
          <w:sz w:val="24"/>
          <w:szCs w:val="24"/>
        </w:rPr>
        <w:t xml:space="preserve"> v</w:t>
      </w:r>
      <w:proofErr w:type="gramEnd"/>
      <w:r w:rsidRPr="00E118A7">
        <w:rPr>
          <w:sz w:val="24"/>
          <w:szCs w:val="24"/>
        </w:rPr>
        <w:t xml:space="preserve"> celkové výši </w:t>
      </w:r>
      <w:r w:rsidR="00233545">
        <w:rPr>
          <w:sz w:val="24"/>
          <w:szCs w:val="24"/>
        </w:rPr>
        <w:t xml:space="preserve">10.562 </w:t>
      </w:r>
      <w:r w:rsidR="00233545" w:rsidRPr="00233545">
        <w:rPr>
          <w:sz w:val="24"/>
          <w:szCs w:val="24"/>
        </w:rPr>
        <w:t>mil</w:t>
      </w:r>
      <w:r w:rsidRPr="00233545">
        <w:rPr>
          <w:sz w:val="24"/>
          <w:szCs w:val="24"/>
        </w:rPr>
        <w:t>.</w:t>
      </w:r>
      <w:r w:rsidR="00E14D6B" w:rsidRPr="00233545">
        <w:rPr>
          <w:sz w:val="24"/>
          <w:szCs w:val="24"/>
        </w:rPr>
        <w:t> </w:t>
      </w:r>
      <w:r w:rsidRPr="00233545">
        <w:rPr>
          <w:sz w:val="24"/>
          <w:szCs w:val="24"/>
        </w:rPr>
        <w:t>Kč. Akce</w:t>
      </w:r>
      <w:r w:rsidRPr="00EA232F">
        <w:rPr>
          <w:sz w:val="24"/>
          <w:szCs w:val="24"/>
        </w:rPr>
        <w:t>, u kterých bylo již zastupitelstvem kraje schválen</w:t>
      </w:r>
      <w:r w:rsidR="00E14D6B" w:rsidRPr="00EA232F">
        <w:rPr>
          <w:sz w:val="24"/>
          <w:szCs w:val="24"/>
        </w:rPr>
        <w:t>o</w:t>
      </w:r>
      <w:r w:rsidRPr="00EA232F">
        <w:rPr>
          <w:sz w:val="24"/>
          <w:szCs w:val="24"/>
        </w:rPr>
        <w:t xml:space="preserve"> kofinancování a profinancování, jsou </w:t>
      </w:r>
      <w:r w:rsidR="00AD6EDE" w:rsidRPr="00EA232F">
        <w:rPr>
          <w:sz w:val="24"/>
          <w:szCs w:val="24"/>
        </w:rPr>
        <w:t xml:space="preserve">pro období </w:t>
      </w:r>
      <w:r w:rsidR="00AD6EDE" w:rsidRPr="00233545">
        <w:rPr>
          <w:sz w:val="24"/>
          <w:szCs w:val="24"/>
        </w:rPr>
        <w:t xml:space="preserve">výhledu </w:t>
      </w:r>
      <w:r w:rsidRPr="00233545">
        <w:rPr>
          <w:sz w:val="24"/>
          <w:szCs w:val="24"/>
        </w:rPr>
        <w:t xml:space="preserve">ve výši </w:t>
      </w:r>
      <w:r w:rsidR="00233545" w:rsidRPr="00233545">
        <w:rPr>
          <w:sz w:val="24"/>
          <w:szCs w:val="24"/>
        </w:rPr>
        <w:t>3</w:t>
      </w:r>
      <w:r w:rsidR="00952AD2" w:rsidRPr="00233545">
        <w:rPr>
          <w:sz w:val="24"/>
          <w:szCs w:val="24"/>
        </w:rPr>
        <w:t>.</w:t>
      </w:r>
      <w:r w:rsidR="00180410">
        <w:rPr>
          <w:sz w:val="24"/>
          <w:szCs w:val="24"/>
        </w:rPr>
        <w:t>191</w:t>
      </w:r>
      <w:r w:rsidR="007466D0">
        <w:rPr>
          <w:sz w:val="24"/>
          <w:szCs w:val="24"/>
        </w:rPr>
        <w:t> </w:t>
      </w:r>
      <w:r w:rsidRPr="00233545">
        <w:rPr>
          <w:sz w:val="24"/>
          <w:szCs w:val="24"/>
        </w:rPr>
        <w:t xml:space="preserve">mil. </w:t>
      </w:r>
      <w:proofErr w:type="gramStart"/>
      <w:r w:rsidRPr="00233545">
        <w:rPr>
          <w:sz w:val="24"/>
          <w:szCs w:val="24"/>
        </w:rPr>
        <w:t>Kč - viz</w:t>
      </w:r>
      <w:proofErr w:type="gramEnd"/>
      <w:r w:rsidRPr="00233545">
        <w:rPr>
          <w:sz w:val="24"/>
          <w:szCs w:val="24"/>
        </w:rPr>
        <w:t xml:space="preserve"> tabulka č. 3 </w:t>
      </w:r>
      <w:r w:rsidRPr="00233545">
        <w:rPr>
          <w:sz w:val="24"/>
          <w:szCs w:val="24"/>
          <w:lang w:eastAsia="x-none"/>
        </w:rPr>
        <w:t>(tabulková část výhledu).</w:t>
      </w:r>
      <w:r w:rsidRPr="00233545">
        <w:rPr>
          <w:sz w:val="24"/>
          <w:szCs w:val="24"/>
        </w:rPr>
        <w:t xml:space="preserve"> </w:t>
      </w:r>
      <w:r w:rsidR="0011487B" w:rsidRPr="00233545">
        <w:rPr>
          <w:sz w:val="24"/>
          <w:szCs w:val="24"/>
        </w:rPr>
        <w:t xml:space="preserve">Pro očekávané dofinancování programového období bude využito pravidla n+3. </w:t>
      </w:r>
      <w:r w:rsidRPr="00233545">
        <w:rPr>
          <w:sz w:val="24"/>
          <w:szCs w:val="24"/>
        </w:rPr>
        <w:t>Dále jsou vyčleněny</w:t>
      </w:r>
      <w:r w:rsidRPr="00952AD2">
        <w:rPr>
          <w:sz w:val="24"/>
          <w:szCs w:val="24"/>
        </w:rPr>
        <w:t xml:space="preserve"> prostředky na přípravu nových projektů ve výši </w:t>
      </w:r>
      <w:r w:rsidR="00952AD2" w:rsidRPr="00952AD2">
        <w:rPr>
          <w:sz w:val="24"/>
          <w:szCs w:val="24"/>
        </w:rPr>
        <w:t>6</w:t>
      </w:r>
      <w:r w:rsidRPr="00952AD2">
        <w:rPr>
          <w:sz w:val="24"/>
          <w:szCs w:val="24"/>
        </w:rPr>
        <w:t xml:space="preserve">3 mil. Kč ročně. </w:t>
      </w:r>
    </w:p>
    <w:p w14:paraId="478027F1" w14:textId="77777777" w:rsidR="00F80D60" w:rsidRDefault="00F80D60" w:rsidP="00D255B3">
      <w:pPr>
        <w:pStyle w:val="Zkladntext3"/>
        <w:jc w:val="both"/>
        <w:rPr>
          <w:sz w:val="24"/>
          <w:szCs w:val="24"/>
        </w:rPr>
      </w:pPr>
    </w:p>
    <w:p w14:paraId="69008F8F" w14:textId="08D87923" w:rsidR="00503218" w:rsidRPr="0012760F" w:rsidRDefault="00503218" w:rsidP="00503218">
      <w:pPr>
        <w:pStyle w:val="Zkladntext3"/>
        <w:jc w:val="both"/>
        <w:rPr>
          <w:sz w:val="24"/>
          <w:szCs w:val="24"/>
        </w:rPr>
      </w:pPr>
      <w:r>
        <w:rPr>
          <w:sz w:val="24"/>
          <w:szCs w:val="24"/>
        </w:rPr>
        <w:t xml:space="preserve">Výhled zahrnuje nové příležitosti </w:t>
      </w:r>
      <w:r w:rsidRPr="00E118A7">
        <w:rPr>
          <w:sz w:val="24"/>
          <w:szCs w:val="24"/>
        </w:rPr>
        <w:t xml:space="preserve">programového období </w:t>
      </w:r>
      <w:proofErr w:type="gramStart"/>
      <w:r w:rsidRPr="00E118A7">
        <w:rPr>
          <w:sz w:val="24"/>
          <w:szCs w:val="24"/>
        </w:rPr>
        <w:t>2021 – 2027</w:t>
      </w:r>
      <w:proofErr w:type="gramEnd"/>
      <w:r w:rsidR="00B03558">
        <w:rPr>
          <w:sz w:val="24"/>
          <w:szCs w:val="24"/>
        </w:rPr>
        <w:t xml:space="preserve"> ve výši 7.404</w:t>
      </w:r>
      <w:r w:rsidR="007466D0">
        <w:rPr>
          <w:sz w:val="24"/>
          <w:szCs w:val="24"/>
        </w:rPr>
        <w:t> </w:t>
      </w:r>
      <w:r w:rsidR="00B03558">
        <w:rPr>
          <w:sz w:val="24"/>
          <w:szCs w:val="24"/>
        </w:rPr>
        <w:t>mil.</w:t>
      </w:r>
      <w:r w:rsidR="007466D0">
        <w:rPr>
          <w:sz w:val="24"/>
          <w:szCs w:val="24"/>
        </w:rPr>
        <w:t> </w:t>
      </w:r>
      <w:r w:rsidR="00B03558">
        <w:rPr>
          <w:sz w:val="24"/>
          <w:szCs w:val="24"/>
        </w:rPr>
        <w:t>Kč.</w:t>
      </w:r>
      <w:r w:rsidR="00233545">
        <w:rPr>
          <w:sz w:val="24"/>
          <w:szCs w:val="24"/>
        </w:rPr>
        <w:t xml:space="preserve"> </w:t>
      </w:r>
      <w:r w:rsidRPr="00B813FA">
        <w:rPr>
          <w:sz w:val="24"/>
          <w:szCs w:val="24"/>
        </w:rPr>
        <w:t xml:space="preserve">Předpokládá se, že podíl kraje u akcí bude ve většině projektů průměrně </w:t>
      </w:r>
      <w:proofErr w:type="gramStart"/>
      <w:r w:rsidRPr="00B813FA">
        <w:rPr>
          <w:sz w:val="24"/>
          <w:szCs w:val="24"/>
        </w:rPr>
        <w:t>ve</w:t>
      </w:r>
      <w:r w:rsidR="007466D0">
        <w:rPr>
          <w:sz w:val="24"/>
          <w:szCs w:val="24"/>
        </w:rPr>
        <w:t> </w:t>
      </w:r>
      <w:r w:rsidRPr="00B813FA">
        <w:rPr>
          <w:sz w:val="24"/>
          <w:szCs w:val="24"/>
        </w:rPr>
        <w:t xml:space="preserve"> výši</w:t>
      </w:r>
      <w:proofErr w:type="gramEnd"/>
      <w:r w:rsidRPr="00B813FA">
        <w:rPr>
          <w:sz w:val="24"/>
          <w:szCs w:val="24"/>
        </w:rPr>
        <w:t xml:space="preserve"> cca 15 %, výjimkou jsou např. projekty energetických úspor, kde je podíl kraje min. 60 %</w:t>
      </w:r>
      <w:r>
        <w:rPr>
          <w:sz w:val="24"/>
          <w:szCs w:val="24"/>
        </w:rPr>
        <w:t>, naopak u neinvestičních projektů financovaných ze zdrojů ESF se</w:t>
      </w:r>
      <w:r w:rsidR="007466D0">
        <w:rPr>
          <w:sz w:val="24"/>
          <w:szCs w:val="24"/>
        </w:rPr>
        <w:t> </w:t>
      </w:r>
      <w:r>
        <w:rPr>
          <w:sz w:val="24"/>
          <w:szCs w:val="24"/>
        </w:rPr>
        <w:t xml:space="preserve">předpokládá míra spolufinancování kraje ve výši 10 %. </w:t>
      </w:r>
      <w:r w:rsidRPr="0012760F">
        <w:rPr>
          <w:sz w:val="24"/>
          <w:szCs w:val="24"/>
        </w:rPr>
        <w:t xml:space="preserve">V rámci klíče RAP </w:t>
      </w:r>
      <w:r>
        <w:rPr>
          <w:sz w:val="24"/>
          <w:szCs w:val="24"/>
        </w:rPr>
        <w:t>pro okruh</w:t>
      </w:r>
      <w:r w:rsidRPr="00013DB2">
        <w:rPr>
          <w:sz w:val="24"/>
          <w:szCs w:val="24"/>
        </w:rPr>
        <w:t xml:space="preserve"> témat</w:t>
      </w:r>
      <w:r w:rsidRPr="0012760F">
        <w:rPr>
          <w:sz w:val="24"/>
          <w:szCs w:val="24"/>
        </w:rPr>
        <w:t xml:space="preserve"> z oblasti dopravy (silnice II. třídy), deinstitucionalizace sociálních služeb, střední školství a ZZS </w:t>
      </w:r>
      <w:r>
        <w:rPr>
          <w:sz w:val="24"/>
          <w:szCs w:val="24"/>
        </w:rPr>
        <w:t xml:space="preserve">je </w:t>
      </w:r>
      <w:r w:rsidRPr="0012760F">
        <w:rPr>
          <w:sz w:val="24"/>
          <w:szCs w:val="24"/>
        </w:rPr>
        <w:t>plánována alokace pro kraj ve výši</w:t>
      </w:r>
      <w:r>
        <w:rPr>
          <w:rFonts w:eastAsia="Calibri"/>
        </w:rPr>
        <w:t xml:space="preserve"> </w:t>
      </w:r>
      <w:r w:rsidRPr="0012760F">
        <w:rPr>
          <w:sz w:val="24"/>
          <w:szCs w:val="24"/>
        </w:rPr>
        <w:t>1.810</w:t>
      </w:r>
      <w:r>
        <w:rPr>
          <w:sz w:val="24"/>
          <w:szCs w:val="24"/>
        </w:rPr>
        <w:t xml:space="preserve"> mil</w:t>
      </w:r>
      <w:r w:rsidRPr="0012760F">
        <w:rPr>
          <w:sz w:val="24"/>
          <w:szCs w:val="24"/>
        </w:rPr>
        <w:t>. Kč.</w:t>
      </w:r>
      <w:r>
        <w:rPr>
          <w:sz w:val="24"/>
          <w:szCs w:val="24"/>
        </w:rPr>
        <w:t xml:space="preserve"> Pro projekty financované ze zdrojů ESF v odvětví školství a sociální věci je plánována alokace ve</w:t>
      </w:r>
      <w:r w:rsidR="007466D0">
        <w:rPr>
          <w:sz w:val="24"/>
          <w:szCs w:val="24"/>
        </w:rPr>
        <w:t> </w:t>
      </w:r>
      <w:r>
        <w:rPr>
          <w:sz w:val="24"/>
          <w:szCs w:val="24"/>
        </w:rPr>
        <w:t xml:space="preserve">výši 1.700 mil. Kč. Dále je v rámci programového období 2021+ </w:t>
      </w:r>
      <w:proofErr w:type="spellStart"/>
      <w:r>
        <w:rPr>
          <w:sz w:val="24"/>
          <w:szCs w:val="24"/>
        </w:rPr>
        <w:t>předpokládana</w:t>
      </w:r>
      <w:proofErr w:type="spellEnd"/>
      <w:r>
        <w:rPr>
          <w:sz w:val="24"/>
          <w:szCs w:val="24"/>
        </w:rPr>
        <w:t xml:space="preserve"> alokace zejména pro projekty v odvětví kultury, krizového řízení a zdravotnictví ve výši 1.083</w:t>
      </w:r>
      <w:r w:rsidR="007466D0">
        <w:rPr>
          <w:sz w:val="24"/>
          <w:szCs w:val="24"/>
        </w:rPr>
        <w:t> </w:t>
      </w:r>
      <w:r>
        <w:rPr>
          <w:sz w:val="24"/>
          <w:szCs w:val="24"/>
        </w:rPr>
        <w:t>mil. Kč.</w:t>
      </w:r>
    </w:p>
    <w:p w14:paraId="559055E9" w14:textId="77777777" w:rsidR="00503218" w:rsidRDefault="00503218" w:rsidP="00503218">
      <w:pPr>
        <w:pStyle w:val="Zkladntext3"/>
        <w:jc w:val="both"/>
        <w:rPr>
          <w:i/>
          <w:iCs/>
          <w:sz w:val="24"/>
          <w:szCs w:val="24"/>
        </w:rPr>
      </w:pPr>
    </w:p>
    <w:p w14:paraId="1D3CBA3E" w14:textId="74DBC036" w:rsidR="00503218" w:rsidRDefault="00503218" w:rsidP="00503218">
      <w:pPr>
        <w:pStyle w:val="Zkladntext3"/>
        <w:jc w:val="both"/>
        <w:rPr>
          <w:sz w:val="24"/>
          <w:szCs w:val="24"/>
        </w:rPr>
      </w:pPr>
      <w:r w:rsidRPr="0012760F">
        <w:rPr>
          <w:sz w:val="24"/>
          <w:szCs w:val="24"/>
        </w:rPr>
        <w:t xml:space="preserve">V rámci plánu </w:t>
      </w:r>
      <w:r w:rsidRPr="00416E50">
        <w:rPr>
          <w:sz w:val="24"/>
          <w:szCs w:val="24"/>
        </w:rPr>
        <w:t xml:space="preserve">nového programového období 2021-2027 </w:t>
      </w:r>
      <w:r w:rsidR="003F299D">
        <w:rPr>
          <w:sz w:val="24"/>
          <w:szCs w:val="24"/>
        </w:rPr>
        <w:t xml:space="preserve">bilance výhledu </w:t>
      </w:r>
      <w:r w:rsidRPr="00416E50">
        <w:rPr>
          <w:sz w:val="24"/>
          <w:szCs w:val="24"/>
        </w:rPr>
        <w:t xml:space="preserve">obsahuje </w:t>
      </w:r>
      <w:r w:rsidR="003F299D">
        <w:rPr>
          <w:sz w:val="24"/>
          <w:szCs w:val="24"/>
        </w:rPr>
        <w:t>finanční prostředky na</w:t>
      </w:r>
      <w:r w:rsidRPr="00416E50">
        <w:rPr>
          <w:sz w:val="24"/>
          <w:szCs w:val="24"/>
        </w:rPr>
        <w:t xml:space="preserve"> konkrétní projekty předložené k posouzení pro možné financování z operačního programu Spravedlivá transformace</w:t>
      </w:r>
      <w:r w:rsidR="00416E50" w:rsidRPr="00416E50">
        <w:rPr>
          <w:sz w:val="24"/>
          <w:szCs w:val="24"/>
        </w:rPr>
        <w:t>.</w:t>
      </w:r>
      <w:r w:rsidRPr="00416E50">
        <w:rPr>
          <w:sz w:val="24"/>
          <w:szCs w:val="24"/>
        </w:rPr>
        <w:t xml:space="preserve"> Jedná se o projekty „Černá </w:t>
      </w:r>
      <w:proofErr w:type="gramStart"/>
      <w:r w:rsidRPr="00416E50">
        <w:rPr>
          <w:sz w:val="24"/>
          <w:szCs w:val="24"/>
        </w:rPr>
        <w:t>kostka - Centrum</w:t>
      </w:r>
      <w:proofErr w:type="gramEnd"/>
      <w:r w:rsidRPr="00416E50">
        <w:rPr>
          <w:sz w:val="24"/>
          <w:szCs w:val="24"/>
        </w:rPr>
        <w:t xml:space="preserve"> digitalizace, vědy a inovací“, „Dynamický dopravní dispečink Moravskoslezského kraje“ a „Technologická a podnikatelská</w:t>
      </w:r>
      <w:r w:rsidRPr="001E62CC">
        <w:rPr>
          <w:sz w:val="24"/>
          <w:szCs w:val="24"/>
        </w:rPr>
        <w:t xml:space="preserve"> akademie a digitální, inovační a mediální laboratoř (TPA a </w:t>
      </w:r>
      <w:proofErr w:type="spellStart"/>
      <w:r w:rsidRPr="001E62CC">
        <w:rPr>
          <w:sz w:val="24"/>
          <w:szCs w:val="24"/>
        </w:rPr>
        <w:t>DIMLab</w:t>
      </w:r>
      <w:proofErr w:type="spellEnd"/>
      <w:r w:rsidRPr="001E62CC">
        <w:rPr>
          <w:sz w:val="24"/>
          <w:szCs w:val="24"/>
        </w:rPr>
        <w:t>)“</w:t>
      </w:r>
      <w:r>
        <w:rPr>
          <w:sz w:val="24"/>
          <w:szCs w:val="24"/>
        </w:rPr>
        <w:t>.</w:t>
      </w:r>
    </w:p>
    <w:p w14:paraId="2649A388" w14:textId="72136F18" w:rsidR="007466D0" w:rsidRDefault="007466D0" w:rsidP="00503218">
      <w:pPr>
        <w:pStyle w:val="Zkladntext3"/>
        <w:jc w:val="both"/>
        <w:rPr>
          <w:sz w:val="24"/>
          <w:szCs w:val="24"/>
        </w:rPr>
      </w:pPr>
    </w:p>
    <w:p w14:paraId="6E99F1FD" w14:textId="4E2B7781" w:rsidR="007466D0" w:rsidRDefault="007466D0" w:rsidP="00503218">
      <w:pPr>
        <w:pStyle w:val="Zkladntext3"/>
        <w:jc w:val="both"/>
        <w:rPr>
          <w:sz w:val="24"/>
          <w:szCs w:val="24"/>
        </w:rPr>
      </w:pPr>
    </w:p>
    <w:p w14:paraId="74946D25" w14:textId="77777777" w:rsidR="007466D0" w:rsidRPr="00ED3964" w:rsidRDefault="007466D0" w:rsidP="00503218">
      <w:pPr>
        <w:pStyle w:val="Zkladntext3"/>
        <w:jc w:val="both"/>
        <w:rPr>
          <w:sz w:val="24"/>
          <w:szCs w:val="24"/>
        </w:rPr>
      </w:pPr>
    </w:p>
    <w:p w14:paraId="39F393E8" w14:textId="45CF23C6" w:rsidR="00576C5E" w:rsidRPr="00826D55" w:rsidRDefault="003F4C4D" w:rsidP="00576C5E">
      <w:pPr>
        <w:pStyle w:val="Nadpis3"/>
        <w:spacing w:before="360" w:after="180"/>
        <w:rPr>
          <w:rFonts w:ascii="Tahoma" w:hAnsi="Tahoma" w:cs="Tahoma"/>
          <w:b/>
          <w:bCs/>
          <w:sz w:val="24"/>
          <w:szCs w:val="24"/>
        </w:rPr>
      </w:pPr>
      <w:bookmarkStart w:id="3" w:name="_Toc72408816"/>
      <w:r>
        <w:rPr>
          <w:rFonts w:ascii="Tahoma" w:hAnsi="Tahoma" w:cs="Tahoma"/>
          <w:b/>
          <w:bCs/>
          <w:sz w:val="24"/>
          <w:szCs w:val="24"/>
        </w:rPr>
        <w:t>F</w:t>
      </w:r>
      <w:r w:rsidR="00576C5E" w:rsidRPr="00826D55">
        <w:rPr>
          <w:rFonts w:ascii="Tahoma" w:hAnsi="Tahoma" w:cs="Tahoma"/>
          <w:b/>
          <w:bCs/>
          <w:sz w:val="24"/>
          <w:szCs w:val="24"/>
        </w:rPr>
        <w:t xml:space="preserve">INANCOVÁNÍ kraje v období let </w:t>
      </w:r>
      <w:proofErr w:type="gramStart"/>
      <w:r w:rsidR="00576C5E" w:rsidRPr="00826D55">
        <w:rPr>
          <w:rFonts w:ascii="Tahoma" w:hAnsi="Tahoma" w:cs="Tahoma"/>
          <w:b/>
          <w:bCs/>
          <w:sz w:val="24"/>
          <w:szCs w:val="24"/>
        </w:rPr>
        <w:t>202</w:t>
      </w:r>
      <w:r w:rsidR="00576C5E">
        <w:rPr>
          <w:rFonts w:ascii="Tahoma" w:hAnsi="Tahoma" w:cs="Tahoma"/>
          <w:b/>
          <w:bCs/>
          <w:sz w:val="24"/>
          <w:szCs w:val="24"/>
        </w:rPr>
        <w:t>2</w:t>
      </w:r>
      <w:r w:rsidR="00576C5E" w:rsidRPr="00826D55">
        <w:rPr>
          <w:rFonts w:ascii="Tahoma" w:hAnsi="Tahoma" w:cs="Tahoma"/>
          <w:b/>
          <w:bCs/>
          <w:sz w:val="24"/>
          <w:szCs w:val="24"/>
        </w:rPr>
        <w:t xml:space="preserve"> – 202</w:t>
      </w:r>
      <w:r w:rsidR="00576C5E">
        <w:rPr>
          <w:rFonts w:ascii="Tahoma" w:hAnsi="Tahoma" w:cs="Tahoma"/>
          <w:b/>
          <w:bCs/>
          <w:sz w:val="24"/>
          <w:szCs w:val="24"/>
        </w:rPr>
        <w:t>5</w:t>
      </w:r>
      <w:bookmarkEnd w:id="3"/>
      <w:proofErr w:type="gramEnd"/>
    </w:p>
    <w:p w14:paraId="507E002D" w14:textId="77777777" w:rsidR="00576C5E" w:rsidRPr="00E82E31" w:rsidRDefault="00576C5E" w:rsidP="00576C5E">
      <w:pPr>
        <w:jc w:val="both"/>
        <w:rPr>
          <w:rFonts w:ascii="Tahoma" w:hAnsi="Tahoma" w:cs="Tahoma"/>
          <w:u w:val="single"/>
        </w:rPr>
      </w:pPr>
      <w:r w:rsidRPr="00E82E31">
        <w:rPr>
          <w:rFonts w:ascii="Tahoma" w:hAnsi="Tahoma" w:cs="Tahoma"/>
          <w:u w:val="single"/>
        </w:rPr>
        <w:t>Rekapitulace úvěrů</w:t>
      </w:r>
    </w:p>
    <w:p w14:paraId="0CD99079" w14:textId="77777777" w:rsidR="00576C5E" w:rsidRPr="006A56EB" w:rsidRDefault="00576C5E" w:rsidP="00576C5E">
      <w:pPr>
        <w:jc w:val="both"/>
        <w:rPr>
          <w:rFonts w:ascii="Tahoma" w:hAnsi="Tahoma" w:cs="Tahoma"/>
        </w:rPr>
      </w:pPr>
      <w:r w:rsidRPr="006A56EB">
        <w:rPr>
          <w:rFonts w:ascii="Tahoma" w:hAnsi="Tahoma" w:cs="Tahoma"/>
        </w:rPr>
        <w:t xml:space="preserve">V období </w:t>
      </w:r>
      <w:proofErr w:type="gramStart"/>
      <w:r w:rsidRPr="006A56EB">
        <w:rPr>
          <w:rFonts w:ascii="Tahoma" w:hAnsi="Tahoma" w:cs="Tahoma"/>
        </w:rPr>
        <w:t>2022 – 2035</w:t>
      </w:r>
      <w:proofErr w:type="gramEnd"/>
      <w:r w:rsidRPr="006A56EB">
        <w:rPr>
          <w:rFonts w:ascii="Tahoma" w:hAnsi="Tahoma" w:cs="Tahoma"/>
        </w:rPr>
        <w:t xml:space="preserve"> bude kraj povinen plnit své závazky z uzavřených úvěrových smluv. Přehled splácení jistiny a úroků z úvěrů čerpaných krajem, a to do konce doby trvání těchto závazků, je uveden v tabulce č. 7 (tabulková část výhledu).</w:t>
      </w:r>
    </w:p>
    <w:p w14:paraId="1188286F" w14:textId="77777777" w:rsidR="00576C5E" w:rsidRPr="006A56EB" w:rsidRDefault="00576C5E" w:rsidP="00576C5E">
      <w:pPr>
        <w:jc w:val="both"/>
        <w:rPr>
          <w:rFonts w:ascii="Tahoma" w:hAnsi="Tahoma" w:cs="Tahoma"/>
        </w:rPr>
      </w:pPr>
    </w:p>
    <w:p w14:paraId="2F83DFD3" w14:textId="77777777" w:rsidR="00576C5E" w:rsidRPr="006A56EB" w:rsidRDefault="00576C5E" w:rsidP="00576C5E">
      <w:pPr>
        <w:jc w:val="both"/>
        <w:rPr>
          <w:rFonts w:ascii="Tahoma" w:hAnsi="Tahoma" w:cs="Tahoma"/>
        </w:rPr>
      </w:pPr>
      <w:r w:rsidRPr="006A56EB">
        <w:rPr>
          <w:rFonts w:ascii="Tahoma" w:hAnsi="Tahoma" w:cs="Tahoma"/>
          <w:u w:val="single"/>
        </w:rPr>
        <w:t>Dle úvěrové smlouvy s Evropskou investiční bankou</w:t>
      </w:r>
      <w:r w:rsidRPr="006A56EB">
        <w:rPr>
          <w:rFonts w:ascii="Tahoma" w:hAnsi="Tahoma" w:cs="Tahoma"/>
        </w:rPr>
        <w:t xml:space="preserve"> (dále jen EIB) uzavřené v roce 2010 v celkové výši 2.000 mil. Kč kraj doplatí jistinu úvěru v roce 2025. Tento úvěr byl využíván na úhradu vlastních podílů kraje na konkrétních projektech spolufinancovaných z evropských finančních zdrojů a u dalších významných investičních projektů. Čerpání tohoto úvěrového rámce probíhalo v letech </w:t>
      </w:r>
      <w:proofErr w:type="gramStart"/>
      <w:r w:rsidRPr="006A56EB">
        <w:rPr>
          <w:rFonts w:ascii="Tahoma" w:hAnsi="Tahoma" w:cs="Tahoma"/>
        </w:rPr>
        <w:t>2011 – 2015</w:t>
      </w:r>
      <w:proofErr w:type="gramEnd"/>
      <w:r w:rsidRPr="006A56EB">
        <w:rPr>
          <w:rFonts w:ascii="Tahoma" w:hAnsi="Tahoma" w:cs="Tahoma"/>
        </w:rPr>
        <w:t>, od roku 2016 je pak splácena jistina tohoto úvěru. Poté, co v roce 2019 byla část nesplacené jistiny v objemu 1.010 mil. Kč refinancována komerčním úvěrem, jsou v období střednědobého výhledu rozpočtu zahrnuty splátky jistiny tohoto úvěru v roční výši 77 mil. Kč.</w:t>
      </w:r>
    </w:p>
    <w:p w14:paraId="712E6FA6" w14:textId="77777777" w:rsidR="00576C5E" w:rsidRPr="006A56EB" w:rsidRDefault="00576C5E" w:rsidP="00576C5E">
      <w:pPr>
        <w:jc w:val="both"/>
        <w:rPr>
          <w:rFonts w:ascii="Tahoma" w:hAnsi="Tahoma" w:cs="Tahoma"/>
          <w:color w:val="FF0000"/>
        </w:rPr>
      </w:pPr>
    </w:p>
    <w:p w14:paraId="1D7E36E2" w14:textId="77777777" w:rsidR="00576C5E" w:rsidRPr="006A56EB" w:rsidRDefault="00576C5E" w:rsidP="00576C5E">
      <w:pPr>
        <w:jc w:val="both"/>
        <w:rPr>
          <w:rFonts w:ascii="Tahoma" w:hAnsi="Tahoma" w:cs="Tahoma"/>
        </w:rPr>
      </w:pPr>
      <w:r w:rsidRPr="006A56EB">
        <w:rPr>
          <w:rFonts w:ascii="Tahoma" w:hAnsi="Tahoma" w:cs="Tahoma"/>
          <w:u w:val="single"/>
        </w:rPr>
        <w:t>Smlouva o úvěru ve výši 1.010 mil. Kč od UniCredit Bank Czech Republic and Slovakia, a.s.</w:t>
      </w:r>
      <w:r w:rsidRPr="006A56EB">
        <w:rPr>
          <w:rFonts w:ascii="Tahoma" w:hAnsi="Tahoma" w:cs="Tahoma"/>
        </w:rPr>
        <w:t>, (dále jen UCB), uzavřená v červnu 2019, umožnila v září 2019 refinancovat část nesplacené jistiny úvěru od EIB a tím snížit výdaje na platbu úroků. Úvěr bude splácen v rovnoměrných ročních splátkách ve výši 168 mil. Kč do roku 2025.</w:t>
      </w:r>
    </w:p>
    <w:p w14:paraId="0E0C2E15" w14:textId="77777777" w:rsidR="00576C5E" w:rsidRPr="006A56EB" w:rsidRDefault="00576C5E" w:rsidP="00576C5E">
      <w:pPr>
        <w:pStyle w:val="Zkladntext"/>
        <w:spacing w:after="120"/>
        <w:rPr>
          <w:rFonts w:ascii="Tahoma" w:hAnsi="Tahoma"/>
          <w:i/>
          <w:sz w:val="20"/>
          <w:u w:val="single"/>
        </w:rPr>
      </w:pPr>
    </w:p>
    <w:p w14:paraId="04509507" w14:textId="4332A8FF" w:rsidR="00576C5E" w:rsidRPr="006A56EB" w:rsidRDefault="00576C5E" w:rsidP="00576C5E">
      <w:pPr>
        <w:spacing w:before="120" w:after="240"/>
        <w:jc w:val="both"/>
        <w:rPr>
          <w:rFonts w:ascii="Tahoma" w:hAnsi="Tahoma" w:cs="Tahoma"/>
        </w:rPr>
      </w:pPr>
      <w:r w:rsidRPr="006A56EB">
        <w:rPr>
          <w:rFonts w:ascii="Tahoma" w:hAnsi="Tahoma" w:cs="Tahoma"/>
          <w:u w:val="single"/>
        </w:rPr>
        <w:t>Smlouva o úvěru ve výši 3.000 mil. Kč od České spořitelny, a.s.</w:t>
      </w:r>
      <w:r w:rsidRPr="006A56EB">
        <w:rPr>
          <w:rFonts w:ascii="Tahoma" w:hAnsi="Tahoma" w:cs="Tahoma"/>
        </w:rPr>
        <w:t xml:space="preserve">, jejíž předmětem je financování investičních akcí realizovaných krajem a jeho příspěvkovými organizacemi v letech </w:t>
      </w:r>
      <w:proofErr w:type="gramStart"/>
      <w:r w:rsidRPr="006A56EB">
        <w:rPr>
          <w:rFonts w:ascii="Tahoma" w:hAnsi="Tahoma" w:cs="Tahoma"/>
        </w:rPr>
        <w:t>2021 – 2024</w:t>
      </w:r>
      <w:proofErr w:type="gramEnd"/>
      <w:r w:rsidRPr="006A56EB">
        <w:rPr>
          <w:rFonts w:ascii="Tahoma" w:hAnsi="Tahoma" w:cs="Tahoma"/>
        </w:rPr>
        <w:t xml:space="preserve">, byla uzavřena v prosinci 2020.  Úvěr bude splácen v letech </w:t>
      </w:r>
      <w:proofErr w:type="gramStart"/>
      <w:r w:rsidRPr="006A56EB">
        <w:rPr>
          <w:rFonts w:ascii="Tahoma" w:hAnsi="Tahoma" w:cs="Tahoma"/>
        </w:rPr>
        <w:t>2026 – 2035</w:t>
      </w:r>
      <w:proofErr w:type="gramEnd"/>
      <w:r w:rsidRPr="006A56EB">
        <w:rPr>
          <w:rFonts w:ascii="Tahoma" w:hAnsi="Tahoma" w:cs="Tahoma"/>
        </w:rPr>
        <w:t xml:space="preserve"> v rovnoměrných ročních splátkách ve výši 300 mil. Kč. </w:t>
      </w:r>
    </w:p>
    <w:p w14:paraId="069B8570" w14:textId="79D7BD21" w:rsidR="00576C5E" w:rsidRDefault="00576C5E" w:rsidP="00576C5E">
      <w:pPr>
        <w:jc w:val="both"/>
        <w:rPr>
          <w:rFonts w:ascii="Tahoma" w:hAnsi="Tahoma" w:cs="Tahoma"/>
        </w:rPr>
      </w:pPr>
      <w:r w:rsidRPr="006A56EB">
        <w:rPr>
          <w:rFonts w:ascii="Tahoma" w:hAnsi="Tahoma" w:cs="Tahoma"/>
          <w:u w:val="single"/>
        </w:rPr>
        <w:t xml:space="preserve">Na základě smlouvy o úvěrovém </w:t>
      </w:r>
      <w:proofErr w:type="gramStart"/>
      <w:r w:rsidRPr="006A56EB">
        <w:rPr>
          <w:rFonts w:ascii="Tahoma" w:hAnsi="Tahoma" w:cs="Tahoma"/>
          <w:u w:val="single"/>
        </w:rPr>
        <w:t>rámci  ve</w:t>
      </w:r>
      <w:proofErr w:type="gramEnd"/>
      <w:r w:rsidRPr="006A56EB">
        <w:rPr>
          <w:rFonts w:ascii="Tahoma" w:hAnsi="Tahoma" w:cs="Tahoma"/>
          <w:u w:val="single"/>
        </w:rPr>
        <w:t xml:space="preserve"> výši 1.000 mil. Kč od UCB,</w:t>
      </w:r>
      <w:r w:rsidRPr="006A56EB">
        <w:rPr>
          <w:rFonts w:ascii="Tahoma" w:hAnsi="Tahoma" w:cs="Tahoma"/>
        </w:rPr>
        <w:t xml:space="preserve"> uzavřené v lednu 2019, mohou být použity finanční prostředky na předfinancování, případně spolufinancování akcí spolufinancovaných z evropských finančních zdrojů. Současně umožní předfinancování projektů hrazených z jiných zdrojů. Částku ve výši max.</w:t>
      </w:r>
      <w:r w:rsidR="007466D0">
        <w:rPr>
          <w:rFonts w:ascii="Tahoma" w:hAnsi="Tahoma" w:cs="Tahoma"/>
        </w:rPr>
        <w:t> </w:t>
      </w:r>
      <w:r w:rsidRPr="006A56EB">
        <w:rPr>
          <w:rFonts w:ascii="Tahoma" w:hAnsi="Tahoma" w:cs="Tahoma"/>
        </w:rPr>
        <w:t>400</w:t>
      </w:r>
      <w:r w:rsidR="007466D0">
        <w:rPr>
          <w:rFonts w:ascii="Tahoma" w:hAnsi="Tahoma" w:cs="Tahoma"/>
        </w:rPr>
        <w:t> </w:t>
      </w:r>
      <w:r w:rsidRPr="006A56EB">
        <w:rPr>
          <w:rFonts w:ascii="Tahoma" w:hAnsi="Tahoma" w:cs="Tahoma"/>
        </w:rPr>
        <w:t xml:space="preserve">mil. Kč je možné využít </w:t>
      </w:r>
      <w:r w:rsidRPr="006A56EB">
        <w:rPr>
          <w:rFonts w:ascii="Tahoma" w:hAnsi="Tahoma" w:cs="Tahoma"/>
          <w:bCs/>
        </w:rPr>
        <w:t>na úhradu vlastního podílu kraje u evropských akcí, případně na investiční akce realizované krajem, které nejsou spolufinancovány z evropských zdrojů.</w:t>
      </w:r>
      <w:r w:rsidRPr="006A56EB">
        <w:rPr>
          <w:rFonts w:ascii="Tahoma" w:hAnsi="Tahoma" w:cs="Tahoma"/>
        </w:rPr>
        <w:t xml:space="preserve"> </w:t>
      </w:r>
    </w:p>
    <w:p w14:paraId="647F88D5" w14:textId="77777777" w:rsidR="007466D0" w:rsidRPr="006A56EB" w:rsidRDefault="007466D0" w:rsidP="00576C5E">
      <w:pPr>
        <w:jc w:val="both"/>
        <w:rPr>
          <w:rFonts w:ascii="Tahoma" w:hAnsi="Tahoma" w:cs="Tahoma"/>
          <w:color w:val="FF0000"/>
        </w:rPr>
      </w:pPr>
    </w:p>
    <w:p w14:paraId="175ADF26" w14:textId="77777777" w:rsidR="00576C5E" w:rsidRPr="006A56EB" w:rsidRDefault="00576C5E" w:rsidP="00576C5E">
      <w:pPr>
        <w:jc w:val="both"/>
        <w:rPr>
          <w:rFonts w:ascii="Tahoma" w:hAnsi="Tahoma" w:cs="Tahoma"/>
        </w:rPr>
      </w:pPr>
      <w:r w:rsidRPr="006A56EB">
        <w:rPr>
          <w:rFonts w:ascii="Tahoma" w:hAnsi="Tahoma" w:cs="Tahoma"/>
        </w:rPr>
        <w:t xml:space="preserve">Prostředky tohoto úvěrového rámce budou průběžně čerpány a spláceny do konce roku 2023, konečný termín splatnosti je pak stanoven na 31. 12. 2024. V rámci sestaveného výhledu není počítáno s půjčením těchto prostředků na úhradu vlastního podílu kraje. </w:t>
      </w:r>
    </w:p>
    <w:p w14:paraId="142F76E5" w14:textId="77777777" w:rsidR="00576C5E" w:rsidRPr="006A56EB" w:rsidRDefault="00576C5E" w:rsidP="00576C5E">
      <w:pPr>
        <w:jc w:val="both"/>
        <w:rPr>
          <w:rFonts w:ascii="Tahoma" w:hAnsi="Tahoma" w:cs="Tahoma"/>
        </w:rPr>
      </w:pPr>
    </w:p>
    <w:p w14:paraId="7BF0EA9B" w14:textId="2D3CAC3C" w:rsidR="00576C5E" w:rsidRPr="006A56EB" w:rsidRDefault="00576C5E" w:rsidP="00576C5E">
      <w:pPr>
        <w:jc w:val="both"/>
        <w:rPr>
          <w:rFonts w:ascii="Tahoma" w:hAnsi="Tahoma" w:cs="Tahoma"/>
        </w:rPr>
      </w:pPr>
      <w:r w:rsidRPr="006A56EB">
        <w:rPr>
          <w:rFonts w:ascii="Tahoma" w:hAnsi="Tahoma" w:cs="Tahoma"/>
          <w:u w:val="single"/>
        </w:rPr>
        <w:t>Sestavený výhled počítá s potřebou přijetí nového úvěru</w:t>
      </w:r>
      <w:r w:rsidRPr="006A56EB">
        <w:rPr>
          <w:rFonts w:ascii="Tahoma" w:hAnsi="Tahoma" w:cs="Tahoma"/>
        </w:rPr>
        <w:t xml:space="preserve"> na předfinancování dotací u</w:t>
      </w:r>
      <w:r w:rsidR="007466D0">
        <w:rPr>
          <w:rFonts w:ascii="Tahoma" w:hAnsi="Tahoma" w:cs="Tahoma"/>
        </w:rPr>
        <w:t> </w:t>
      </w:r>
      <w:r w:rsidRPr="006A56EB">
        <w:rPr>
          <w:rFonts w:ascii="Tahoma" w:hAnsi="Tahoma" w:cs="Tahoma"/>
        </w:rPr>
        <w:t>projektů spolufinancovaných z evropských finančních zdrojů, případně projektů hrazených z jiných zdrojů. Bude se jednat o obdobný nástroj jako je současný úvěrový rámec od UCB. Jeho využívání se předpokládá od roku 2024 s tím, že v tomto okamžiku nelze vyloučit jeho využití již v roce 2023, a to u projektů, kde nebude jistota přijetí dotací do konce roku 2024, tedy do okamžiku konečné splatnosti současného úvěru UCB. Konečná výše potřebnosti bude vyhodnocena v polovině roku 2022, kdy budou nadefinovány také parametry pro vyhlášení poptávkového řízení. V této souvislosti je tento úvěr v tabulkové části výhledu zatím zachycen pouze v období do konce schvalovaného výhledu, tedy v letech 2024 a 2025.</w:t>
      </w:r>
    </w:p>
    <w:p w14:paraId="64653E15" w14:textId="77777777" w:rsidR="00576C5E" w:rsidRPr="006A56EB" w:rsidRDefault="00576C5E" w:rsidP="00576C5E">
      <w:pPr>
        <w:jc w:val="both"/>
        <w:rPr>
          <w:rFonts w:ascii="Tahoma" w:hAnsi="Tahoma" w:cs="Tahoma"/>
        </w:rPr>
      </w:pPr>
    </w:p>
    <w:p w14:paraId="1B0B9C8C" w14:textId="29EB4C19" w:rsidR="00576C5E" w:rsidRDefault="00576C5E" w:rsidP="00576C5E">
      <w:pPr>
        <w:jc w:val="both"/>
        <w:rPr>
          <w:rFonts w:ascii="Tahoma" w:hAnsi="Tahoma" w:cs="Tahoma"/>
        </w:rPr>
      </w:pPr>
      <w:r w:rsidRPr="006A56EB">
        <w:rPr>
          <w:rFonts w:ascii="Tahoma" w:hAnsi="Tahoma" w:cs="Tahoma"/>
        </w:rPr>
        <w:t xml:space="preserve">Největší objem čerpání všech úvěrových zdrojů se na základě aktuálně známých skutečností předpokládá v letech 2022 a 2023, a to ve výši cca 2.300 mil. Kč, v dalších </w:t>
      </w:r>
      <w:proofErr w:type="gramStart"/>
      <w:r w:rsidRPr="006A56EB">
        <w:rPr>
          <w:rFonts w:ascii="Tahoma" w:hAnsi="Tahoma" w:cs="Tahoma"/>
        </w:rPr>
        <w:t>letech  bude</w:t>
      </w:r>
      <w:proofErr w:type="gramEnd"/>
      <w:r w:rsidRPr="006A56EB">
        <w:rPr>
          <w:rFonts w:ascii="Tahoma" w:hAnsi="Tahoma" w:cs="Tahoma"/>
        </w:rPr>
        <w:t xml:space="preserve"> mít klesající tendenci k hranici cca 1.800 mil. Kč. </w:t>
      </w:r>
    </w:p>
    <w:p w14:paraId="42D32CD4" w14:textId="3A6BA160" w:rsidR="00A45384" w:rsidRDefault="00A45384" w:rsidP="00576C5E">
      <w:pPr>
        <w:jc w:val="both"/>
        <w:rPr>
          <w:rFonts w:ascii="Tahoma" w:hAnsi="Tahoma" w:cs="Tahoma"/>
        </w:rPr>
      </w:pPr>
    </w:p>
    <w:p w14:paraId="35472F65" w14:textId="77777777" w:rsidR="004F0EDD" w:rsidRDefault="004F0EDD" w:rsidP="00A45384">
      <w:pPr>
        <w:jc w:val="both"/>
        <w:rPr>
          <w:rFonts w:ascii="Tahoma" w:hAnsi="Tahoma" w:cs="Tahoma"/>
          <w:u w:val="single"/>
        </w:rPr>
      </w:pPr>
      <w:bookmarkStart w:id="4" w:name="_Toc72145607"/>
      <w:bookmarkStart w:id="5" w:name="_Toc72145985"/>
    </w:p>
    <w:p w14:paraId="0841CEF7" w14:textId="6AFADEEE" w:rsidR="00A45384" w:rsidRPr="00E82E31" w:rsidRDefault="00A45384" w:rsidP="00A45384">
      <w:pPr>
        <w:jc w:val="both"/>
        <w:rPr>
          <w:rFonts w:ascii="Tahoma" w:hAnsi="Tahoma" w:cs="Tahoma"/>
          <w:u w:val="single"/>
        </w:rPr>
      </w:pPr>
      <w:r w:rsidRPr="00E82E31">
        <w:rPr>
          <w:rFonts w:ascii="Tahoma" w:hAnsi="Tahoma" w:cs="Tahoma"/>
          <w:u w:val="single"/>
        </w:rPr>
        <w:t>Ostatní financování</w:t>
      </w:r>
      <w:bookmarkEnd w:id="4"/>
      <w:bookmarkEnd w:id="5"/>
    </w:p>
    <w:p w14:paraId="5FAD8AF5" w14:textId="6BCC9009" w:rsidR="00A45384" w:rsidRDefault="00A45384" w:rsidP="00A45384">
      <w:pPr>
        <w:jc w:val="both"/>
        <w:rPr>
          <w:rFonts w:ascii="Tahoma" w:eastAsiaTheme="minorHAnsi" w:hAnsi="Tahoma" w:cs="Tahoma"/>
          <w:lang w:eastAsia="en-US"/>
        </w:rPr>
      </w:pPr>
      <w:r w:rsidRPr="00263218">
        <w:rPr>
          <w:rFonts w:ascii="Tahoma" w:eastAsiaTheme="minorHAnsi" w:hAnsi="Tahoma" w:cs="Tahoma"/>
          <w:lang w:eastAsia="en-US"/>
        </w:rPr>
        <w:t xml:space="preserve">V rámci Financování je zařazena tvorba a čerpání </w:t>
      </w:r>
      <w:r w:rsidR="0006247C">
        <w:rPr>
          <w:rFonts w:ascii="Tahoma" w:eastAsiaTheme="minorHAnsi" w:hAnsi="Tahoma" w:cs="Tahoma"/>
          <w:lang w:eastAsia="en-US"/>
        </w:rPr>
        <w:t xml:space="preserve">peněžních </w:t>
      </w:r>
      <w:r w:rsidRPr="00263218">
        <w:rPr>
          <w:rFonts w:ascii="Tahoma" w:eastAsiaTheme="minorHAnsi" w:hAnsi="Tahoma" w:cs="Tahoma"/>
          <w:lang w:eastAsia="en-US"/>
        </w:rPr>
        <w:t xml:space="preserve">fondů kraje. Fondy kraje byly zřízeny vždy účelově. Ve sledovaném období se předpokládá zapojení prostředků </w:t>
      </w:r>
      <w:r w:rsidRPr="00414666">
        <w:rPr>
          <w:rFonts w:ascii="Tahoma" w:eastAsiaTheme="minorHAnsi" w:hAnsi="Tahoma" w:cs="Tahoma"/>
          <w:lang w:eastAsia="en-US"/>
        </w:rPr>
        <w:t>Zajišťovací</w:t>
      </w:r>
      <w:r w:rsidRPr="00263218">
        <w:rPr>
          <w:rFonts w:ascii="Tahoma" w:eastAsiaTheme="minorHAnsi" w:hAnsi="Tahoma" w:cs="Tahoma"/>
          <w:lang w:eastAsia="en-US"/>
        </w:rPr>
        <w:t>ho</w:t>
      </w:r>
      <w:r w:rsidRPr="00414666">
        <w:rPr>
          <w:rFonts w:ascii="Tahoma" w:eastAsiaTheme="minorHAnsi" w:hAnsi="Tahoma" w:cs="Tahoma"/>
          <w:lang w:eastAsia="en-US"/>
        </w:rPr>
        <w:t xml:space="preserve"> fond</w:t>
      </w:r>
      <w:r w:rsidRPr="00263218">
        <w:rPr>
          <w:rFonts w:ascii="Tahoma" w:eastAsiaTheme="minorHAnsi" w:hAnsi="Tahoma" w:cs="Tahoma"/>
          <w:lang w:eastAsia="en-US"/>
        </w:rPr>
        <w:t>u pro</w:t>
      </w:r>
      <w:r w:rsidRPr="00414666">
        <w:rPr>
          <w:rFonts w:ascii="Tahoma" w:eastAsiaTheme="minorHAnsi" w:hAnsi="Tahoma" w:cs="Tahoma"/>
          <w:lang w:eastAsia="en-US"/>
        </w:rPr>
        <w:t xml:space="preserve"> tvorb</w:t>
      </w:r>
      <w:r w:rsidRPr="00263218">
        <w:rPr>
          <w:rFonts w:ascii="Tahoma" w:eastAsiaTheme="minorHAnsi" w:hAnsi="Tahoma" w:cs="Tahoma"/>
          <w:lang w:eastAsia="en-US"/>
        </w:rPr>
        <w:t>u</w:t>
      </w:r>
      <w:r w:rsidRPr="00414666">
        <w:rPr>
          <w:rFonts w:ascii="Tahoma" w:eastAsiaTheme="minorHAnsi" w:hAnsi="Tahoma" w:cs="Tahoma"/>
          <w:lang w:eastAsia="en-US"/>
        </w:rPr>
        <w:t xml:space="preserve"> povinné rezervy dle </w:t>
      </w:r>
      <w:r w:rsidRPr="00263218">
        <w:rPr>
          <w:rFonts w:ascii="Tahoma" w:eastAsiaTheme="minorHAnsi" w:hAnsi="Tahoma" w:cs="Tahoma"/>
          <w:lang w:eastAsia="en-US"/>
        </w:rPr>
        <w:t>zákona č. 240/2000 Sb., o krizovém řízení a o změně některých zákonů (krizový zákon)</w:t>
      </w:r>
      <w:r>
        <w:rPr>
          <w:rFonts w:ascii="Tahoma" w:eastAsiaTheme="minorHAnsi" w:hAnsi="Tahoma" w:cs="Tahoma"/>
          <w:lang w:eastAsia="en-US"/>
        </w:rPr>
        <w:t xml:space="preserve">, ve znění pozdějších </w:t>
      </w:r>
      <w:proofErr w:type="gramStart"/>
      <w:r>
        <w:rPr>
          <w:rFonts w:ascii="Tahoma" w:eastAsiaTheme="minorHAnsi" w:hAnsi="Tahoma" w:cs="Tahoma"/>
          <w:lang w:eastAsia="en-US"/>
        </w:rPr>
        <w:t xml:space="preserve">předpisů, </w:t>
      </w:r>
      <w:r w:rsidRPr="00414666">
        <w:rPr>
          <w:rFonts w:ascii="Tahoma" w:eastAsiaTheme="minorHAnsi" w:hAnsi="Tahoma" w:cs="Tahoma"/>
          <w:lang w:eastAsia="en-US"/>
        </w:rPr>
        <w:t xml:space="preserve"> ve</w:t>
      </w:r>
      <w:proofErr w:type="gramEnd"/>
      <w:r w:rsidRPr="00414666">
        <w:rPr>
          <w:rFonts w:ascii="Tahoma" w:eastAsiaTheme="minorHAnsi" w:hAnsi="Tahoma" w:cs="Tahoma"/>
          <w:lang w:eastAsia="en-US"/>
        </w:rPr>
        <w:t xml:space="preserve"> výši 500 tis. Kč</w:t>
      </w:r>
      <w:r>
        <w:rPr>
          <w:rFonts w:ascii="Tahoma" w:eastAsiaTheme="minorHAnsi" w:hAnsi="Tahoma" w:cs="Tahoma"/>
          <w:lang w:eastAsia="en-US"/>
        </w:rPr>
        <w:t xml:space="preserve">. Prostředky </w:t>
      </w:r>
      <w:r w:rsidRPr="00794D69">
        <w:rPr>
          <w:rFonts w:ascii="Tahoma" w:eastAsiaTheme="minorHAnsi" w:hAnsi="Tahoma" w:cs="Tahoma"/>
          <w:lang w:eastAsia="en-US"/>
        </w:rPr>
        <w:t xml:space="preserve">z Fondu pro financování strategických projektů Moravskoslezského kraje ve výši </w:t>
      </w:r>
      <w:r w:rsidR="00C21827">
        <w:rPr>
          <w:rFonts w:ascii="Tahoma" w:eastAsiaTheme="minorHAnsi" w:hAnsi="Tahoma" w:cs="Tahoma"/>
          <w:lang w:eastAsia="en-US"/>
        </w:rPr>
        <w:t>283</w:t>
      </w:r>
      <w:r w:rsidRPr="00414666">
        <w:rPr>
          <w:rFonts w:ascii="Tahoma" w:eastAsiaTheme="minorHAnsi" w:hAnsi="Tahoma" w:cs="Tahoma"/>
          <w:lang w:eastAsia="en-US"/>
        </w:rPr>
        <w:t xml:space="preserve"> mil. Kč</w:t>
      </w:r>
      <w:r w:rsidR="00516DFE">
        <w:rPr>
          <w:rFonts w:ascii="Tahoma" w:eastAsiaTheme="minorHAnsi" w:hAnsi="Tahoma" w:cs="Tahoma"/>
          <w:lang w:eastAsia="en-US"/>
        </w:rPr>
        <w:t>.</w:t>
      </w:r>
      <w:r>
        <w:rPr>
          <w:rFonts w:ascii="Tahoma" w:eastAsiaTheme="minorHAnsi" w:hAnsi="Tahoma" w:cs="Tahoma"/>
          <w:lang w:eastAsia="en-US"/>
        </w:rPr>
        <w:t xml:space="preserve"> </w:t>
      </w:r>
    </w:p>
    <w:p w14:paraId="1FB8BFCF" w14:textId="77777777" w:rsidR="00A45384" w:rsidRDefault="00A45384" w:rsidP="00A45384">
      <w:pPr>
        <w:jc w:val="both"/>
        <w:rPr>
          <w:rFonts w:ascii="Tahoma" w:eastAsiaTheme="minorHAnsi" w:hAnsi="Tahoma" w:cs="Tahoma"/>
          <w:lang w:eastAsia="en-US"/>
        </w:rPr>
      </w:pPr>
    </w:p>
    <w:p w14:paraId="565F42E8" w14:textId="218BC9C8" w:rsidR="002D354E" w:rsidRPr="00F020C1" w:rsidRDefault="003F299D" w:rsidP="00F020C1">
      <w:pPr>
        <w:jc w:val="both"/>
        <w:rPr>
          <w:rFonts w:ascii="Tahoma" w:hAnsi="Tahoma" w:cs="Tahoma"/>
        </w:rPr>
      </w:pPr>
      <w:r>
        <w:rPr>
          <w:rFonts w:ascii="Tahoma" w:eastAsiaTheme="minorHAnsi" w:hAnsi="Tahoma" w:cs="Tahoma"/>
          <w:lang w:eastAsia="en-US"/>
        </w:rPr>
        <w:t xml:space="preserve">U </w:t>
      </w:r>
      <w:r w:rsidR="00A45384" w:rsidRPr="0007225F">
        <w:rPr>
          <w:rFonts w:ascii="Tahoma" w:eastAsiaTheme="minorHAnsi" w:hAnsi="Tahoma" w:cs="Tahoma"/>
          <w:lang w:eastAsia="en-US"/>
        </w:rPr>
        <w:t>Fond</w:t>
      </w:r>
      <w:r w:rsidR="00A45384">
        <w:rPr>
          <w:rFonts w:ascii="Tahoma" w:eastAsiaTheme="minorHAnsi" w:hAnsi="Tahoma" w:cs="Tahoma"/>
          <w:lang w:eastAsia="en-US"/>
        </w:rPr>
        <w:t>u</w:t>
      </w:r>
      <w:r w:rsidR="00A45384" w:rsidRPr="0007225F">
        <w:rPr>
          <w:rFonts w:ascii="Tahoma" w:eastAsiaTheme="minorHAnsi" w:hAnsi="Tahoma" w:cs="Tahoma"/>
          <w:lang w:eastAsia="en-US"/>
        </w:rPr>
        <w:t xml:space="preserve"> finančních zdrojů JESSICA</w:t>
      </w:r>
      <w:r>
        <w:rPr>
          <w:rFonts w:ascii="Tahoma" w:eastAsiaTheme="minorHAnsi" w:hAnsi="Tahoma" w:cs="Tahoma"/>
          <w:lang w:eastAsia="en-US"/>
        </w:rPr>
        <w:t xml:space="preserve"> je počítáno </w:t>
      </w:r>
      <w:proofErr w:type="gramStart"/>
      <w:r>
        <w:rPr>
          <w:rFonts w:ascii="Tahoma" w:eastAsiaTheme="minorHAnsi" w:hAnsi="Tahoma" w:cs="Tahoma"/>
          <w:lang w:eastAsia="en-US"/>
        </w:rPr>
        <w:t>z</w:t>
      </w:r>
      <w:proofErr w:type="gramEnd"/>
      <w:r>
        <w:rPr>
          <w:rFonts w:ascii="Tahoma" w:eastAsiaTheme="minorHAnsi" w:hAnsi="Tahoma" w:cs="Tahoma"/>
          <w:lang w:eastAsia="en-US"/>
        </w:rPr>
        <w:t xml:space="preserve"> přídělem</w:t>
      </w:r>
      <w:r w:rsidR="00A45384">
        <w:rPr>
          <w:rFonts w:ascii="Tahoma" w:eastAsiaTheme="minorHAnsi" w:hAnsi="Tahoma" w:cs="Tahoma"/>
          <w:lang w:eastAsia="en-US"/>
        </w:rPr>
        <w:t xml:space="preserve"> </w:t>
      </w:r>
      <w:r w:rsidR="00A45384" w:rsidRPr="0007225F">
        <w:rPr>
          <w:rFonts w:ascii="Tahoma" w:eastAsiaTheme="minorHAnsi" w:hAnsi="Tahoma" w:cs="Tahoma"/>
          <w:lang w:eastAsia="en-US"/>
        </w:rPr>
        <w:t xml:space="preserve">z vrácených prostředků na základě </w:t>
      </w:r>
      <w:r w:rsidR="00A45384" w:rsidRPr="00F64D19">
        <w:rPr>
          <w:rFonts w:ascii="Tahoma" w:eastAsiaTheme="minorHAnsi" w:hAnsi="Tahoma" w:cs="Tahoma"/>
          <w:lang w:eastAsia="en-US"/>
        </w:rPr>
        <w:t xml:space="preserve">operačních smluv s </w:t>
      </w:r>
      <w:r w:rsidR="00516DFE" w:rsidRPr="00F64D19">
        <w:rPr>
          <w:rFonts w:ascii="Tahoma" w:eastAsiaTheme="minorHAnsi" w:hAnsi="Tahoma" w:cs="Tahoma"/>
          <w:lang w:eastAsia="en-US"/>
        </w:rPr>
        <w:t>f</w:t>
      </w:r>
      <w:r w:rsidR="00A45384" w:rsidRPr="00F64D19">
        <w:rPr>
          <w:rFonts w:ascii="Tahoma" w:eastAsiaTheme="minorHAnsi" w:hAnsi="Tahoma" w:cs="Tahoma"/>
          <w:lang w:eastAsia="en-US"/>
        </w:rPr>
        <w:t>ondy rozvoje měst a ze splátek jistin půjčených prostředků v rámci finančního nástroje JESSICA II</w:t>
      </w:r>
      <w:r w:rsidR="00F64D19" w:rsidRPr="00F64D19">
        <w:rPr>
          <w:rFonts w:ascii="Tahoma" w:eastAsiaTheme="minorHAnsi" w:hAnsi="Tahoma" w:cs="Tahoma"/>
          <w:lang w:eastAsia="en-US"/>
        </w:rPr>
        <w:t>.</w:t>
      </w:r>
      <w:r w:rsidR="00F64D19">
        <w:rPr>
          <w:rFonts w:ascii="Tahoma" w:eastAsiaTheme="minorHAnsi" w:hAnsi="Tahoma" w:cs="Tahoma"/>
          <w:lang w:eastAsia="en-US"/>
        </w:rPr>
        <w:t xml:space="preserve"> </w:t>
      </w:r>
      <w:r w:rsidR="00F020C1">
        <w:rPr>
          <w:rFonts w:ascii="Tahoma" w:eastAsiaTheme="minorHAnsi" w:hAnsi="Tahoma" w:cs="Tahoma"/>
          <w:lang w:eastAsia="en-US"/>
        </w:rPr>
        <w:t xml:space="preserve"> </w:t>
      </w:r>
      <w:r w:rsidR="002D354E" w:rsidRPr="00F020C1">
        <w:rPr>
          <w:rFonts w:ascii="Tahoma" w:hAnsi="Tahoma" w:cs="Tahoma"/>
        </w:rPr>
        <w:t xml:space="preserve">V období výhledu se rovněž </w:t>
      </w:r>
      <w:r w:rsidR="004170E4" w:rsidRPr="00F020C1">
        <w:rPr>
          <w:rFonts w:ascii="Tahoma" w:hAnsi="Tahoma" w:cs="Tahoma"/>
        </w:rPr>
        <w:t>očekává</w:t>
      </w:r>
      <w:r w:rsidR="002D354E" w:rsidRPr="00F020C1">
        <w:rPr>
          <w:rFonts w:ascii="Tahoma" w:hAnsi="Tahoma" w:cs="Tahoma"/>
        </w:rPr>
        <w:t xml:space="preserve"> využití finančních prostředků alokovaných ve Fondu finančních zdrojů JESSICA, a to zejména na podporu projektů rozvoje obcí a měst v Moravskoslezském kraji, který </w:t>
      </w:r>
      <w:r>
        <w:rPr>
          <w:rFonts w:ascii="Tahoma" w:hAnsi="Tahoma" w:cs="Tahoma"/>
        </w:rPr>
        <w:t xml:space="preserve">bude </w:t>
      </w:r>
      <w:r w:rsidR="002D354E" w:rsidRPr="00F020C1">
        <w:rPr>
          <w:rFonts w:ascii="Tahoma" w:hAnsi="Tahoma" w:cs="Tahoma"/>
        </w:rPr>
        <w:t>realizován prostřednictvím poskytování návratných finančních zdrojů JESSICA III v souladu s</w:t>
      </w:r>
      <w:r w:rsidR="007466D0">
        <w:rPr>
          <w:rFonts w:ascii="Tahoma" w:hAnsi="Tahoma" w:cs="Tahoma"/>
        </w:rPr>
        <w:t> </w:t>
      </w:r>
      <w:r w:rsidR="002D354E" w:rsidRPr="00F020C1">
        <w:rPr>
          <w:rFonts w:ascii="Tahoma" w:hAnsi="Tahoma" w:cs="Tahoma"/>
        </w:rPr>
        <w:t xml:space="preserve">Investiční politikou Finančního nástroje JESSICA Moravskoslezsko. </w:t>
      </w:r>
      <w:r w:rsidR="00F020C1" w:rsidRPr="00F020C1">
        <w:rPr>
          <w:rFonts w:ascii="Tahoma" w:hAnsi="Tahoma" w:cs="Tahoma"/>
        </w:rPr>
        <w:t xml:space="preserve">Finanční prostředky budou do rozpočtu kraje zapojovány až v okamžiku uzavření příslušných úvěrových smluv. </w:t>
      </w:r>
    </w:p>
    <w:p w14:paraId="1F96ACBA" w14:textId="77777777" w:rsidR="002D354E" w:rsidRPr="00F020C1" w:rsidRDefault="002D354E" w:rsidP="002D354E">
      <w:pPr>
        <w:pStyle w:val="Zkladntextodsazen1"/>
        <w:ind w:left="0" w:firstLine="0"/>
        <w:rPr>
          <w:rFonts w:ascii="Tahoma" w:hAnsi="Tahoma" w:cs="Tahoma"/>
          <w:sz w:val="24"/>
          <w:szCs w:val="24"/>
        </w:rPr>
      </w:pPr>
    </w:p>
    <w:p w14:paraId="2CA9566B" w14:textId="77777777" w:rsidR="00576C5E" w:rsidRPr="00262647" w:rsidRDefault="00576C5E" w:rsidP="00262647">
      <w:pPr>
        <w:pStyle w:val="Nadpis3"/>
        <w:spacing w:before="360" w:after="180"/>
        <w:rPr>
          <w:rFonts w:ascii="Tahoma" w:hAnsi="Tahoma" w:cs="Tahoma"/>
          <w:b/>
          <w:bCs/>
          <w:sz w:val="24"/>
          <w:szCs w:val="24"/>
        </w:rPr>
      </w:pPr>
      <w:bookmarkStart w:id="6" w:name="_Toc72408817"/>
      <w:r w:rsidRPr="00262647">
        <w:rPr>
          <w:rFonts w:ascii="Tahoma" w:hAnsi="Tahoma" w:cs="Tahoma"/>
          <w:b/>
          <w:bCs/>
          <w:sz w:val="24"/>
          <w:szCs w:val="24"/>
        </w:rPr>
        <w:t>UKAZATELE ZADLUŽENOSTI KRAJE</w:t>
      </w:r>
      <w:bookmarkEnd w:id="6"/>
    </w:p>
    <w:p w14:paraId="7BF2AB50" w14:textId="77777777" w:rsidR="00576C5E" w:rsidRPr="006A56EB" w:rsidRDefault="00576C5E" w:rsidP="00576C5E">
      <w:pPr>
        <w:jc w:val="both"/>
        <w:rPr>
          <w:rFonts w:ascii="Tahoma" w:hAnsi="Tahoma" w:cs="Tahoma"/>
        </w:rPr>
      </w:pPr>
      <w:r w:rsidRPr="006A56EB">
        <w:rPr>
          <w:rFonts w:ascii="Tahoma" w:hAnsi="Tahoma" w:cs="Tahoma"/>
        </w:rPr>
        <w:t xml:space="preserve">Krajem jsou pravidelně sledovány a vyhodnocovány ukazatele zadluženosti podle metodiky ratingové agentury </w:t>
      </w:r>
      <w:proofErr w:type="spellStart"/>
      <w:r w:rsidRPr="006A56EB">
        <w:rPr>
          <w:rFonts w:ascii="Tahoma" w:hAnsi="Tahoma" w:cs="Tahoma"/>
        </w:rPr>
        <w:t>Moody´s</w:t>
      </w:r>
      <w:proofErr w:type="spellEnd"/>
      <w:r w:rsidRPr="006A56EB">
        <w:rPr>
          <w:rFonts w:ascii="Tahoma" w:hAnsi="Tahoma" w:cs="Tahoma"/>
        </w:rPr>
        <w:t xml:space="preserve"> a podle zákona č. 23/2017 Sb., o pravidlech rozpočtové odpovědnosti.</w:t>
      </w:r>
    </w:p>
    <w:p w14:paraId="27A3245C" w14:textId="77777777" w:rsidR="00576C5E" w:rsidRPr="006A56EB" w:rsidRDefault="00576C5E" w:rsidP="00576C5E">
      <w:pPr>
        <w:jc w:val="both"/>
        <w:rPr>
          <w:rFonts w:ascii="Tahoma" w:hAnsi="Tahoma" w:cs="Tahoma"/>
        </w:rPr>
      </w:pPr>
    </w:p>
    <w:p w14:paraId="38B6A07C" w14:textId="77777777" w:rsidR="00576C5E" w:rsidRPr="002D354E" w:rsidRDefault="00576C5E" w:rsidP="002D354E">
      <w:pPr>
        <w:pStyle w:val="Nadpis4"/>
        <w:rPr>
          <w:rFonts w:ascii="Tahoma" w:hAnsi="Tahoma" w:cs="Tahoma"/>
          <w:sz w:val="24"/>
          <w:szCs w:val="24"/>
        </w:rPr>
      </w:pPr>
      <w:r w:rsidRPr="002D354E">
        <w:rPr>
          <w:rFonts w:ascii="Tahoma" w:hAnsi="Tahoma" w:cs="Tahoma"/>
          <w:sz w:val="24"/>
          <w:szCs w:val="24"/>
        </w:rPr>
        <w:t xml:space="preserve">Ukazatel zadluženosti dle společnosti </w:t>
      </w:r>
      <w:proofErr w:type="spellStart"/>
      <w:r w:rsidRPr="002D354E">
        <w:rPr>
          <w:rFonts w:ascii="Tahoma" w:hAnsi="Tahoma" w:cs="Tahoma"/>
          <w:sz w:val="24"/>
          <w:szCs w:val="24"/>
        </w:rPr>
        <w:t>Moody´s</w:t>
      </w:r>
      <w:proofErr w:type="spellEnd"/>
      <w:r w:rsidRPr="002D354E">
        <w:rPr>
          <w:rFonts w:ascii="Tahoma" w:hAnsi="Tahoma" w:cs="Tahoma"/>
          <w:sz w:val="24"/>
          <w:szCs w:val="24"/>
        </w:rPr>
        <w:t xml:space="preserve"> </w:t>
      </w:r>
      <w:proofErr w:type="spellStart"/>
      <w:r w:rsidRPr="002D354E">
        <w:rPr>
          <w:rFonts w:ascii="Tahoma" w:hAnsi="Tahoma" w:cs="Tahoma"/>
          <w:sz w:val="24"/>
          <w:szCs w:val="24"/>
        </w:rPr>
        <w:t>Investors</w:t>
      </w:r>
      <w:proofErr w:type="spellEnd"/>
      <w:r w:rsidRPr="002D354E">
        <w:rPr>
          <w:rFonts w:ascii="Tahoma" w:hAnsi="Tahoma" w:cs="Tahoma"/>
          <w:sz w:val="24"/>
          <w:szCs w:val="24"/>
        </w:rPr>
        <w:t xml:space="preserve"> </w:t>
      </w:r>
      <w:proofErr w:type="spellStart"/>
      <w:r w:rsidRPr="002D354E">
        <w:rPr>
          <w:rFonts w:ascii="Tahoma" w:hAnsi="Tahoma" w:cs="Tahoma"/>
          <w:sz w:val="24"/>
          <w:szCs w:val="24"/>
        </w:rPr>
        <w:t>Service</w:t>
      </w:r>
      <w:proofErr w:type="spellEnd"/>
      <w:r w:rsidRPr="002D354E">
        <w:rPr>
          <w:rFonts w:ascii="Tahoma" w:hAnsi="Tahoma" w:cs="Tahoma"/>
          <w:sz w:val="24"/>
          <w:szCs w:val="24"/>
        </w:rPr>
        <w:t xml:space="preserve"> </w:t>
      </w:r>
    </w:p>
    <w:p w14:paraId="51377E53" w14:textId="7488FAB1" w:rsidR="00576C5E" w:rsidRDefault="00576C5E" w:rsidP="00576C5E">
      <w:pPr>
        <w:jc w:val="both"/>
        <w:rPr>
          <w:rFonts w:ascii="Tahoma" w:hAnsi="Tahoma" w:cs="Tahoma"/>
        </w:rPr>
      </w:pPr>
      <w:r w:rsidRPr="006A56EB">
        <w:rPr>
          <w:rFonts w:ascii="Tahoma" w:hAnsi="Tahoma" w:cs="Tahoma"/>
        </w:rPr>
        <w:t xml:space="preserve">Ukazatel je využíván společností </w:t>
      </w:r>
      <w:proofErr w:type="spellStart"/>
      <w:r w:rsidRPr="006A56EB">
        <w:rPr>
          <w:rFonts w:ascii="Tahoma" w:hAnsi="Tahoma" w:cs="Tahoma"/>
        </w:rPr>
        <w:t>Moody´s</w:t>
      </w:r>
      <w:proofErr w:type="spellEnd"/>
      <w:r w:rsidRPr="006A56EB">
        <w:rPr>
          <w:rFonts w:ascii="Tahoma" w:hAnsi="Tahoma" w:cs="Tahoma"/>
        </w:rPr>
        <w:t xml:space="preserve">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A1 se stabilním výhledem je zástupci této společnosti </w:t>
      </w:r>
      <w:r w:rsidRPr="00233545">
        <w:rPr>
          <w:rFonts w:ascii="Tahoma" w:hAnsi="Tahoma" w:cs="Tahoma"/>
        </w:rPr>
        <w:t xml:space="preserve">doporučováno dlouhodobě nepřekročit hodnotu 20 %. </w:t>
      </w:r>
    </w:p>
    <w:p w14:paraId="460646D2" w14:textId="77777777" w:rsidR="007466D0" w:rsidRPr="00233545" w:rsidRDefault="007466D0" w:rsidP="00576C5E">
      <w:pPr>
        <w:jc w:val="both"/>
        <w:rPr>
          <w:rFonts w:ascii="Tahoma" w:hAnsi="Tahoma" w:cs="Tahoma"/>
        </w:rPr>
      </w:pPr>
    </w:p>
    <w:p w14:paraId="58F628B7" w14:textId="67400621" w:rsidR="00576C5E" w:rsidRPr="00233545" w:rsidRDefault="00576C5E" w:rsidP="00576C5E">
      <w:pPr>
        <w:jc w:val="both"/>
        <w:rPr>
          <w:rFonts w:ascii="Tahoma" w:hAnsi="Tahoma" w:cs="Tahoma"/>
        </w:rPr>
      </w:pPr>
      <w:r w:rsidRPr="00233545">
        <w:rPr>
          <w:rFonts w:ascii="Tahoma" w:hAnsi="Tahoma" w:cs="Tahoma"/>
        </w:rPr>
        <w:t xml:space="preserve">V období výhledu by hodnota tohoto ukazatele neměla překročit hodnotu </w:t>
      </w:r>
      <w:r w:rsidR="00B03558">
        <w:rPr>
          <w:rFonts w:ascii="Tahoma" w:hAnsi="Tahoma" w:cs="Tahoma"/>
        </w:rPr>
        <w:t>15</w:t>
      </w:r>
      <w:r w:rsidRPr="00233545">
        <w:rPr>
          <w:rFonts w:ascii="Tahoma" w:hAnsi="Tahoma" w:cs="Tahoma"/>
        </w:rPr>
        <w:t xml:space="preserve"> %.</w:t>
      </w:r>
    </w:p>
    <w:p w14:paraId="7684EA44" w14:textId="77777777" w:rsidR="00576C5E" w:rsidRPr="00233545" w:rsidRDefault="00576C5E" w:rsidP="00576C5E">
      <w:pPr>
        <w:jc w:val="both"/>
        <w:rPr>
          <w:rFonts w:ascii="Tahoma" w:hAnsi="Tahoma" w:cs="Tahoma"/>
        </w:rPr>
      </w:pPr>
    </w:p>
    <w:p w14:paraId="26335E8D" w14:textId="77777777" w:rsidR="00576C5E" w:rsidRPr="00233545" w:rsidRDefault="00576C5E" w:rsidP="002D354E">
      <w:pPr>
        <w:pStyle w:val="Nadpis4"/>
        <w:rPr>
          <w:rFonts w:ascii="Tahoma" w:hAnsi="Tahoma" w:cs="Tahoma"/>
          <w:sz w:val="24"/>
          <w:szCs w:val="24"/>
        </w:rPr>
      </w:pPr>
      <w:r w:rsidRPr="00233545">
        <w:rPr>
          <w:rFonts w:ascii="Tahoma" w:hAnsi="Tahoma" w:cs="Tahoma"/>
          <w:sz w:val="24"/>
          <w:szCs w:val="24"/>
        </w:rPr>
        <w:t>Fiskální pravidlo dle zákona č. 23/2017 Sb., o pravidlech rozpočtové odpovědnosti</w:t>
      </w:r>
    </w:p>
    <w:p w14:paraId="1BBF0EB5" w14:textId="158038C3" w:rsidR="00576C5E" w:rsidRDefault="00576C5E" w:rsidP="00576C5E">
      <w:pPr>
        <w:jc w:val="both"/>
        <w:rPr>
          <w:rFonts w:ascii="Tahoma" w:hAnsi="Tahoma" w:cs="Tahoma"/>
        </w:rPr>
      </w:pPr>
      <w:r w:rsidRPr="00233545">
        <w:rPr>
          <w:rFonts w:ascii="Tahoma" w:hAnsi="Tahoma" w:cs="Tahoma"/>
        </w:rPr>
        <w:t xml:space="preserve">Dle zákona kraj hospodaří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snížit nejméně o 5 % z rozdílu mezi výší svého dluhu a 60 % průměru svých příjmů za poslední 4 rozpočtové roky. Nesníží-li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14:paraId="730E4AD5" w14:textId="77777777" w:rsidR="007466D0" w:rsidRPr="00233545" w:rsidRDefault="007466D0" w:rsidP="00576C5E">
      <w:pPr>
        <w:jc w:val="both"/>
        <w:rPr>
          <w:rFonts w:ascii="Tahoma" w:hAnsi="Tahoma" w:cs="Tahoma"/>
        </w:rPr>
      </w:pPr>
    </w:p>
    <w:p w14:paraId="0BA3F42C" w14:textId="0659BDDA" w:rsidR="00576C5E" w:rsidRDefault="00576C5E" w:rsidP="00576C5E">
      <w:pPr>
        <w:jc w:val="both"/>
        <w:rPr>
          <w:rFonts w:ascii="Tahoma" w:hAnsi="Tahoma" w:cs="Tahoma"/>
        </w:rPr>
      </w:pPr>
      <w:r w:rsidRPr="00233545">
        <w:rPr>
          <w:rFonts w:ascii="Tahoma" w:hAnsi="Tahoma" w:cs="Tahoma"/>
        </w:rPr>
        <w:t xml:space="preserve">Výpočet u tohoto pravidla je tedy obdobný jako u ukazatele zadluženosti dle </w:t>
      </w:r>
      <w:proofErr w:type="spellStart"/>
      <w:r w:rsidRPr="00233545">
        <w:rPr>
          <w:rFonts w:ascii="Tahoma" w:hAnsi="Tahoma" w:cs="Tahoma"/>
        </w:rPr>
        <w:t>Moody´s</w:t>
      </w:r>
      <w:proofErr w:type="spellEnd"/>
      <w:r w:rsidRPr="00233545">
        <w:rPr>
          <w:rFonts w:ascii="Tahoma" w:hAnsi="Tahoma" w:cs="Tahoma"/>
        </w:rPr>
        <w:t>, pouze celkový dluh porovnává k průměru všech příjmů kraje za poslední 4 rozpočtové roky.</w:t>
      </w:r>
    </w:p>
    <w:p w14:paraId="3BD4FA09" w14:textId="77777777" w:rsidR="007466D0" w:rsidRPr="00233545" w:rsidRDefault="007466D0" w:rsidP="00576C5E">
      <w:pPr>
        <w:jc w:val="both"/>
        <w:rPr>
          <w:rFonts w:ascii="Tahoma" w:hAnsi="Tahoma" w:cs="Tahoma"/>
        </w:rPr>
      </w:pPr>
    </w:p>
    <w:p w14:paraId="2BDAFB3A" w14:textId="49B4F55E" w:rsidR="00576C5E" w:rsidRPr="00233545" w:rsidRDefault="00576C5E" w:rsidP="00576C5E">
      <w:pPr>
        <w:jc w:val="both"/>
        <w:rPr>
          <w:rFonts w:ascii="Tahoma" w:hAnsi="Tahoma" w:cs="Tahoma"/>
        </w:rPr>
      </w:pPr>
      <w:r w:rsidRPr="00233545">
        <w:rPr>
          <w:rFonts w:ascii="Tahoma" w:hAnsi="Tahoma" w:cs="Tahoma"/>
        </w:rPr>
        <w:t xml:space="preserve">V období výhledu by hodnota tohoto ukazatele </w:t>
      </w:r>
      <w:r w:rsidR="003F299D">
        <w:rPr>
          <w:rFonts w:ascii="Tahoma" w:hAnsi="Tahoma" w:cs="Tahoma"/>
        </w:rPr>
        <w:t xml:space="preserve">rovněž </w:t>
      </w:r>
      <w:r w:rsidRPr="00233545">
        <w:rPr>
          <w:rFonts w:ascii="Tahoma" w:hAnsi="Tahoma" w:cs="Tahoma"/>
        </w:rPr>
        <w:t xml:space="preserve">neměla překročit hodnotu </w:t>
      </w:r>
      <w:r w:rsidR="00B03558">
        <w:rPr>
          <w:rFonts w:ascii="Tahoma" w:hAnsi="Tahoma" w:cs="Tahoma"/>
        </w:rPr>
        <w:t>15</w:t>
      </w:r>
      <w:r w:rsidR="00F41BD7">
        <w:rPr>
          <w:rFonts w:ascii="Tahoma" w:hAnsi="Tahoma" w:cs="Tahoma"/>
        </w:rPr>
        <w:t> </w:t>
      </w:r>
      <w:r w:rsidRPr="00233545">
        <w:rPr>
          <w:rFonts w:ascii="Tahoma" w:hAnsi="Tahoma" w:cs="Tahoma"/>
        </w:rPr>
        <w:t xml:space="preserve">%. </w:t>
      </w:r>
    </w:p>
    <w:p w14:paraId="0AE49F3D" w14:textId="77777777" w:rsidR="00576C5E" w:rsidRPr="00BD461E" w:rsidRDefault="00576C5E" w:rsidP="00576C5E">
      <w:pPr>
        <w:jc w:val="both"/>
        <w:rPr>
          <w:rFonts w:ascii="Tahoma" w:hAnsi="Tahoma" w:cs="Tahoma"/>
          <w:highlight w:val="cyan"/>
        </w:rPr>
      </w:pPr>
    </w:p>
    <w:p w14:paraId="7FBD9F5A" w14:textId="2B98E4C8" w:rsidR="00576C5E" w:rsidRPr="00E9450F" w:rsidRDefault="00576C5E" w:rsidP="00576C5E">
      <w:pPr>
        <w:jc w:val="both"/>
        <w:rPr>
          <w:rFonts w:ascii="Tahoma" w:hAnsi="Tahoma" w:cs="Tahoma"/>
        </w:rPr>
      </w:pPr>
      <w:r w:rsidRPr="006A56EB">
        <w:rPr>
          <w:rFonts w:ascii="Tahoma" w:hAnsi="Tahoma" w:cs="Tahoma"/>
        </w:rPr>
        <w:t xml:space="preserve">Vývoj hodnot výše zmíněných ukazatelů je uveden v tabulce č. 8 (tabulková část výhledu). V následujícím grafu </w:t>
      </w:r>
      <w:r w:rsidR="003F299D">
        <w:rPr>
          <w:rFonts w:ascii="Tahoma" w:hAnsi="Tahoma" w:cs="Tahoma"/>
        </w:rPr>
        <w:t xml:space="preserve">č. 12 </w:t>
      </w:r>
      <w:r w:rsidRPr="006A56EB">
        <w:rPr>
          <w:rFonts w:ascii="Tahoma" w:hAnsi="Tahoma" w:cs="Tahoma"/>
        </w:rPr>
        <w:t xml:space="preserve">je pak zobrazen očekávaný vývoj celkového objemu nesplacených úvěrů </w:t>
      </w:r>
      <w:r w:rsidR="003F299D">
        <w:rPr>
          <w:rFonts w:ascii="Tahoma" w:hAnsi="Tahoma" w:cs="Tahoma"/>
        </w:rPr>
        <w:t xml:space="preserve">v období výhledu. </w:t>
      </w:r>
    </w:p>
    <w:p w14:paraId="289748BE" w14:textId="77777777" w:rsidR="00576C5E" w:rsidRPr="00E9450F" w:rsidRDefault="00576C5E" w:rsidP="00576C5E">
      <w:pPr>
        <w:jc w:val="both"/>
        <w:rPr>
          <w:rFonts w:ascii="Tahoma" w:hAnsi="Tahoma" w:cs="Tahoma"/>
          <w:u w:val="single"/>
        </w:rPr>
      </w:pPr>
    </w:p>
    <w:p w14:paraId="79E65AA9" w14:textId="2AA1B7B4" w:rsidR="00610879" w:rsidRDefault="00576C5E" w:rsidP="00233545">
      <w:pPr>
        <w:rPr>
          <w:rFonts w:ascii="Tahoma" w:hAnsi="Tahoma" w:cs="Tahoma"/>
        </w:rPr>
      </w:pPr>
      <w:r w:rsidRPr="007A2199">
        <w:rPr>
          <w:rFonts w:ascii="Tahoma" w:hAnsi="Tahoma" w:cs="Tahoma"/>
          <w:sz w:val="16"/>
          <w:szCs w:val="16"/>
        </w:rPr>
        <w:t xml:space="preserve">Graf č. 12 </w:t>
      </w:r>
      <w:r w:rsidRPr="00233545">
        <w:rPr>
          <w:rFonts w:ascii="Tahoma" w:hAnsi="Tahoma" w:cs="Tahoma"/>
          <w:sz w:val="16"/>
          <w:szCs w:val="16"/>
        </w:rPr>
        <w:t>Vývoj celkového objemu nesplacených</w:t>
      </w:r>
      <w:r w:rsidRPr="00874681">
        <w:rPr>
          <w:rFonts w:ascii="Tahoma" w:hAnsi="Tahoma" w:cs="Tahoma"/>
          <w:sz w:val="16"/>
          <w:szCs w:val="16"/>
        </w:rPr>
        <w:t xml:space="preserve"> úvěrů Moravskoslezského kraje v letech </w:t>
      </w:r>
      <w:proofErr w:type="gramStart"/>
      <w:r w:rsidRPr="00874681">
        <w:rPr>
          <w:rFonts w:ascii="Tahoma" w:hAnsi="Tahoma" w:cs="Tahoma"/>
          <w:sz w:val="16"/>
          <w:szCs w:val="16"/>
        </w:rPr>
        <w:t>202</w:t>
      </w:r>
      <w:r w:rsidR="00874681" w:rsidRPr="00874681">
        <w:rPr>
          <w:rFonts w:ascii="Tahoma" w:hAnsi="Tahoma" w:cs="Tahoma"/>
          <w:sz w:val="16"/>
          <w:szCs w:val="16"/>
        </w:rPr>
        <w:t>2</w:t>
      </w:r>
      <w:r w:rsidRPr="00874681">
        <w:rPr>
          <w:rFonts w:ascii="Tahoma" w:hAnsi="Tahoma" w:cs="Tahoma"/>
          <w:sz w:val="16"/>
          <w:szCs w:val="16"/>
        </w:rPr>
        <w:t xml:space="preserve"> - 2025</w:t>
      </w:r>
      <w:proofErr w:type="gramEnd"/>
      <w:r w:rsidRPr="00874681">
        <w:rPr>
          <w:rFonts w:ascii="Tahoma" w:hAnsi="Tahoma" w:cs="Tahoma"/>
          <w:sz w:val="16"/>
          <w:szCs w:val="16"/>
        </w:rPr>
        <w:t xml:space="preserve"> (v mil. Kč)</w:t>
      </w:r>
      <w:r w:rsidR="00283C6B" w:rsidRPr="00283C6B">
        <w:rPr>
          <w:noProof/>
        </w:rPr>
        <w:drawing>
          <wp:inline distT="0" distB="0" distL="0" distR="0" wp14:anchorId="15239372" wp14:editId="10DC26D4">
            <wp:extent cx="3752850" cy="2028825"/>
            <wp:effectExtent l="0" t="0" r="0" b="9525"/>
            <wp:docPr id="1" name="Graf 1">
              <a:extLst xmlns:a="http://schemas.openxmlformats.org/drawingml/2006/main">
                <a:ext uri="{FF2B5EF4-FFF2-40B4-BE49-F238E27FC236}">
                  <a16:creationId xmlns:a16="http://schemas.microsoft.com/office/drawing/2014/main" id="{00000000-0008-0000-0300-000013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F0FAB6" w14:textId="77777777" w:rsidR="007E4416" w:rsidRDefault="007E4416" w:rsidP="00B12C39">
      <w:pPr>
        <w:jc w:val="both"/>
        <w:rPr>
          <w:rFonts w:ascii="Tahoma" w:eastAsiaTheme="minorHAnsi" w:hAnsi="Tahoma" w:cs="Tahoma"/>
          <w:lang w:eastAsia="en-US"/>
        </w:rPr>
      </w:pPr>
    </w:p>
    <w:p w14:paraId="79E65AAE" w14:textId="77777777" w:rsidR="008E7B37" w:rsidRPr="00262647" w:rsidRDefault="008E7B37" w:rsidP="00262647">
      <w:pPr>
        <w:pStyle w:val="Nadpis3"/>
        <w:spacing w:before="360" w:after="180"/>
        <w:rPr>
          <w:rFonts w:ascii="Tahoma" w:hAnsi="Tahoma" w:cs="Tahoma"/>
          <w:b/>
          <w:bCs/>
          <w:sz w:val="24"/>
          <w:szCs w:val="24"/>
        </w:rPr>
      </w:pPr>
      <w:bookmarkStart w:id="7" w:name="_Toc72408818"/>
      <w:r w:rsidRPr="00262647">
        <w:rPr>
          <w:rFonts w:ascii="Tahoma" w:hAnsi="Tahoma" w:cs="Tahoma"/>
          <w:b/>
          <w:bCs/>
          <w:sz w:val="24"/>
          <w:szCs w:val="24"/>
        </w:rPr>
        <w:t>Závěr</w:t>
      </w:r>
      <w:bookmarkEnd w:id="7"/>
    </w:p>
    <w:p w14:paraId="79E65AAF" w14:textId="0A677CC3" w:rsidR="005B4ADD" w:rsidRDefault="00A53074" w:rsidP="00082F8F">
      <w:pPr>
        <w:pStyle w:val="Zkladntextodsazen1"/>
        <w:ind w:left="0" w:firstLine="0"/>
        <w:rPr>
          <w:rFonts w:ascii="Tahoma" w:hAnsi="Tahoma" w:cs="Tahoma"/>
          <w:sz w:val="24"/>
          <w:szCs w:val="24"/>
        </w:rPr>
      </w:pPr>
      <w:r w:rsidRPr="00826D55">
        <w:rPr>
          <w:rFonts w:ascii="Tahoma" w:hAnsi="Tahoma" w:cs="Tahoma"/>
          <w:sz w:val="24"/>
          <w:szCs w:val="24"/>
        </w:rPr>
        <w:t>V</w:t>
      </w:r>
      <w:r w:rsidR="008E7B37" w:rsidRPr="00826D55">
        <w:rPr>
          <w:rFonts w:ascii="Tahoma" w:hAnsi="Tahoma" w:cs="Tahoma"/>
          <w:sz w:val="24"/>
          <w:szCs w:val="24"/>
        </w:rPr>
        <w:t>ýhled kraje nastiňuje pouze předpokládaný vývoj příjmů a základních výdaj</w:t>
      </w:r>
      <w:r w:rsidR="004F506C" w:rsidRPr="00826D55">
        <w:rPr>
          <w:rFonts w:ascii="Tahoma" w:hAnsi="Tahoma" w:cs="Tahoma"/>
          <w:sz w:val="24"/>
          <w:szCs w:val="24"/>
        </w:rPr>
        <w:t>ů v</w:t>
      </w:r>
      <w:r w:rsidR="008E7B37" w:rsidRPr="00826D55">
        <w:rPr>
          <w:rFonts w:ascii="Tahoma" w:hAnsi="Tahoma" w:cs="Tahoma"/>
          <w:sz w:val="24"/>
          <w:szCs w:val="24"/>
        </w:rPr>
        <w:t xml:space="preserve"> daných odvětvích v letech </w:t>
      </w:r>
      <w:proofErr w:type="gramStart"/>
      <w:r w:rsidR="008E7B37" w:rsidRPr="005B4ADD">
        <w:rPr>
          <w:rFonts w:ascii="Tahoma" w:hAnsi="Tahoma" w:cs="Tahoma"/>
          <w:sz w:val="24"/>
          <w:szCs w:val="24"/>
        </w:rPr>
        <w:t>20</w:t>
      </w:r>
      <w:r w:rsidR="00F35D49" w:rsidRPr="005B4ADD">
        <w:rPr>
          <w:rFonts w:ascii="Tahoma" w:hAnsi="Tahoma" w:cs="Tahoma"/>
          <w:sz w:val="24"/>
          <w:szCs w:val="24"/>
        </w:rPr>
        <w:t>2</w:t>
      </w:r>
      <w:r w:rsidR="00BD461E">
        <w:rPr>
          <w:rFonts w:ascii="Tahoma" w:hAnsi="Tahoma" w:cs="Tahoma"/>
          <w:sz w:val="24"/>
          <w:szCs w:val="24"/>
        </w:rPr>
        <w:t>2</w:t>
      </w:r>
      <w:r w:rsidR="008E7B37" w:rsidRPr="005B4ADD">
        <w:rPr>
          <w:rFonts w:ascii="Tahoma" w:hAnsi="Tahoma" w:cs="Tahoma"/>
          <w:sz w:val="24"/>
          <w:szCs w:val="24"/>
        </w:rPr>
        <w:t xml:space="preserve"> </w:t>
      </w:r>
      <w:r w:rsidR="008B73C1">
        <w:rPr>
          <w:rFonts w:ascii="Tahoma" w:hAnsi="Tahoma" w:cs="Tahoma"/>
          <w:sz w:val="24"/>
          <w:szCs w:val="24"/>
        </w:rPr>
        <w:t>–</w:t>
      </w:r>
      <w:r w:rsidR="008E7B37" w:rsidRPr="005B4ADD">
        <w:rPr>
          <w:rFonts w:ascii="Tahoma" w:hAnsi="Tahoma" w:cs="Tahoma"/>
          <w:sz w:val="24"/>
          <w:szCs w:val="24"/>
        </w:rPr>
        <w:t xml:space="preserve"> 20</w:t>
      </w:r>
      <w:r w:rsidR="00FF2B13" w:rsidRPr="005B4ADD">
        <w:rPr>
          <w:rFonts w:ascii="Tahoma" w:hAnsi="Tahoma" w:cs="Tahoma"/>
          <w:sz w:val="24"/>
          <w:szCs w:val="24"/>
        </w:rPr>
        <w:t>2</w:t>
      </w:r>
      <w:r w:rsidR="00BD461E">
        <w:rPr>
          <w:rFonts w:ascii="Tahoma" w:hAnsi="Tahoma" w:cs="Tahoma"/>
          <w:sz w:val="24"/>
          <w:szCs w:val="24"/>
        </w:rPr>
        <w:t>5</w:t>
      </w:r>
      <w:proofErr w:type="gramEnd"/>
      <w:r w:rsidR="008E7B37" w:rsidRPr="005B4ADD">
        <w:rPr>
          <w:rFonts w:ascii="Tahoma" w:hAnsi="Tahoma" w:cs="Tahoma"/>
          <w:sz w:val="24"/>
          <w:szCs w:val="24"/>
        </w:rPr>
        <w:t xml:space="preserve">. Konkrétněji se zabývá pouze financováním </w:t>
      </w:r>
      <w:r w:rsidR="00FF2B13" w:rsidRPr="005B4ADD">
        <w:rPr>
          <w:rFonts w:ascii="Tahoma" w:hAnsi="Tahoma" w:cs="Tahoma"/>
          <w:sz w:val="24"/>
          <w:szCs w:val="24"/>
        </w:rPr>
        <w:t xml:space="preserve">významných </w:t>
      </w:r>
      <w:r w:rsidR="008E7B37" w:rsidRPr="005B4ADD">
        <w:rPr>
          <w:rFonts w:ascii="Tahoma" w:hAnsi="Tahoma" w:cs="Tahoma"/>
          <w:sz w:val="24"/>
          <w:szCs w:val="24"/>
        </w:rPr>
        <w:t>akcí, které mají již schválený závazek</w:t>
      </w:r>
      <w:r w:rsidR="007B45C1" w:rsidRPr="005B4ADD">
        <w:rPr>
          <w:rFonts w:ascii="Tahoma" w:hAnsi="Tahoma" w:cs="Tahoma"/>
          <w:sz w:val="24"/>
          <w:szCs w:val="24"/>
        </w:rPr>
        <w:t xml:space="preserve"> zastupitelstvem kraje</w:t>
      </w:r>
      <w:r w:rsidR="008E7B37" w:rsidRPr="005B4ADD">
        <w:rPr>
          <w:rFonts w:ascii="Tahoma" w:hAnsi="Tahoma" w:cs="Tahoma"/>
          <w:sz w:val="24"/>
          <w:szCs w:val="24"/>
        </w:rPr>
        <w:t xml:space="preserve">. </w:t>
      </w:r>
      <w:r w:rsidR="005B4ADD" w:rsidRPr="004A74DE">
        <w:rPr>
          <w:rFonts w:ascii="Tahoma" w:hAnsi="Tahoma" w:cs="Tahoma"/>
          <w:sz w:val="24"/>
          <w:szCs w:val="24"/>
        </w:rPr>
        <w:t xml:space="preserve">Zásadní vliv na </w:t>
      </w:r>
      <w:r w:rsidR="008C11CC" w:rsidRPr="004A74DE">
        <w:rPr>
          <w:rFonts w:ascii="Tahoma" w:hAnsi="Tahoma" w:cs="Tahoma"/>
          <w:sz w:val="24"/>
          <w:szCs w:val="24"/>
        </w:rPr>
        <w:t>rozpočt</w:t>
      </w:r>
      <w:r w:rsidR="005B4ADD" w:rsidRPr="004A74DE">
        <w:rPr>
          <w:rFonts w:ascii="Tahoma" w:hAnsi="Tahoma" w:cs="Tahoma"/>
          <w:sz w:val="24"/>
          <w:szCs w:val="24"/>
        </w:rPr>
        <w:t xml:space="preserve">y </w:t>
      </w:r>
      <w:r w:rsidR="008C11CC" w:rsidRPr="004A74DE">
        <w:rPr>
          <w:rFonts w:ascii="Tahoma" w:hAnsi="Tahoma" w:cs="Tahoma"/>
          <w:sz w:val="24"/>
          <w:szCs w:val="24"/>
        </w:rPr>
        <w:t>v</w:t>
      </w:r>
      <w:r w:rsidR="00157DCB">
        <w:rPr>
          <w:rFonts w:ascii="Tahoma" w:hAnsi="Tahoma" w:cs="Tahoma"/>
          <w:sz w:val="24"/>
          <w:szCs w:val="24"/>
        </w:rPr>
        <w:t xml:space="preserve"> jednotlivých </w:t>
      </w:r>
      <w:r w:rsidR="008C11CC" w:rsidRPr="004A74DE">
        <w:rPr>
          <w:rFonts w:ascii="Tahoma" w:hAnsi="Tahoma" w:cs="Tahoma"/>
          <w:sz w:val="24"/>
          <w:szCs w:val="24"/>
        </w:rPr>
        <w:t xml:space="preserve">letech </w:t>
      </w:r>
      <w:r w:rsidR="005B4ADD" w:rsidRPr="004A74DE">
        <w:rPr>
          <w:rFonts w:ascii="Tahoma" w:hAnsi="Tahoma" w:cs="Tahoma"/>
          <w:sz w:val="24"/>
          <w:szCs w:val="24"/>
        </w:rPr>
        <w:t xml:space="preserve">bude mít </w:t>
      </w:r>
      <w:r w:rsidR="00942441">
        <w:rPr>
          <w:rFonts w:ascii="Tahoma" w:hAnsi="Tahoma" w:cs="Tahoma"/>
          <w:sz w:val="24"/>
          <w:szCs w:val="24"/>
        </w:rPr>
        <w:t xml:space="preserve">očekávaný vývoj ekonomiky a </w:t>
      </w:r>
      <w:r w:rsidR="00656EEC">
        <w:rPr>
          <w:rFonts w:ascii="Tahoma" w:hAnsi="Tahoma" w:cs="Tahoma"/>
          <w:sz w:val="24"/>
          <w:szCs w:val="24"/>
        </w:rPr>
        <w:t xml:space="preserve">další možnosti </w:t>
      </w:r>
      <w:r w:rsidR="004F506C" w:rsidRPr="004A74DE">
        <w:rPr>
          <w:rFonts w:ascii="Tahoma" w:hAnsi="Tahoma" w:cs="Tahoma"/>
          <w:sz w:val="24"/>
          <w:szCs w:val="24"/>
        </w:rPr>
        <w:t>programov</w:t>
      </w:r>
      <w:r w:rsidR="005B4ADD" w:rsidRPr="004A74DE">
        <w:rPr>
          <w:rFonts w:ascii="Tahoma" w:hAnsi="Tahoma" w:cs="Tahoma"/>
          <w:sz w:val="24"/>
          <w:szCs w:val="24"/>
        </w:rPr>
        <w:t>é</w:t>
      </w:r>
      <w:r w:rsidR="003F299D">
        <w:rPr>
          <w:rFonts w:ascii="Tahoma" w:hAnsi="Tahoma" w:cs="Tahoma"/>
          <w:sz w:val="24"/>
          <w:szCs w:val="24"/>
        </w:rPr>
        <w:t>ho</w:t>
      </w:r>
      <w:r w:rsidR="004F506C" w:rsidRPr="004A74DE">
        <w:rPr>
          <w:rFonts w:ascii="Tahoma" w:hAnsi="Tahoma" w:cs="Tahoma"/>
          <w:sz w:val="24"/>
          <w:szCs w:val="24"/>
        </w:rPr>
        <w:t xml:space="preserve"> </w:t>
      </w:r>
      <w:r w:rsidR="00E831DB" w:rsidRPr="004A74DE">
        <w:rPr>
          <w:rFonts w:ascii="Tahoma" w:hAnsi="Tahoma" w:cs="Tahoma"/>
          <w:sz w:val="24"/>
          <w:szCs w:val="24"/>
        </w:rPr>
        <w:t xml:space="preserve">období </w:t>
      </w:r>
      <w:proofErr w:type="gramStart"/>
      <w:r w:rsidR="00E831DB" w:rsidRPr="004A74DE">
        <w:rPr>
          <w:rFonts w:ascii="Tahoma" w:hAnsi="Tahoma" w:cs="Tahoma"/>
          <w:sz w:val="24"/>
          <w:szCs w:val="24"/>
        </w:rPr>
        <w:t>20</w:t>
      </w:r>
      <w:r w:rsidR="005B4ADD" w:rsidRPr="004A74DE">
        <w:rPr>
          <w:rFonts w:ascii="Tahoma" w:hAnsi="Tahoma" w:cs="Tahoma"/>
          <w:sz w:val="24"/>
          <w:szCs w:val="24"/>
        </w:rPr>
        <w:t>21</w:t>
      </w:r>
      <w:r w:rsidR="00FB1D66" w:rsidRPr="004A74DE">
        <w:rPr>
          <w:rFonts w:ascii="Tahoma" w:hAnsi="Tahoma" w:cs="Tahoma"/>
          <w:sz w:val="24"/>
          <w:szCs w:val="24"/>
        </w:rPr>
        <w:t> </w:t>
      </w:r>
      <w:r w:rsidR="008C11CC" w:rsidRPr="004A74DE">
        <w:rPr>
          <w:rFonts w:ascii="Tahoma" w:hAnsi="Tahoma" w:cs="Tahoma"/>
          <w:sz w:val="24"/>
          <w:szCs w:val="24"/>
        </w:rPr>
        <w:t>–</w:t>
      </w:r>
      <w:r w:rsidR="00FB1D66" w:rsidRPr="004A74DE">
        <w:rPr>
          <w:rFonts w:ascii="Tahoma" w:hAnsi="Tahoma" w:cs="Tahoma"/>
          <w:sz w:val="24"/>
          <w:szCs w:val="24"/>
        </w:rPr>
        <w:t> </w:t>
      </w:r>
      <w:r w:rsidR="00E831DB" w:rsidRPr="004A74DE">
        <w:rPr>
          <w:rFonts w:ascii="Tahoma" w:hAnsi="Tahoma" w:cs="Tahoma"/>
          <w:sz w:val="24"/>
          <w:szCs w:val="24"/>
        </w:rPr>
        <w:t>202</w:t>
      </w:r>
      <w:r w:rsidR="005B4ADD" w:rsidRPr="004A74DE">
        <w:rPr>
          <w:rFonts w:ascii="Tahoma" w:hAnsi="Tahoma" w:cs="Tahoma"/>
          <w:sz w:val="24"/>
          <w:szCs w:val="24"/>
        </w:rPr>
        <w:t>7</w:t>
      </w:r>
      <w:proofErr w:type="gramEnd"/>
      <w:r w:rsidR="005B4ADD" w:rsidRPr="004A74DE">
        <w:rPr>
          <w:rFonts w:ascii="Tahoma" w:hAnsi="Tahoma" w:cs="Tahoma"/>
          <w:sz w:val="24"/>
          <w:szCs w:val="24"/>
        </w:rPr>
        <w:t>.</w:t>
      </w:r>
    </w:p>
    <w:p w14:paraId="79E65AB0" w14:textId="77777777" w:rsidR="00F35D49" w:rsidRPr="00826D55" w:rsidRDefault="00F35D49" w:rsidP="00082F8F">
      <w:pPr>
        <w:pStyle w:val="Zkladntextodsazen1"/>
        <w:ind w:left="0" w:firstLine="0"/>
        <w:rPr>
          <w:rFonts w:ascii="Tahoma" w:hAnsi="Tahoma" w:cs="Tahoma"/>
          <w:sz w:val="24"/>
          <w:szCs w:val="24"/>
        </w:rPr>
      </w:pPr>
    </w:p>
    <w:p w14:paraId="79E65AB1" w14:textId="29A46533" w:rsidR="006C06E5" w:rsidRPr="00826D55" w:rsidRDefault="00E831DB">
      <w:pPr>
        <w:pStyle w:val="Zkladntext"/>
        <w:rPr>
          <w:rFonts w:ascii="Tahoma" w:hAnsi="Tahoma" w:cs="Tahoma"/>
          <w:sz w:val="24"/>
          <w:szCs w:val="24"/>
        </w:rPr>
      </w:pPr>
      <w:r w:rsidRPr="00826D55">
        <w:rPr>
          <w:rFonts w:ascii="Tahoma" w:hAnsi="Tahoma" w:cs="Tahoma"/>
          <w:sz w:val="24"/>
          <w:szCs w:val="24"/>
        </w:rPr>
        <w:t>T</w:t>
      </w:r>
      <w:r w:rsidR="008E7B37" w:rsidRPr="00826D55">
        <w:rPr>
          <w:rFonts w:ascii="Tahoma" w:hAnsi="Tahoma" w:cs="Tahoma"/>
          <w:sz w:val="24"/>
          <w:szCs w:val="24"/>
        </w:rPr>
        <w:t>ento výhled bude využit při sestavování ročních rozpočtů</w:t>
      </w:r>
      <w:r w:rsidR="00663E11">
        <w:rPr>
          <w:rFonts w:ascii="Tahoma" w:hAnsi="Tahoma" w:cs="Tahoma"/>
          <w:sz w:val="24"/>
          <w:szCs w:val="24"/>
        </w:rPr>
        <w:t>.</w:t>
      </w:r>
      <w:r w:rsidR="008E7B37" w:rsidRPr="00826D55">
        <w:rPr>
          <w:rFonts w:ascii="Tahoma" w:hAnsi="Tahoma" w:cs="Tahoma"/>
          <w:sz w:val="24"/>
          <w:szCs w:val="24"/>
        </w:rPr>
        <w:t xml:space="preserve"> </w:t>
      </w:r>
    </w:p>
    <w:sectPr w:rsidR="006C06E5" w:rsidRPr="00826D55" w:rsidSect="004F7A6D">
      <w:headerReference w:type="default" r:id="rId24"/>
      <w:footerReference w:type="even"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1D04D" w14:textId="77777777" w:rsidR="00DC1A43" w:rsidRDefault="00DC1A43">
      <w:r>
        <w:separator/>
      </w:r>
    </w:p>
  </w:endnote>
  <w:endnote w:type="continuationSeparator" w:id="0">
    <w:p w14:paraId="0CDD6269" w14:textId="77777777" w:rsidR="00DC1A43" w:rsidRDefault="00DC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CF" w14:textId="77777777" w:rsidR="008203B0" w:rsidRDefault="008203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65AD0" w14:textId="77777777" w:rsidR="008203B0" w:rsidRDefault="00820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D1" w14:textId="77777777" w:rsidR="008203B0" w:rsidRPr="000F2B7D" w:rsidRDefault="008203B0">
    <w:pPr>
      <w:pStyle w:val="Zpat"/>
      <w:framePr w:wrap="around" w:vAnchor="text" w:hAnchor="margin" w:xAlign="center" w:y="1"/>
      <w:rPr>
        <w:rStyle w:val="slostrnky"/>
        <w:rFonts w:ascii="Tahoma" w:hAnsi="Tahoma" w:cs="Tahoma"/>
        <w:sz w:val="20"/>
        <w:szCs w:val="20"/>
      </w:rPr>
    </w:pPr>
    <w:r w:rsidRPr="000F2B7D">
      <w:rPr>
        <w:rStyle w:val="slostrnky"/>
        <w:rFonts w:ascii="Tahoma" w:hAnsi="Tahoma" w:cs="Tahoma"/>
        <w:sz w:val="20"/>
        <w:szCs w:val="20"/>
      </w:rPr>
      <w:fldChar w:fldCharType="begin"/>
    </w:r>
    <w:r w:rsidRPr="000F2B7D">
      <w:rPr>
        <w:rStyle w:val="slostrnky"/>
        <w:rFonts w:ascii="Tahoma" w:hAnsi="Tahoma" w:cs="Tahoma"/>
        <w:sz w:val="20"/>
        <w:szCs w:val="20"/>
      </w:rPr>
      <w:instrText xml:space="preserve">PAGE  </w:instrText>
    </w:r>
    <w:r w:rsidRPr="000F2B7D">
      <w:rPr>
        <w:rStyle w:val="slostrnky"/>
        <w:rFonts w:ascii="Tahoma" w:hAnsi="Tahoma" w:cs="Tahoma"/>
        <w:sz w:val="20"/>
        <w:szCs w:val="20"/>
      </w:rPr>
      <w:fldChar w:fldCharType="separate"/>
    </w:r>
    <w:r w:rsidR="0005441E">
      <w:rPr>
        <w:rStyle w:val="slostrnky"/>
        <w:rFonts w:ascii="Tahoma" w:hAnsi="Tahoma" w:cs="Tahoma"/>
        <w:noProof/>
        <w:sz w:val="20"/>
        <w:szCs w:val="20"/>
      </w:rPr>
      <w:t>2</w:t>
    </w:r>
    <w:r w:rsidRPr="000F2B7D">
      <w:rPr>
        <w:rStyle w:val="slostrnky"/>
        <w:rFonts w:ascii="Tahoma" w:hAnsi="Tahoma" w:cs="Tahoma"/>
        <w:sz w:val="20"/>
        <w:szCs w:val="20"/>
      </w:rPr>
      <w:fldChar w:fldCharType="end"/>
    </w:r>
  </w:p>
  <w:p w14:paraId="79E65AD2" w14:textId="77777777" w:rsidR="008203B0" w:rsidRDefault="00820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0787" w14:textId="77777777" w:rsidR="00DC1A43" w:rsidRDefault="00DC1A43">
      <w:r>
        <w:separator/>
      </w:r>
    </w:p>
  </w:footnote>
  <w:footnote w:type="continuationSeparator" w:id="0">
    <w:p w14:paraId="62464531" w14:textId="77777777" w:rsidR="00DC1A43" w:rsidRDefault="00DC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CE" w14:textId="7901CF67" w:rsidR="008203B0" w:rsidRPr="008608C7" w:rsidRDefault="008203B0">
    <w:pPr>
      <w:pStyle w:val="Zhlav"/>
      <w:rPr>
        <w:rFonts w:ascii="Tahoma" w:hAnsi="Tahoma" w:cs="Tahoma"/>
        <w:i/>
        <w:sz w:val="18"/>
        <w:szCs w:val="18"/>
      </w:rPr>
    </w:pPr>
    <w:r w:rsidRPr="008608C7">
      <w:rPr>
        <w:rFonts w:ascii="Tahoma" w:hAnsi="Tahoma" w:cs="Tahoma"/>
        <w:i/>
        <w:sz w:val="18"/>
        <w:szCs w:val="18"/>
      </w:rPr>
      <w:t xml:space="preserve">Střednědobý výhled rozpočtu kraje na léta </w:t>
    </w:r>
    <w:proofErr w:type="gramStart"/>
    <w:r w:rsidRPr="008608C7">
      <w:rPr>
        <w:rFonts w:ascii="Tahoma" w:hAnsi="Tahoma" w:cs="Tahoma"/>
        <w:i/>
        <w:sz w:val="18"/>
        <w:szCs w:val="18"/>
      </w:rPr>
      <w:t>20</w:t>
    </w:r>
    <w:r>
      <w:rPr>
        <w:rFonts w:ascii="Tahoma" w:hAnsi="Tahoma" w:cs="Tahoma"/>
        <w:i/>
        <w:sz w:val="18"/>
        <w:szCs w:val="18"/>
      </w:rPr>
      <w:t>2</w:t>
    </w:r>
    <w:r w:rsidR="002934F2">
      <w:rPr>
        <w:rFonts w:ascii="Tahoma" w:hAnsi="Tahoma" w:cs="Tahoma"/>
        <w:i/>
        <w:sz w:val="18"/>
        <w:szCs w:val="18"/>
      </w:rPr>
      <w:t>2</w:t>
    </w:r>
    <w:r w:rsidRPr="008608C7">
      <w:rPr>
        <w:rFonts w:ascii="Tahoma" w:hAnsi="Tahoma" w:cs="Tahoma"/>
        <w:i/>
        <w:sz w:val="18"/>
        <w:szCs w:val="18"/>
      </w:rPr>
      <w:t xml:space="preserve"> - 202</w:t>
    </w:r>
    <w:r w:rsidR="002934F2">
      <w:rPr>
        <w:rFonts w:ascii="Tahoma" w:hAnsi="Tahoma" w:cs="Tahoma"/>
        <w:i/>
        <w:sz w:val="18"/>
        <w:szCs w:val="18"/>
      </w:rPr>
      <w:t>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752"/>
    <w:multiLevelType w:val="hybridMultilevel"/>
    <w:tmpl w:val="9BE2D7AE"/>
    <w:lvl w:ilvl="0" w:tplc="1E54E8A6">
      <w:start w:val="1"/>
      <w:numFmt w:val="decimal"/>
      <w:lvlText w:val="%1."/>
      <w:lvlJc w:val="left"/>
      <w:pPr>
        <w:tabs>
          <w:tab w:val="num" w:pos="360"/>
        </w:tabs>
        <w:ind w:left="340" w:hanging="340"/>
      </w:pPr>
      <w:rPr>
        <w:rFonts w:cs="Times New Roman" w:hint="default"/>
      </w:rPr>
    </w:lvl>
    <w:lvl w:ilvl="1" w:tplc="E0B871D4">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13612"/>
    <w:multiLevelType w:val="hybridMultilevel"/>
    <w:tmpl w:val="10B8D1C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00A59"/>
    <w:multiLevelType w:val="hybridMultilevel"/>
    <w:tmpl w:val="075C8FA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C05678"/>
    <w:multiLevelType w:val="hybridMultilevel"/>
    <w:tmpl w:val="1B82B492"/>
    <w:lvl w:ilvl="0" w:tplc="51FEFA14">
      <w:numFmt w:val="bullet"/>
      <w:lvlText w:val="-"/>
      <w:lvlJc w:val="left"/>
      <w:pPr>
        <w:tabs>
          <w:tab w:val="num" w:pos="420"/>
        </w:tabs>
        <w:ind w:left="420" w:hanging="25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4BC"/>
    <w:multiLevelType w:val="hybridMultilevel"/>
    <w:tmpl w:val="56A672E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15F5"/>
    <w:multiLevelType w:val="hybridMultilevel"/>
    <w:tmpl w:val="E998156C"/>
    <w:lvl w:ilvl="0" w:tplc="AEE288DC">
      <w:start w:val="1"/>
      <w:numFmt w:val="upperLetter"/>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4A5725"/>
    <w:multiLevelType w:val="hybridMultilevel"/>
    <w:tmpl w:val="7868BB28"/>
    <w:lvl w:ilvl="0" w:tplc="12605C6C">
      <w:start w:val="1"/>
      <w:numFmt w:val="bullet"/>
      <w:pStyle w:val="Mojeodrka"/>
      <w:lvlText w:val=""/>
      <w:lvlJc w:val="left"/>
      <w:pPr>
        <w:tabs>
          <w:tab w:val="num" w:pos="717"/>
        </w:tabs>
        <w:ind w:left="717"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10A5B"/>
    <w:multiLevelType w:val="hybridMultilevel"/>
    <w:tmpl w:val="90B63C22"/>
    <w:lvl w:ilvl="0" w:tplc="65F49C14">
      <w:numFmt w:val="bullet"/>
      <w:lvlText w:val="-"/>
      <w:lvlJc w:val="left"/>
      <w:pPr>
        <w:tabs>
          <w:tab w:val="num" w:pos="1070"/>
        </w:tabs>
        <w:ind w:left="107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D4EC0"/>
    <w:multiLevelType w:val="hybridMultilevel"/>
    <w:tmpl w:val="2944927A"/>
    <w:lvl w:ilvl="0" w:tplc="B6AED05E">
      <w:numFmt w:val="bullet"/>
      <w:lvlText w:val="-"/>
      <w:lvlJc w:val="left"/>
      <w:pPr>
        <w:tabs>
          <w:tab w:val="num" w:pos="435"/>
        </w:tabs>
        <w:ind w:left="435" w:hanging="360"/>
      </w:pPr>
      <w:rPr>
        <w:rFonts w:ascii="Times New Roman" w:eastAsia="Times New Roman" w:hAnsi="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2324651F"/>
    <w:multiLevelType w:val="hybridMultilevel"/>
    <w:tmpl w:val="23640F1E"/>
    <w:lvl w:ilvl="0" w:tplc="EC864DC6">
      <w:start w:val="1"/>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270A2"/>
    <w:multiLevelType w:val="hybridMultilevel"/>
    <w:tmpl w:val="6F78BAE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A3009"/>
    <w:multiLevelType w:val="hybridMultilevel"/>
    <w:tmpl w:val="05026E7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476DE2"/>
    <w:multiLevelType w:val="hybridMultilevel"/>
    <w:tmpl w:val="106A2338"/>
    <w:lvl w:ilvl="0" w:tplc="5A20D31A">
      <w:numFmt w:val="bullet"/>
      <w:lvlText w:val="-"/>
      <w:lvlJc w:val="left"/>
      <w:pPr>
        <w:tabs>
          <w:tab w:val="num" w:pos="720"/>
        </w:tabs>
        <w:ind w:left="720" w:hanging="360"/>
      </w:pPr>
      <w:rPr>
        <w:rFonts w:ascii="Tahoma" w:eastAsia="Times New Roman" w:hAnsi="Tahom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325C2F5A"/>
    <w:multiLevelType w:val="hybridMultilevel"/>
    <w:tmpl w:val="89C26F88"/>
    <w:lvl w:ilvl="0" w:tplc="443033C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1D0A49"/>
    <w:multiLevelType w:val="hybridMultilevel"/>
    <w:tmpl w:val="79AC3756"/>
    <w:lvl w:ilvl="0" w:tplc="5B006CF2">
      <w:start w:val="1"/>
      <w:numFmt w:val="bullet"/>
      <w:lvlText w:val="−"/>
      <w:lvlJc w:val="left"/>
      <w:pPr>
        <w:ind w:left="935" w:hanging="360"/>
      </w:pPr>
      <w:rPr>
        <w:rFonts w:ascii="Calibri" w:hAnsi="Calibri"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7" w15:restartNumberingAfterBreak="0">
    <w:nsid w:val="369F3BA5"/>
    <w:multiLevelType w:val="hybridMultilevel"/>
    <w:tmpl w:val="867A5CEC"/>
    <w:lvl w:ilvl="0" w:tplc="FD1E308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76FC9"/>
    <w:multiLevelType w:val="hybridMultilevel"/>
    <w:tmpl w:val="40A8BEFE"/>
    <w:lvl w:ilvl="0" w:tplc="E07EEFC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01C43"/>
    <w:multiLevelType w:val="hybridMultilevel"/>
    <w:tmpl w:val="BD26E2E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684AD7"/>
    <w:multiLevelType w:val="hybridMultilevel"/>
    <w:tmpl w:val="FD4AB5F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9EA60DF"/>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A88104C"/>
    <w:multiLevelType w:val="hybridMultilevel"/>
    <w:tmpl w:val="9C085ABC"/>
    <w:lvl w:ilvl="0" w:tplc="04050011">
      <w:start w:val="1"/>
      <w:numFmt w:val="decimal"/>
      <w:lvlText w:val="%1)"/>
      <w:lvlJc w:val="left"/>
      <w:pPr>
        <w:tabs>
          <w:tab w:val="num" w:pos="720"/>
        </w:tabs>
        <w:ind w:left="720" w:hanging="360"/>
      </w:pPr>
      <w:rPr>
        <w:rFonts w:cs="Times New Roman"/>
      </w:rPr>
    </w:lvl>
    <w:lvl w:ilvl="1" w:tplc="F87C3724">
      <w:start w:val="1"/>
      <w:numFmt w:val="bullet"/>
      <w:lvlText w:val=""/>
      <w:lvlJc w:val="left"/>
      <w:pPr>
        <w:tabs>
          <w:tab w:val="num" w:pos="1440"/>
        </w:tabs>
        <w:ind w:left="1440" w:hanging="360"/>
      </w:pPr>
      <w:rPr>
        <w:rFonts w:ascii="Symbol" w:hAnsi="Symbol" w:hint="default"/>
        <w:color w:val="000000"/>
        <w:u w:color="000000"/>
      </w:rPr>
    </w:lvl>
    <w:lvl w:ilvl="2" w:tplc="5BD8C022">
      <w:start w:val="1"/>
      <w:numFmt w:val="upperRoman"/>
      <w:lvlText w:val="%3."/>
      <w:lvlJc w:val="left"/>
      <w:pPr>
        <w:tabs>
          <w:tab w:val="num" w:pos="2700"/>
        </w:tabs>
        <w:ind w:left="2700" w:hanging="720"/>
      </w:pPr>
      <w:rPr>
        <w:rFonts w:cs="Times New Roman" w:hint="default"/>
        <w:b/>
        <w:bCs/>
        <w:sz w:val="24"/>
        <w:szCs w:val="24"/>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5D2BC6"/>
    <w:multiLevelType w:val="hybridMultilevel"/>
    <w:tmpl w:val="99DAD004"/>
    <w:lvl w:ilvl="0" w:tplc="DB34DF1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295046"/>
    <w:multiLevelType w:val="hybridMultilevel"/>
    <w:tmpl w:val="9D7C15E8"/>
    <w:lvl w:ilvl="0" w:tplc="F87C3724">
      <w:start w:val="1"/>
      <w:numFmt w:val="bullet"/>
      <w:lvlText w:val=""/>
      <w:lvlJc w:val="left"/>
      <w:pPr>
        <w:tabs>
          <w:tab w:val="num" w:pos="720"/>
        </w:tabs>
        <w:ind w:left="720" w:hanging="360"/>
      </w:pPr>
      <w:rPr>
        <w:rFonts w:ascii="Symbol" w:hAnsi="Symbol" w:hint="default"/>
        <w:color w:val="000000"/>
        <w:u w:color="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B434B"/>
    <w:multiLevelType w:val="hybridMultilevel"/>
    <w:tmpl w:val="BE460514"/>
    <w:lvl w:ilvl="0" w:tplc="24F421B6">
      <w:start w:val="1"/>
      <w:numFmt w:val="bullet"/>
      <w:lvlText w:val="•"/>
      <w:lvlJc w:val="left"/>
      <w:pPr>
        <w:tabs>
          <w:tab w:val="num" w:pos="720"/>
        </w:tabs>
        <w:ind w:left="720" w:hanging="360"/>
      </w:pPr>
      <w:rPr>
        <w:rFonts w:ascii="Arial" w:hAnsi="Arial" w:hint="default"/>
      </w:rPr>
    </w:lvl>
    <w:lvl w:ilvl="1" w:tplc="8BFCE8F6" w:tentative="1">
      <w:start w:val="1"/>
      <w:numFmt w:val="bullet"/>
      <w:lvlText w:val="•"/>
      <w:lvlJc w:val="left"/>
      <w:pPr>
        <w:tabs>
          <w:tab w:val="num" w:pos="1440"/>
        </w:tabs>
        <w:ind w:left="1440" w:hanging="360"/>
      </w:pPr>
      <w:rPr>
        <w:rFonts w:ascii="Arial" w:hAnsi="Arial" w:hint="default"/>
      </w:rPr>
    </w:lvl>
    <w:lvl w:ilvl="2" w:tplc="B16E3A2A" w:tentative="1">
      <w:start w:val="1"/>
      <w:numFmt w:val="bullet"/>
      <w:lvlText w:val="•"/>
      <w:lvlJc w:val="left"/>
      <w:pPr>
        <w:tabs>
          <w:tab w:val="num" w:pos="2160"/>
        </w:tabs>
        <w:ind w:left="2160" w:hanging="360"/>
      </w:pPr>
      <w:rPr>
        <w:rFonts w:ascii="Arial" w:hAnsi="Arial" w:hint="default"/>
      </w:rPr>
    </w:lvl>
    <w:lvl w:ilvl="3" w:tplc="CF604758" w:tentative="1">
      <w:start w:val="1"/>
      <w:numFmt w:val="bullet"/>
      <w:lvlText w:val="•"/>
      <w:lvlJc w:val="left"/>
      <w:pPr>
        <w:tabs>
          <w:tab w:val="num" w:pos="2880"/>
        </w:tabs>
        <w:ind w:left="2880" w:hanging="360"/>
      </w:pPr>
      <w:rPr>
        <w:rFonts w:ascii="Arial" w:hAnsi="Arial" w:hint="default"/>
      </w:rPr>
    </w:lvl>
    <w:lvl w:ilvl="4" w:tplc="738C5220" w:tentative="1">
      <w:start w:val="1"/>
      <w:numFmt w:val="bullet"/>
      <w:lvlText w:val="•"/>
      <w:lvlJc w:val="left"/>
      <w:pPr>
        <w:tabs>
          <w:tab w:val="num" w:pos="3600"/>
        </w:tabs>
        <w:ind w:left="3600" w:hanging="360"/>
      </w:pPr>
      <w:rPr>
        <w:rFonts w:ascii="Arial" w:hAnsi="Arial" w:hint="default"/>
      </w:rPr>
    </w:lvl>
    <w:lvl w:ilvl="5" w:tplc="15CA2E80" w:tentative="1">
      <w:start w:val="1"/>
      <w:numFmt w:val="bullet"/>
      <w:lvlText w:val="•"/>
      <w:lvlJc w:val="left"/>
      <w:pPr>
        <w:tabs>
          <w:tab w:val="num" w:pos="4320"/>
        </w:tabs>
        <w:ind w:left="4320" w:hanging="360"/>
      </w:pPr>
      <w:rPr>
        <w:rFonts w:ascii="Arial" w:hAnsi="Arial" w:hint="default"/>
      </w:rPr>
    </w:lvl>
    <w:lvl w:ilvl="6" w:tplc="390E2D0A" w:tentative="1">
      <w:start w:val="1"/>
      <w:numFmt w:val="bullet"/>
      <w:lvlText w:val="•"/>
      <w:lvlJc w:val="left"/>
      <w:pPr>
        <w:tabs>
          <w:tab w:val="num" w:pos="5040"/>
        </w:tabs>
        <w:ind w:left="5040" w:hanging="360"/>
      </w:pPr>
      <w:rPr>
        <w:rFonts w:ascii="Arial" w:hAnsi="Arial" w:hint="default"/>
      </w:rPr>
    </w:lvl>
    <w:lvl w:ilvl="7" w:tplc="661E0964" w:tentative="1">
      <w:start w:val="1"/>
      <w:numFmt w:val="bullet"/>
      <w:lvlText w:val="•"/>
      <w:lvlJc w:val="left"/>
      <w:pPr>
        <w:tabs>
          <w:tab w:val="num" w:pos="5760"/>
        </w:tabs>
        <w:ind w:left="5760" w:hanging="360"/>
      </w:pPr>
      <w:rPr>
        <w:rFonts w:ascii="Arial" w:hAnsi="Arial" w:hint="default"/>
      </w:rPr>
    </w:lvl>
    <w:lvl w:ilvl="8" w:tplc="BC383A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05E88"/>
    <w:multiLevelType w:val="hybridMultilevel"/>
    <w:tmpl w:val="B534063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5E295A"/>
    <w:multiLevelType w:val="hybridMultilevel"/>
    <w:tmpl w:val="19624BE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651D6054"/>
    <w:multiLevelType w:val="multilevel"/>
    <w:tmpl w:val="1AB01E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7AF6F59"/>
    <w:multiLevelType w:val="hybridMultilevel"/>
    <w:tmpl w:val="6FAEC29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4319BA"/>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638D6"/>
    <w:multiLevelType w:val="hybridMultilevel"/>
    <w:tmpl w:val="6E040B16"/>
    <w:lvl w:ilvl="0" w:tplc="41E2F57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24FCD"/>
    <w:multiLevelType w:val="multilevel"/>
    <w:tmpl w:val="1B280C02"/>
    <w:lvl w:ilvl="0">
      <w:start w:val="1"/>
      <w:numFmt w:val="decimal"/>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6" w15:restartNumberingAfterBreak="0">
    <w:nsid w:val="75494067"/>
    <w:multiLevelType w:val="multilevel"/>
    <w:tmpl w:val="AE6CD350"/>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1440"/>
        </w:tabs>
        <w:ind w:left="1440" w:hanging="360"/>
      </w:pPr>
      <w:rPr>
        <w:rFonts w:ascii="Symbol" w:hAnsi="Symbol" w:hint="default"/>
        <w:color w:val="000000"/>
        <w:u w:color="000000"/>
      </w:rPr>
    </w:lvl>
    <w:lvl w:ilvl="2">
      <w:start w:val="2"/>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5702908"/>
    <w:multiLevelType w:val="hybridMultilevel"/>
    <w:tmpl w:val="C72EEA0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490DDD"/>
    <w:multiLevelType w:val="hybridMultilevel"/>
    <w:tmpl w:val="CFA0A4E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E22CEE"/>
    <w:multiLevelType w:val="multilevel"/>
    <w:tmpl w:val="B86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A780F"/>
    <w:multiLevelType w:val="multilevel"/>
    <w:tmpl w:val="85DA9364"/>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1" w15:restartNumberingAfterBreak="0">
    <w:nsid w:val="7B2765E6"/>
    <w:multiLevelType w:val="hybridMultilevel"/>
    <w:tmpl w:val="C68EBF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0"/>
  </w:num>
  <w:num w:numId="3">
    <w:abstractNumId w:val="30"/>
  </w:num>
  <w:num w:numId="4">
    <w:abstractNumId w:val="18"/>
  </w:num>
  <w:num w:numId="5">
    <w:abstractNumId w:val="26"/>
  </w:num>
  <w:num w:numId="6">
    <w:abstractNumId w:val="15"/>
  </w:num>
  <w:num w:numId="7">
    <w:abstractNumId w:val="35"/>
  </w:num>
  <w:num w:numId="8">
    <w:abstractNumId w:val="10"/>
  </w:num>
  <w:num w:numId="9">
    <w:abstractNumId w:val="9"/>
  </w:num>
  <w:num w:numId="10">
    <w:abstractNumId w:val="38"/>
  </w:num>
  <w:num w:numId="11">
    <w:abstractNumId w:val="5"/>
  </w:num>
  <w:num w:numId="12">
    <w:abstractNumId w:val="23"/>
  </w:num>
  <w:num w:numId="13">
    <w:abstractNumId w:val="36"/>
  </w:num>
  <w:num w:numId="14">
    <w:abstractNumId w:val="34"/>
  </w:num>
  <w:num w:numId="15">
    <w:abstractNumId w:val="17"/>
  </w:num>
  <w:num w:numId="16">
    <w:abstractNumId w:val="8"/>
  </w:num>
  <w:num w:numId="17">
    <w:abstractNumId w:val="29"/>
  </w:num>
  <w:num w:numId="18">
    <w:abstractNumId w:val="41"/>
  </w:num>
  <w:num w:numId="19">
    <w:abstractNumId w:val="4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6"/>
  </w:num>
  <w:num w:numId="24">
    <w:abstractNumId w:val="32"/>
  </w:num>
  <w:num w:numId="25">
    <w:abstractNumId w:val="4"/>
  </w:num>
  <w:num w:numId="26">
    <w:abstractNumId w:val="22"/>
  </w:num>
  <w:num w:numId="27">
    <w:abstractNumId w:val="31"/>
  </w:num>
  <w:num w:numId="28">
    <w:abstractNumId w:val="11"/>
  </w:num>
  <w:num w:numId="29">
    <w:abstractNumId w:val="2"/>
  </w:num>
  <w:num w:numId="30">
    <w:abstractNumId w:val="28"/>
  </w:num>
  <w:num w:numId="31">
    <w:abstractNumId w:val="25"/>
  </w:num>
  <w:num w:numId="32">
    <w:abstractNumId w:val="16"/>
  </w:num>
  <w:num w:numId="33">
    <w:abstractNumId w:val="19"/>
  </w:num>
  <w:num w:numId="34">
    <w:abstractNumId w:val="1"/>
  </w:num>
  <w:num w:numId="35">
    <w:abstractNumId w:val="39"/>
  </w:num>
  <w:num w:numId="36">
    <w:abstractNumId w:val="37"/>
  </w:num>
  <w:num w:numId="37">
    <w:abstractNumId w:val="19"/>
  </w:num>
  <w:num w:numId="38">
    <w:abstractNumId w:val="13"/>
  </w:num>
  <w:num w:numId="39">
    <w:abstractNumId w:val="24"/>
  </w:num>
  <w:num w:numId="40">
    <w:abstractNumId w:val="33"/>
  </w:num>
  <w:num w:numId="41">
    <w:abstractNumId w:val="20"/>
  </w:num>
  <w:num w:numId="42">
    <w:abstractNumId w:val="12"/>
  </w:num>
  <w:num w:numId="43">
    <w:abstractNumId w:val="24"/>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CC"/>
    <w:rsid w:val="00001C18"/>
    <w:rsid w:val="00001E7A"/>
    <w:rsid w:val="000024E5"/>
    <w:rsid w:val="0000276C"/>
    <w:rsid w:val="00003E57"/>
    <w:rsid w:val="00003EC4"/>
    <w:rsid w:val="0000400A"/>
    <w:rsid w:val="00005671"/>
    <w:rsid w:val="00006359"/>
    <w:rsid w:val="0001043A"/>
    <w:rsid w:val="000106CA"/>
    <w:rsid w:val="00012921"/>
    <w:rsid w:val="00012D2F"/>
    <w:rsid w:val="00013DAB"/>
    <w:rsid w:val="00014F10"/>
    <w:rsid w:val="000170E9"/>
    <w:rsid w:val="000175C4"/>
    <w:rsid w:val="00017C58"/>
    <w:rsid w:val="00020021"/>
    <w:rsid w:val="000202A0"/>
    <w:rsid w:val="00020973"/>
    <w:rsid w:val="0002350F"/>
    <w:rsid w:val="000235AE"/>
    <w:rsid w:val="00026061"/>
    <w:rsid w:val="00026622"/>
    <w:rsid w:val="00027956"/>
    <w:rsid w:val="0003039B"/>
    <w:rsid w:val="0003240C"/>
    <w:rsid w:val="00033440"/>
    <w:rsid w:val="00034847"/>
    <w:rsid w:val="00035589"/>
    <w:rsid w:val="00035C70"/>
    <w:rsid w:val="00036283"/>
    <w:rsid w:val="000362AB"/>
    <w:rsid w:val="00036343"/>
    <w:rsid w:val="0004103D"/>
    <w:rsid w:val="000410EB"/>
    <w:rsid w:val="00041332"/>
    <w:rsid w:val="0004208C"/>
    <w:rsid w:val="00042616"/>
    <w:rsid w:val="000426DD"/>
    <w:rsid w:val="00042AB9"/>
    <w:rsid w:val="00042BD5"/>
    <w:rsid w:val="00043C27"/>
    <w:rsid w:val="00044258"/>
    <w:rsid w:val="00044A8D"/>
    <w:rsid w:val="0004502B"/>
    <w:rsid w:val="00046924"/>
    <w:rsid w:val="00047268"/>
    <w:rsid w:val="000473B6"/>
    <w:rsid w:val="00051433"/>
    <w:rsid w:val="00051C0E"/>
    <w:rsid w:val="00051E92"/>
    <w:rsid w:val="000529CA"/>
    <w:rsid w:val="00053A0A"/>
    <w:rsid w:val="00053BD1"/>
    <w:rsid w:val="00053C77"/>
    <w:rsid w:val="0005441E"/>
    <w:rsid w:val="00054B81"/>
    <w:rsid w:val="00055DC6"/>
    <w:rsid w:val="0005636F"/>
    <w:rsid w:val="000575C7"/>
    <w:rsid w:val="00060F0D"/>
    <w:rsid w:val="000612C2"/>
    <w:rsid w:val="00061715"/>
    <w:rsid w:val="0006247C"/>
    <w:rsid w:val="00065C72"/>
    <w:rsid w:val="000679F5"/>
    <w:rsid w:val="0007028E"/>
    <w:rsid w:val="0007225F"/>
    <w:rsid w:val="000732EA"/>
    <w:rsid w:val="0007331E"/>
    <w:rsid w:val="000739DC"/>
    <w:rsid w:val="00075236"/>
    <w:rsid w:val="00075503"/>
    <w:rsid w:val="00076D5A"/>
    <w:rsid w:val="00077D2C"/>
    <w:rsid w:val="00082074"/>
    <w:rsid w:val="000820AC"/>
    <w:rsid w:val="00082F8F"/>
    <w:rsid w:val="00083490"/>
    <w:rsid w:val="00084708"/>
    <w:rsid w:val="00084750"/>
    <w:rsid w:val="00085260"/>
    <w:rsid w:val="00085F8A"/>
    <w:rsid w:val="00086B1D"/>
    <w:rsid w:val="00086DA4"/>
    <w:rsid w:val="00090C4D"/>
    <w:rsid w:val="00090DD6"/>
    <w:rsid w:val="00092783"/>
    <w:rsid w:val="000932ED"/>
    <w:rsid w:val="00093B15"/>
    <w:rsid w:val="00094E44"/>
    <w:rsid w:val="00095203"/>
    <w:rsid w:val="00096511"/>
    <w:rsid w:val="000972E3"/>
    <w:rsid w:val="00097EE8"/>
    <w:rsid w:val="000A1A2D"/>
    <w:rsid w:val="000A4209"/>
    <w:rsid w:val="000A443E"/>
    <w:rsid w:val="000A509D"/>
    <w:rsid w:val="000A5170"/>
    <w:rsid w:val="000A5298"/>
    <w:rsid w:val="000B25EA"/>
    <w:rsid w:val="000B275D"/>
    <w:rsid w:val="000B43A1"/>
    <w:rsid w:val="000B5B3B"/>
    <w:rsid w:val="000B5CD4"/>
    <w:rsid w:val="000B7804"/>
    <w:rsid w:val="000C0850"/>
    <w:rsid w:val="000C18B9"/>
    <w:rsid w:val="000C4EAA"/>
    <w:rsid w:val="000C6B8D"/>
    <w:rsid w:val="000C7E6A"/>
    <w:rsid w:val="000D0EC2"/>
    <w:rsid w:val="000D114A"/>
    <w:rsid w:val="000D158E"/>
    <w:rsid w:val="000D1F55"/>
    <w:rsid w:val="000D34EE"/>
    <w:rsid w:val="000D3EB0"/>
    <w:rsid w:val="000D6C88"/>
    <w:rsid w:val="000D7BD8"/>
    <w:rsid w:val="000E0C73"/>
    <w:rsid w:val="000E2941"/>
    <w:rsid w:val="000E5C85"/>
    <w:rsid w:val="000E714F"/>
    <w:rsid w:val="000E7A29"/>
    <w:rsid w:val="000F2A70"/>
    <w:rsid w:val="000F2B7D"/>
    <w:rsid w:val="000F3253"/>
    <w:rsid w:val="000F3A43"/>
    <w:rsid w:val="000F3CB0"/>
    <w:rsid w:val="000F4075"/>
    <w:rsid w:val="000F548B"/>
    <w:rsid w:val="000F5DD1"/>
    <w:rsid w:val="000F6CEA"/>
    <w:rsid w:val="00101525"/>
    <w:rsid w:val="001025D6"/>
    <w:rsid w:val="001037B9"/>
    <w:rsid w:val="00104E38"/>
    <w:rsid w:val="00107013"/>
    <w:rsid w:val="001076A4"/>
    <w:rsid w:val="001079AC"/>
    <w:rsid w:val="00111658"/>
    <w:rsid w:val="00112FA8"/>
    <w:rsid w:val="00113299"/>
    <w:rsid w:val="00114484"/>
    <w:rsid w:val="0011487B"/>
    <w:rsid w:val="00116726"/>
    <w:rsid w:val="00116D09"/>
    <w:rsid w:val="00117E1F"/>
    <w:rsid w:val="001222A3"/>
    <w:rsid w:val="00124E45"/>
    <w:rsid w:val="00125674"/>
    <w:rsid w:val="0012711B"/>
    <w:rsid w:val="00127B64"/>
    <w:rsid w:val="00131DDC"/>
    <w:rsid w:val="00132B21"/>
    <w:rsid w:val="00132B85"/>
    <w:rsid w:val="00133325"/>
    <w:rsid w:val="0013371C"/>
    <w:rsid w:val="00140EEC"/>
    <w:rsid w:val="00141089"/>
    <w:rsid w:val="0014185A"/>
    <w:rsid w:val="00141F7C"/>
    <w:rsid w:val="00142801"/>
    <w:rsid w:val="001431B3"/>
    <w:rsid w:val="00143241"/>
    <w:rsid w:val="0014324E"/>
    <w:rsid w:val="0014541D"/>
    <w:rsid w:val="001454DD"/>
    <w:rsid w:val="00146930"/>
    <w:rsid w:val="00146EFC"/>
    <w:rsid w:val="00147243"/>
    <w:rsid w:val="001516D2"/>
    <w:rsid w:val="00151E20"/>
    <w:rsid w:val="00153343"/>
    <w:rsid w:val="0015419A"/>
    <w:rsid w:val="00154776"/>
    <w:rsid w:val="00157117"/>
    <w:rsid w:val="00157AF0"/>
    <w:rsid w:val="00157DCB"/>
    <w:rsid w:val="00162AA6"/>
    <w:rsid w:val="00163BB0"/>
    <w:rsid w:val="00164EF5"/>
    <w:rsid w:val="001707AE"/>
    <w:rsid w:val="001751A6"/>
    <w:rsid w:val="0017672C"/>
    <w:rsid w:val="00176D7B"/>
    <w:rsid w:val="00180410"/>
    <w:rsid w:val="00180B10"/>
    <w:rsid w:val="001816C1"/>
    <w:rsid w:val="00183580"/>
    <w:rsid w:val="00183A1E"/>
    <w:rsid w:val="00184592"/>
    <w:rsid w:val="00186775"/>
    <w:rsid w:val="00191F84"/>
    <w:rsid w:val="00193131"/>
    <w:rsid w:val="001942BD"/>
    <w:rsid w:val="00197EB6"/>
    <w:rsid w:val="001A27C4"/>
    <w:rsid w:val="001A7D40"/>
    <w:rsid w:val="001B2E39"/>
    <w:rsid w:val="001B5540"/>
    <w:rsid w:val="001B67BB"/>
    <w:rsid w:val="001B7A60"/>
    <w:rsid w:val="001C202F"/>
    <w:rsid w:val="001C38BE"/>
    <w:rsid w:val="001C4882"/>
    <w:rsid w:val="001C51F8"/>
    <w:rsid w:val="001C7F79"/>
    <w:rsid w:val="001D034B"/>
    <w:rsid w:val="001D1138"/>
    <w:rsid w:val="001D42D0"/>
    <w:rsid w:val="001D54D9"/>
    <w:rsid w:val="001D5A10"/>
    <w:rsid w:val="001D750B"/>
    <w:rsid w:val="001D7F0D"/>
    <w:rsid w:val="001E28B2"/>
    <w:rsid w:val="001E40A6"/>
    <w:rsid w:val="001E4C7C"/>
    <w:rsid w:val="001E6327"/>
    <w:rsid w:val="001E649D"/>
    <w:rsid w:val="001E6C1D"/>
    <w:rsid w:val="001E775F"/>
    <w:rsid w:val="001F0295"/>
    <w:rsid w:val="001F0518"/>
    <w:rsid w:val="001F0708"/>
    <w:rsid w:val="001F1ADC"/>
    <w:rsid w:val="001F1FA0"/>
    <w:rsid w:val="001F508F"/>
    <w:rsid w:val="001F664C"/>
    <w:rsid w:val="001F71BA"/>
    <w:rsid w:val="00200A7C"/>
    <w:rsid w:val="00200BA2"/>
    <w:rsid w:val="00200CD4"/>
    <w:rsid w:val="00200E24"/>
    <w:rsid w:val="00201FF8"/>
    <w:rsid w:val="00202C13"/>
    <w:rsid w:val="0020407A"/>
    <w:rsid w:val="00205039"/>
    <w:rsid w:val="0020545E"/>
    <w:rsid w:val="0020558F"/>
    <w:rsid w:val="00206619"/>
    <w:rsid w:val="00206707"/>
    <w:rsid w:val="0021073C"/>
    <w:rsid w:val="002121B9"/>
    <w:rsid w:val="00215B29"/>
    <w:rsid w:val="00215D32"/>
    <w:rsid w:val="00216BE9"/>
    <w:rsid w:val="00216CBF"/>
    <w:rsid w:val="00221112"/>
    <w:rsid w:val="00221AA5"/>
    <w:rsid w:val="00221AD3"/>
    <w:rsid w:val="002238D0"/>
    <w:rsid w:val="00224448"/>
    <w:rsid w:val="00227EFF"/>
    <w:rsid w:val="00230268"/>
    <w:rsid w:val="00232909"/>
    <w:rsid w:val="00233545"/>
    <w:rsid w:val="00233CF4"/>
    <w:rsid w:val="00234E00"/>
    <w:rsid w:val="00235054"/>
    <w:rsid w:val="00235600"/>
    <w:rsid w:val="002359BC"/>
    <w:rsid w:val="00235D67"/>
    <w:rsid w:val="00236963"/>
    <w:rsid w:val="0023751D"/>
    <w:rsid w:val="00243127"/>
    <w:rsid w:val="002439E6"/>
    <w:rsid w:val="00244853"/>
    <w:rsid w:val="00245444"/>
    <w:rsid w:val="002461C3"/>
    <w:rsid w:val="00246BB0"/>
    <w:rsid w:val="002471E2"/>
    <w:rsid w:val="00250BB7"/>
    <w:rsid w:val="00250ED8"/>
    <w:rsid w:val="0025341B"/>
    <w:rsid w:val="00255248"/>
    <w:rsid w:val="002559B6"/>
    <w:rsid w:val="00256151"/>
    <w:rsid w:val="002579A6"/>
    <w:rsid w:val="00257E40"/>
    <w:rsid w:val="0026033B"/>
    <w:rsid w:val="002604F5"/>
    <w:rsid w:val="002606F6"/>
    <w:rsid w:val="002607BE"/>
    <w:rsid w:val="00260EEF"/>
    <w:rsid w:val="00261817"/>
    <w:rsid w:val="00262647"/>
    <w:rsid w:val="00263218"/>
    <w:rsid w:val="00277E48"/>
    <w:rsid w:val="00280C2E"/>
    <w:rsid w:val="00281813"/>
    <w:rsid w:val="00282418"/>
    <w:rsid w:val="00282E7C"/>
    <w:rsid w:val="00283217"/>
    <w:rsid w:val="00283BC2"/>
    <w:rsid w:val="00283C6B"/>
    <w:rsid w:val="00285C70"/>
    <w:rsid w:val="00286A76"/>
    <w:rsid w:val="00291580"/>
    <w:rsid w:val="0029203D"/>
    <w:rsid w:val="00292134"/>
    <w:rsid w:val="002934F2"/>
    <w:rsid w:val="002935C6"/>
    <w:rsid w:val="00293A8A"/>
    <w:rsid w:val="00293E55"/>
    <w:rsid w:val="00294101"/>
    <w:rsid w:val="0029453B"/>
    <w:rsid w:val="0029515B"/>
    <w:rsid w:val="002962D6"/>
    <w:rsid w:val="00296AE3"/>
    <w:rsid w:val="00296E19"/>
    <w:rsid w:val="00297B9D"/>
    <w:rsid w:val="002A00B0"/>
    <w:rsid w:val="002A2B72"/>
    <w:rsid w:val="002A6D40"/>
    <w:rsid w:val="002A777D"/>
    <w:rsid w:val="002B019E"/>
    <w:rsid w:val="002B0219"/>
    <w:rsid w:val="002B089F"/>
    <w:rsid w:val="002B0FBC"/>
    <w:rsid w:val="002B2542"/>
    <w:rsid w:val="002B43FF"/>
    <w:rsid w:val="002B44A1"/>
    <w:rsid w:val="002B600F"/>
    <w:rsid w:val="002B6425"/>
    <w:rsid w:val="002B7540"/>
    <w:rsid w:val="002C203C"/>
    <w:rsid w:val="002C4745"/>
    <w:rsid w:val="002C47F8"/>
    <w:rsid w:val="002C4DDA"/>
    <w:rsid w:val="002C5FFD"/>
    <w:rsid w:val="002C6F72"/>
    <w:rsid w:val="002D0F07"/>
    <w:rsid w:val="002D11FE"/>
    <w:rsid w:val="002D354E"/>
    <w:rsid w:val="002D61E7"/>
    <w:rsid w:val="002D748D"/>
    <w:rsid w:val="002D7DC2"/>
    <w:rsid w:val="002E0495"/>
    <w:rsid w:val="002E0EF3"/>
    <w:rsid w:val="002E2684"/>
    <w:rsid w:val="002E2AC8"/>
    <w:rsid w:val="002E3003"/>
    <w:rsid w:val="002E48F9"/>
    <w:rsid w:val="002E5D7C"/>
    <w:rsid w:val="002E69AF"/>
    <w:rsid w:val="002E6BC0"/>
    <w:rsid w:val="002E7EA1"/>
    <w:rsid w:val="002F0E90"/>
    <w:rsid w:val="002F1178"/>
    <w:rsid w:val="002F25EB"/>
    <w:rsid w:val="002F353E"/>
    <w:rsid w:val="002F4656"/>
    <w:rsid w:val="002F70F9"/>
    <w:rsid w:val="002F74E8"/>
    <w:rsid w:val="003000EB"/>
    <w:rsid w:val="00303415"/>
    <w:rsid w:val="003038E8"/>
    <w:rsid w:val="00304916"/>
    <w:rsid w:val="0030684A"/>
    <w:rsid w:val="00306E4B"/>
    <w:rsid w:val="00307375"/>
    <w:rsid w:val="00307D7B"/>
    <w:rsid w:val="00311530"/>
    <w:rsid w:val="00311971"/>
    <w:rsid w:val="00311EE9"/>
    <w:rsid w:val="00313A2B"/>
    <w:rsid w:val="00315382"/>
    <w:rsid w:val="00315B37"/>
    <w:rsid w:val="00316707"/>
    <w:rsid w:val="003206AB"/>
    <w:rsid w:val="0032160E"/>
    <w:rsid w:val="0032200F"/>
    <w:rsid w:val="00322532"/>
    <w:rsid w:val="00322FBD"/>
    <w:rsid w:val="0032381C"/>
    <w:rsid w:val="00324F80"/>
    <w:rsid w:val="00324F84"/>
    <w:rsid w:val="0032542C"/>
    <w:rsid w:val="00325C32"/>
    <w:rsid w:val="003263D2"/>
    <w:rsid w:val="00326E06"/>
    <w:rsid w:val="003301E6"/>
    <w:rsid w:val="00330487"/>
    <w:rsid w:val="003314B8"/>
    <w:rsid w:val="003332B7"/>
    <w:rsid w:val="00334E54"/>
    <w:rsid w:val="003401D4"/>
    <w:rsid w:val="00340B9E"/>
    <w:rsid w:val="00342551"/>
    <w:rsid w:val="00344E5B"/>
    <w:rsid w:val="00345EB7"/>
    <w:rsid w:val="0035172B"/>
    <w:rsid w:val="00352ACD"/>
    <w:rsid w:val="003534AC"/>
    <w:rsid w:val="003542FF"/>
    <w:rsid w:val="003546B7"/>
    <w:rsid w:val="00355540"/>
    <w:rsid w:val="00356F46"/>
    <w:rsid w:val="00360849"/>
    <w:rsid w:val="00360C61"/>
    <w:rsid w:val="00363D33"/>
    <w:rsid w:val="00365D5E"/>
    <w:rsid w:val="00370F48"/>
    <w:rsid w:val="00371F77"/>
    <w:rsid w:val="00372B87"/>
    <w:rsid w:val="00374D2E"/>
    <w:rsid w:val="003814A1"/>
    <w:rsid w:val="00381F96"/>
    <w:rsid w:val="003827E4"/>
    <w:rsid w:val="00382C82"/>
    <w:rsid w:val="0038415F"/>
    <w:rsid w:val="00391F34"/>
    <w:rsid w:val="00393F7A"/>
    <w:rsid w:val="00394C3D"/>
    <w:rsid w:val="00395E7B"/>
    <w:rsid w:val="00395F57"/>
    <w:rsid w:val="00397596"/>
    <w:rsid w:val="00397930"/>
    <w:rsid w:val="003A0171"/>
    <w:rsid w:val="003A1AF6"/>
    <w:rsid w:val="003A1D72"/>
    <w:rsid w:val="003A21A6"/>
    <w:rsid w:val="003A2639"/>
    <w:rsid w:val="003A4674"/>
    <w:rsid w:val="003A56A2"/>
    <w:rsid w:val="003A6327"/>
    <w:rsid w:val="003A6758"/>
    <w:rsid w:val="003A74E0"/>
    <w:rsid w:val="003A78F8"/>
    <w:rsid w:val="003B0FCD"/>
    <w:rsid w:val="003B20C1"/>
    <w:rsid w:val="003B21B7"/>
    <w:rsid w:val="003B35B2"/>
    <w:rsid w:val="003B35FA"/>
    <w:rsid w:val="003B403C"/>
    <w:rsid w:val="003B4B8A"/>
    <w:rsid w:val="003B51FE"/>
    <w:rsid w:val="003B628E"/>
    <w:rsid w:val="003B65FA"/>
    <w:rsid w:val="003B7401"/>
    <w:rsid w:val="003C0A95"/>
    <w:rsid w:val="003C12B5"/>
    <w:rsid w:val="003C14B2"/>
    <w:rsid w:val="003C1F21"/>
    <w:rsid w:val="003C27E0"/>
    <w:rsid w:val="003C3CFD"/>
    <w:rsid w:val="003C5585"/>
    <w:rsid w:val="003C5B10"/>
    <w:rsid w:val="003C6AFB"/>
    <w:rsid w:val="003C7679"/>
    <w:rsid w:val="003D0557"/>
    <w:rsid w:val="003D1105"/>
    <w:rsid w:val="003D18CD"/>
    <w:rsid w:val="003D2F6F"/>
    <w:rsid w:val="003D3573"/>
    <w:rsid w:val="003D4B74"/>
    <w:rsid w:val="003D5532"/>
    <w:rsid w:val="003D7081"/>
    <w:rsid w:val="003D7196"/>
    <w:rsid w:val="003D7A0C"/>
    <w:rsid w:val="003E02D7"/>
    <w:rsid w:val="003E1150"/>
    <w:rsid w:val="003E1B77"/>
    <w:rsid w:val="003E2BEB"/>
    <w:rsid w:val="003E32CA"/>
    <w:rsid w:val="003E3880"/>
    <w:rsid w:val="003E526A"/>
    <w:rsid w:val="003E5702"/>
    <w:rsid w:val="003E5743"/>
    <w:rsid w:val="003E61FA"/>
    <w:rsid w:val="003E6DA4"/>
    <w:rsid w:val="003E6FDD"/>
    <w:rsid w:val="003E70F2"/>
    <w:rsid w:val="003F0949"/>
    <w:rsid w:val="003F21D4"/>
    <w:rsid w:val="003F2688"/>
    <w:rsid w:val="003F27ED"/>
    <w:rsid w:val="003F299D"/>
    <w:rsid w:val="003F3F69"/>
    <w:rsid w:val="003F4603"/>
    <w:rsid w:val="003F4C4D"/>
    <w:rsid w:val="003F4E5B"/>
    <w:rsid w:val="004004ED"/>
    <w:rsid w:val="00400D9F"/>
    <w:rsid w:val="004017FC"/>
    <w:rsid w:val="00406FB1"/>
    <w:rsid w:val="0040738A"/>
    <w:rsid w:val="0040752D"/>
    <w:rsid w:val="00410121"/>
    <w:rsid w:val="00411AA1"/>
    <w:rsid w:val="00414666"/>
    <w:rsid w:val="0041487D"/>
    <w:rsid w:val="00416E50"/>
    <w:rsid w:val="004170E4"/>
    <w:rsid w:val="00417D06"/>
    <w:rsid w:val="00417F13"/>
    <w:rsid w:val="00420592"/>
    <w:rsid w:val="00421D9F"/>
    <w:rsid w:val="004227D6"/>
    <w:rsid w:val="00424037"/>
    <w:rsid w:val="004251F4"/>
    <w:rsid w:val="00425486"/>
    <w:rsid w:val="00426829"/>
    <w:rsid w:val="00430D79"/>
    <w:rsid w:val="0043144E"/>
    <w:rsid w:val="00431C2E"/>
    <w:rsid w:val="0043273F"/>
    <w:rsid w:val="004337EE"/>
    <w:rsid w:val="00435D33"/>
    <w:rsid w:val="00437D9F"/>
    <w:rsid w:val="00444249"/>
    <w:rsid w:val="00444E5A"/>
    <w:rsid w:val="00446776"/>
    <w:rsid w:val="004468B0"/>
    <w:rsid w:val="00446F40"/>
    <w:rsid w:val="004470E9"/>
    <w:rsid w:val="004502B8"/>
    <w:rsid w:val="00450CAE"/>
    <w:rsid w:val="00450E51"/>
    <w:rsid w:val="00451DEC"/>
    <w:rsid w:val="00452AE8"/>
    <w:rsid w:val="00454618"/>
    <w:rsid w:val="004562D8"/>
    <w:rsid w:val="0045744C"/>
    <w:rsid w:val="00460E16"/>
    <w:rsid w:val="004612C5"/>
    <w:rsid w:val="004614E6"/>
    <w:rsid w:val="004623F1"/>
    <w:rsid w:val="00462EDB"/>
    <w:rsid w:val="00463232"/>
    <w:rsid w:val="0046491F"/>
    <w:rsid w:val="0046521D"/>
    <w:rsid w:val="00465CFC"/>
    <w:rsid w:val="00466632"/>
    <w:rsid w:val="00466921"/>
    <w:rsid w:val="004672FE"/>
    <w:rsid w:val="00467CB8"/>
    <w:rsid w:val="0047072F"/>
    <w:rsid w:val="004716B8"/>
    <w:rsid w:val="00472612"/>
    <w:rsid w:val="00473BE7"/>
    <w:rsid w:val="0047410D"/>
    <w:rsid w:val="0047442F"/>
    <w:rsid w:val="0047523C"/>
    <w:rsid w:val="0047542F"/>
    <w:rsid w:val="00475E79"/>
    <w:rsid w:val="0048021D"/>
    <w:rsid w:val="004816F7"/>
    <w:rsid w:val="00481968"/>
    <w:rsid w:val="00482D38"/>
    <w:rsid w:val="00483C4B"/>
    <w:rsid w:val="004841F1"/>
    <w:rsid w:val="00484C50"/>
    <w:rsid w:val="004857A2"/>
    <w:rsid w:val="004870F8"/>
    <w:rsid w:val="0049095D"/>
    <w:rsid w:val="00490F4D"/>
    <w:rsid w:val="00491588"/>
    <w:rsid w:val="00491F0F"/>
    <w:rsid w:val="00493988"/>
    <w:rsid w:val="00493D42"/>
    <w:rsid w:val="004959FD"/>
    <w:rsid w:val="00496441"/>
    <w:rsid w:val="004A126A"/>
    <w:rsid w:val="004A1A34"/>
    <w:rsid w:val="004A2F3D"/>
    <w:rsid w:val="004A6410"/>
    <w:rsid w:val="004A715D"/>
    <w:rsid w:val="004A74DE"/>
    <w:rsid w:val="004A7BDA"/>
    <w:rsid w:val="004B04ED"/>
    <w:rsid w:val="004B05F6"/>
    <w:rsid w:val="004B0868"/>
    <w:rsid w:val="004B0C55"/>
    <w:rsid w:val="004B241B"/>
    <w:rsid w:val="004B2B90"/>
    <w:rsid w:val="004B36A0"/>
    <w:rsid w:val="004B5069"/>
    <w:rsid w:val="004B56B6"/>
    <w:rsid w:val="004B67A1"/>
    <w:rsid w:val="004B7DBE"/>
    <w:rsid w:val="004C2162"/>
    <w:rsid w:val="004C3238"/>
    <w:rsid w:val="004C39AB"/>
    <w:rsid w:val="004C713C"/>
    <w:rsid w:val="004D05F5"/>
    <w:rsid w:val="004D06DE"/>
    <w:rsid w:val="004D0B48"/>
    <w:rsid w:val="004D14B5"/>
    <w:rsid w:val="004D170C"/>
    <w:rsid w:val="004D19ED"/>
    <w:rsid w:val="004D1CFC"/>
    <w:rsid w:val="004D1E7E"/>
    <w:rsid w:val="004D42C6"/>
    <w:rsid w:val="004D4CAC"/>
    <w:rsid w:val="004D7093"/>
    <w:rsid w:val="004D757F"/>
    <w:rsid w:val="004D7E1D"/>
    <w:rsid w:val="004E3135"/>
    <w:rsid w:val="004E47AB"/>
    <w:rsid w:val="004E5A32"/>
    <w:rsid w:val="004E6C62"/>
    <w:rsid w:val="004E76B9"/>
    <w:rsid w:val="004F0EDD"/>
    <w:rsid w:val="004F1F3B"/>
    <w:rsid w:val="004F25AB"/>
    <w:rsid w:val="004F2694"/>
    <w:rsid w:val="004F2AF3"/>
    <w:rsid w:val="004F3EB3"/>
    <w:rsid w:val="004F4505"/>
    <w:rsid w:val="004F4CCE"/>
    <w:rsid w:val="004F506C"/>
    <w:rsid w:val="004F5559"/>
    <w:rsid w:val="004F7A6D"/>
    <w:rsid w:val="005000EF"/>
    <w:rsid w:val="005010F2"/>
    <w:rsid w:val="0050278B"/>
    <w:rsid w:val="005028BA"/>
    <w:rsid w:val="00503218"/>
    <w:rsid w:val="0050343D"/>
    <w:rsid w:val="00503B29"/>
    <w:rsid w:val="00507F30"/>
    <w:rsid w:val="00511656"/>
    <w:rsid w:val="00515339"/>
    <w:rsid w:val="00516DFE"/>
    <w:rsid w:val="00517817"/>
    <w:rsid w:val="005204F1"/>
    <w:rsid w:val="00520C5F"/>
    <w:rsid w:val="00520EB4"/>
    <w:rsid w:val="0052281B"/>
    <w:rsid w:val="00522B8F"/>
    <w:rsid w:val="0052571B"/>
    <w:rsid w:val="00525C8F"/>
    <w:rsid w:val="005265D0"/>
    <w:rsid w:val="00527E2E"/>
    <w:rsid w:val="00530047"/>
    <w:rsid w:val="005315D2"/>
    <w:rsid w:val="0053280D"/>
    <w:rsid w:val="00532994"/>
    <w:rsid w:val="005403DF"/>
    <w:rsid w:val="005417AA"/>
    <w:rsid w:val="0054281D"/>
    <w:rsid w:val="00542F28"/>
    <w:rsid w:val="00545CE9"/>
    <w:rsid w:val="005505F6"/>
    <w:rsid w:val="0055134A"/>
    <w:rsid w:val="00554327"/>
    <w:rsid w:val="005543FC"/>
    <w:rsid w:val="00554BCE"/>
    <w:rsid w:val="00556C9E"/>
    <w:rsid w:val="0056091F"/>
    <w:rsid w:val="00560986"/>
    <w:rsid w:val="00560BAF"/>
    <w:rsid w:val="005613C5"/>
    <w:rsid w:val="00562EA6"/>
    <w:rsid w:val="00563020"/>
    <w:rsid w:val="00564293"/>
    <w:rsid w:val="00567382"/>
    <w:rsid w:val="00570B23"/>
    <w:rsid w:val="00570E2C"/>
    <w:rsid w:val="00570E32"/>
    <w:rsid w:val="00571045"/>
    <w:rsid w:val="0057376F"/>
    <w:rsid w:val="005738C9"/>
    <w:rsid w:val="00573AC3"/>
    <w:rsid w:val="00575E38"/>
    <w:rsid w:val="00576AC6"/>
    <w:rsid w:val="00576C5E"/>
    <w:rsid w:val="00582BCB"/>
    <w:rsid w:val="005834D1"/>
    <w:rsid w:val="00583B0C"/>
    <w:rsid w:val="0058532B"/>
    <w:rsid w:val="00585A81"/>
    <w:rsid w:val="00591841"/>
    <w:rsid w:val="00591851"/>
    <w:rsid w:val="00592A66"/>
    <w:rsid w:val="00593211"/>
    <w:rsid w:val="00593784"/>
    <w:rsid w:val="005939F1"/>
    <w:rsid w:val="00593CC9"/>
    <w:rsid w:val="00594DE3"/>
    <w:rsid w:val="00595C0B"/>
    <w:rsid w:val="00596508"/>
    <w:rsid w:val="00596FBD"/>
    <w:rsid w:val="00597467"/>
    <w:rsid w:val="005A14DD"/>
    <w:rsid w:val="005A187E"/>
    <w:rsid w:val="005A1964"/>
    <w:rsid w:val="005A4BF3"/>
    <w:rsid w:val="005A5364"/>
    <w:rsid w:val="005A6A9C"/>
    <w:rsid w:val="005A795D"/>
    <w:rsid w:val="005A7AAF"/>
    <w:rsid w:val="005B0F6B"/>
    <w:rsid w:val="005B223F"/>
    <w:rsid w:val="005B2CEF"/>
    <w:rsid w:val="005B32A5"/>
    <w:rsid w:val="005B4AD5"/>
    <w:rsid w:val="005B4ADD"/>
    <w:rsid w:val="005C0353"/>
    <w:rsid w:val="005C0BD5"/>
    <w:rsid w:val="005C1DA6"/>
    <w:rsid w:val="005C22FE"/>
    <w:rsid w:val="005C3900"/>
    <w:rsid w:val="005C4B44"/>
    <w:rsid w:val="005C581D"/>
    <w:rsid w:val="005C727A"/>
    <w:rsid w:val="005D003B"/>
    <w:rsid w:val="005D38CE"/>
    <w:rsid w:val="005D3C04"/>
    <w:rsid w:val="005D3F3E"/>
    <w:rsid w:val="005D4883"/>
    <w:rsid w:val="005D4930"/>
    <w:rsid w:val="005D5F87"/>
    <w:rsid w:val="005D6385"/>
    <w:rsid w:val="005D6CAB"/>
    <w:rsid w:val="005D716B"/>
    <w:rsid w:val="005D7BEF"/>
    <w:rsid w:val="005E041F"/>
    <w:rsid w:val="005E126F"/>
    <w:rsid w:val="005E131B"/>
    <w:rsid w:val="005E1FB5"/>
    <w:rsid w:val="005E29CD"/>
    <w:rsid w:val="005E2B7D"/>
    <w:rsid w:val="005E357E"/>
    <w:rsid w:val="005E61E7"/>
    <w:rsid w:val="005F187F"/>
    <w:rsid w:val="005F1DE3"/>
    <w:rsid w:val="005F2BDB"/>
    <w:rsid w:val="005F3F3E"/>
    <w:rsid w:val="005F59D3"/>
    <w:rsid w:val="005F5F11"/>
    <w:rsid w:val="005F6336"/>
    <w:rsid w:val="005F67A8"/>
    <w:rsid w:val="005F6C1C"/>
    <w:rsid w:val="006003BE"/>
    <w:rsid w:val="0060344E"/>
    <w:rsid w:val="0060482C"/>
    <w:rsid w:val="00607826"/>
    <w:rsid w:val="00610879"/>
    <w:rsid w:val="00613164"/>
    <w:rsid w:val="006137BC"/>
    <w:rsid w:val="006140FB"/>
    <w:rsid w:val="006155F4"/>
    <w:rsid w:val="0061783F"/>
    <w:rsid w:val="00620699"/>
    <w:rsid w:val="00621280"/>
    <w:rsid w:val="00626DB7"/>
    <w:rsid w:val="006307E8"/>
    <w:rsid w:val="00630BD1"/>
    <w:rsid w:val="0063146A"/>
    <w:rsid w:val="00631559"/>
    <w:rsid w:val="00632C0E"/>
    <w:rsid w:val="00633423"/>
    <w:rsid w:val="00633732"/>
    <w:rsid w:val="006354C0"/>
    <w:rsid w:val="00636A65"/>
    <w:rsid w:val="006378F2"/>
    <w:rsid w:val="00640214"/>
    <w:rsid w:val="00643784"/>
    <w:rsid w:val="00643B2C"/>
    <w:rsid w:val="00643E1D"/>
    <w:rsid w:val="00644861"/>
    <w:rsid w:val="00646215"/>
    <w:rsid w:val="00647261"/>
    <w:rsid w:val="00650210"/>
    <w:rsid w:val="006520E0"/>
    <w:rsid w:val="00652952"/>
    <w:rsid w:val="00652D09"/>
    <w:rsid w:val="00653785"/>
    <w:rsid w:val="00655853"/>
    <w:rsid w:val="00656EEC"/>
    <w:rsid w:val="00657375"/>
    <w:rsid w:val="00657FDE"/>
    <w:rsid w:val="00661777"/>
    <w:rsid w:val="006620BD"/>
    <w:rsid w:val="006636AD"/>
    <w:rsid w:val="00663E11"/>
    <w:rsid w:val="00663E48"/>
    <w:rsid w:val="0066493F"/>
    <w:rsid w:val="006659C6"/>
    <w:rsid w:val="00665E4C"/>
    <w:rsid w:val="0066656A"/>
    <w:rsid w:val="00666E3B"/>
    <w:rsid w:val="00667910"/>
    <w:rsid w:val="00667A34"/>
    <w:rsid w:val="00673205"/>
    <w:rsid w:val="00682BA8"/>
    <w:rsid w:val="006838BD"/>
    <w:rsid w:val="00683F70"/>
    <w:rsid w:val="00687D5C"/>
    <w:rsid w:val="00695353"/>
    <w:rsid w:val="006A05DB"/>
    <w:rsid w:val="006A0C76"/>
    <w:rsid w:val="006A56EB"/>
    <w:rsid w:val="006A59AB"/>
    <w:rsid w:val="006A647C"/>
    <w:rsid w:val="006A772F"/>
    <w:rsid w:val="006B05F0"/>
    <w:rsid w:val="006B0C44"/>
    <w:rsid w:val="006B11D2"/>
    <w:rsid w:val="006B1720"/>
    <w:rsid w:val="006B1CEE"/>
    <w:rsid w:val="006B21F1"/>
    <w:rsid w:val="006B23E0"/>
    <w:rsid w:val="006B2645"/>
    <w:rsid w:val="006B49BE"/>
    <w:rsid w:val="006B570F"/>
    <w:rsid w:val="006B6D47"/>
    <w:rsid w:val="006B74BA"/>
    <w:rsid w:val="006C0008"/>
    <w:rsid w:val="006C06E5"/>
    <w:rsid w:val="006C14F2"/>
    <w:rsid w:val="006C17B0"/>
    <w:rsid w:val="006C43BA"/>
    <w:rsid w:val="006C4727"/>
    <w:rsid w:val="006C5C48"/>
    <w:rsid w:val="006C60B1"/>
    <w:rsid w:val="006C6C2D"/>
    <w:rsid w:val="006C7202"/>
    <w:rsid w:val="006C7596"/>
    <w:rsid w:val="006D031E"/>
    <w:rsid w:val="006D0A14"/>
    <w:rsid w:val="006D15C2"/>
    <w:rsid w:val="006D1C07"/>
    <w:rsid w:val="006D271B"/>
    <w:rsid w:val="006D2726"/>
    <w:rsid w:val="006D2835"/>
    <w:rsid w:val="006D28F4"/>
    <w:rsid w:val="006D3B68"/>
    <w:rsid w:val="006D3DC0"/>
    <w:rsid w:val="006D42C7"/>
    <w:rsid w:val="006D454F"/>
    <w:rsid w:val="006D4DAF"/>
    <w:rsid w:val="006E0313"/>
    <w:rsid w:val="006E0EB0"/>
    <w:rsid w:val="006E1E55"/>
    <w:rsid w:val="006E2898"/>
    <w:rsid w:val="006E41B9"/>
    <w:rsid w:val="006E60C2"/>
    <w:rsid w:val="006E6438"/>
    <w:rsid w:val="006E69B8"/>
    <w:rsid w:val="006E69CB"/>
    <w:rsid w:val="006E6C43"/>
    <w:rsid w:val="006E7FD0"/>
    <w:rsid w:val="006F047C"/>
    <w:rsid w:val="006F1EFF"/>
    <w:rsid w:val="006F2594"/>
    <w:rsid w:val="006F28CD"/>
    <w:rsid w:val="006F4A38"/>
    <w:rsid w:val="006F4A7D"/>
    <w:rsid w:val="006F52CB"/>
    <w:rsid w:val="006F52CC"/>
    <w:rsid w:val="006F54CE"/>
    <w:rsid w:val="006F631D"/>
    <w:rsid w:val="006F63F3"/>
    <w:rsid w:val="006F6EDD"/>
    <w:rsid w:val="00700BD0"/>
    <w:rsid w:val="00702AC1"/>
    <w:rsid w:val="00703267"/>
    <w:rsid w:val="00703612"/>
    <w:rsid w:val="007050DB"/>
    <w:rsid w:val="007051AB"/>
    <w:rsid w:val="007058AA"/>
    <w:rsid w:val="007075D0"/>
    <w:rsid w:val="007078A8"/>
    <w:rsid w:val="0071124D"/>
    <w:rsid w:val="007119CA"/>
    <w:rsid w:val="00711FBF"/>
    <w:rsid w:val="00712F1D"/>
    <w:rsid w:val="00714A87"/>
    <w:rsid w:val="00715C41"/>
    <w:rsid w:val="00716229"/>
    <w:rsid w:val="007175BC"/>
    <w:rsid w:val="007176A0"/>
    <w:rsid w:val="00722E50"/>
    <w:rsid w:val="007231B2"/>
    <w:rsid w:val="007233DB"/>
    <w:rsid w:val="00726A7A"/>
    <w:rsid w:val="00730D73"/>
    <w:rsid w:val="007320C0"/>
    <w:rsid w:val="00732470"/>
    <w:rsid w:val="00733DBB"/>
    <w:rsid w:val="0073410A"/>
    <w:rsid w:val="007346CA"/>
    <w:rsid w:val="00735C41"/>
    <w:rsid w:val="0073707A"/>
    <w:rsid w:val="0073732F"/>
    <w:rsid w:val="007406F7"/>
    <w:rsid w:val="0074118B"/>
    <w:rsid w:val="0074149A"/>
    <w:rsid w:val="00741588"/>
    <w:rsid w:val="00741F4D"/>
    <w:rsid w:val="007421F2"/>
    <w:rsid w:val="0074410A"/>
    <w:rsid w:val="00744283"/>
    <w:rsid w:val="00745C62"/>
    <w:rsid w:val="007466D0"/>
    <w:rsid w:val="00746F41"/>
    <w:rsid w:val="007470D5"/>
    <w:rsid w:val="00747A13"/>
    <w:rsid w:val="007538F2"/>
    <w:rsid w:val="007540F3"/>
    <w:rsid w:val="0075515B"/>
    <w:rsid w:val="00756176"/>
    <w:rsid w:val="0075702E"/>
    <w:rsid w:val="00757748"/>
    <w:rsid w:val="00760E35"/>
    <w:rsid w:val="00761745"/>
    <w:rsid w:val="007637B6"/>
    <w:rsid w:val="007663E1"/>
    <w:rsid w:val="0076672D"/>
    <w:rsid w:val="00766782"/>
    <w:rsid w:val="007674AF"/>
    <w:rsid w:val="007704C4"/>
    <w:rsid w:val="00771314"/>
    <w:rsid w:val="00771EDB"/>
    <w:rsid w:val="0077334D"/>
    <w:rsid w:val="0077351C"/>
    <w:rsid w:val="0077382F"/>
    <w:rsid w:val="00774FB8"/>
    <w:rsid w:val="00775BBB"/>
    <w:rsid w:val="00782C32"/>
    <w:rsid w:val="0078354B"/>
    <w:rsid w:val="00784FF9"/>
    <w:rsid w:val="00791B45"/>
    <w:rsid w:val="0079316D"/>
    <w:rsid w:val="00794D69"/>
    <w:rsid w:val="00796D40"/>
    <w:rsid w:val="007972E2"/>
    <w:rsid w:val="0079740C"/>
    <w:rsid w:val="007A1661"/>
    <w:rsid w:val="007A2199"/>
    <w:rsid w:val="007A2359"/>
    <w:rsid w:val="007A3B76"/>
    <w:rsid w:val="007A4899"/>
    <w:rsid w:val="007A5265"/>
    <w:rsid w:val="007A745C"/>
    <w:rsid w:val="007A7E81"/>
    <w:rsid w:val="007B02D4"/>
    <w:rsid w:val="007B0EA7"/>
    <w:rsid w:val="007B16CD"/>
    <w:rsid w:val="007B27F0"/>
    <w:rsid w:val="007B2D1F"/>
    <w:rsid w:val="007B2D43"/>
    <w:rsid w:val="007B45C1"/>
    <w:rsid w:val="007B4BFB"/>
    <w:rsid w:val="007B586A"/>
    <w:rsid w:val="007B5D60"/>
    <w:rsid w:val="007C0F12"/>
    <w:rsid w:val="007C303D"/>
    <w:rsid w:val="007C42CD"/>
    <w:rsid w:val="007C52ED"/>
    <w:rsid w:val="007C7E9A"/>
    <w:rsid w:val="007D0239"/>
    <w:rsid w:val="007D0446"/>
    <w:rsid w:val="007D0854"/>
    <w:rsid w:val="007D3C7C"/>
    <w:rsid w:val="007D55E9"/>
    <w:rsid w:val="007D5FC8"/>
    <w:rsid w:val="007D6016"/>
    <w:rsid w:val="007D7A96"/>
    <w:rsid w:val="007E0437"/>
    <w:rsid w:val="007E0FF0"/>
    <w:rsid w:val="007E17BC"/>
    <w:rsid w:val="007E39D2"/>
    <w:rsid w:val="007E3C45"/>
    <w:rsid w:val="007E4416"/>
    <w:rsid w:val="007E635A"/>
    <w:rsid w:val="007E6398"/>
    <w:rsid w:val="007F2341"/>
    <w:rsid w:val="007F51FA"/>
    <w:rsid w:val="007F7668"/>
    <w:rsid w:val="00802D45"/>
    <w:rsid w:val="00802E66"/>
    <w:rsid w:val="00803E43"/>
    <w:rsid w:val="008047B9"/>
    <w:rsid w:val="00804E92"/>
    <w:rsid w:val="00806EC2"/>
    <w:rsid w:val="00807D27"/>
    <w:rsid w:val="00810231"/>
    <w:rsid w:val="00811D23"/>
    <w:rsid w:val="00812C07"/>
    <w:rsid w:val="008133FB"/>
    <w:rsid w:val="00813FF5"/>
    <w:rsid w:val="0081411C"/>
    <w:rsid w:val="00814244"/>
    <w:rsid w:val="008148D3"/>
    <w:rsid w:val="0081532A"/>
    <w:rsid w:val="0081559E"/>
    <w:rsid w:val="00816894"/>
    <w:rsid w:val="008173C5"/>
    <w:rsid w:val="008203B0"/>
    <w:rsid w:val="00821DFF"/>
    <w:rsid w:val="008246D0"/>
    <w:rsid w:val="00826186"/>
    <w:rsid w:val="00826D55"/>
    <w:rsid w:val="00826DDF"/>
    <w:rsid w:val="00827D4D"/>
    <w:rsid w:val="00830FE3"/>
    <w:rsid w:val="00831F4A"/>
    <w:rsid w:val="00832011"/>
    <w:rsid w:val="00836171"/>
    <w:rsid w:val="0083675E"/>
    <w:rsid w:val="00841020"/>
    <w:rsid w:val="008418FE"/>
    <w:rsid w:val="0084342D"/>
    <w:rsid w:val="00845331"/>
    <w:rsid w:val="00846137"/>
    <w:rsid w:val="008466F3"/>
    <w:rsid w:val="00847847"/>
    <w:rsid w:val="00847D47"/>
    <w:rsid w:val="00850223"/>
    <w:rsid w:val="00850655"/>
    <w:rsid w:val="00850791"/>
    <w:rsid w:val="00850D30"/>
    <w:rsid w:val="00851B2D"/>
    <w:rsid w:val="00855E9C"/>
    <w:rsid w:val="00856945"/>
    <w:rsid w:val="00857A75"/>
    <w:rsid w:val="00857B1F"/>
    <w:rsid w:val="00857DB5"/>
    <w:rsid w:val="008608C7"/>
    <w:rsid w:val="00860902"/>
    <w:rsid w:val="0086101D"/>
    <w:rsid w:val="00864203"/>
    <w:rsid w:val="008646C9"/>
    <w:rsid w:val="00865D08"/>
    <w:rsid w:val="008667C6"/>
    <w:rsid w:val="00867C37"/>
    <w:rsid w:val="0087153A"/>
    <w:rsid w:val="00871D80"/>
    <w:rsid w:val="00873AC6"/>
    <w:rsid w:val="00874227"/>
    <w:rsid w:val="00874681"/>
    <w:rsid w:val="008747AD"/>
    <w:rsid w:val="0087514F"/>
    <w:rsid w:val="0087637E"/>
    <w:rsid w:val="008765FC"/>
    <w:rsid w:val="008769BE"/>
    <w:rsid w:val="00876E1D"/>
    <w:rsid w:val="00877344"/>
    <w:rsid w:val="00882D2E"/>
    <w:rsid w:val="00882DE2"/>
    <w:rsid w:val="00883081"/>
    <w:rsid w:val="0088379D"/>
    <w:rsid w:val="00884095"/>
    <w:rsid w:val="00884D3B"/>
    <w:rsid w:val="008857F5"/>
    <w:rsid w:val="00885C0C"/>
    <w:rsid w:val="00890D28"/>
    <w:rsid w:val="00891994"/>
    <w:rsid w:val="00893101"/>
    <w:rsid w:val="00893692"/>
    <w:rsid w:val="0089376A"/>
    <w:rsid w:val="00893DDE"/>
    <w:rsid w:val="00894C1F"/>
    <w:rsid w:val="00896E3C"/>
    <w:rsid w:val="008A045C"/>
    <w:rsid w:val="008A2803"/>
    <w:rsid w:val="008A3071"/>
    <w:rsid w:val="008A38C6"/>
    <w:rsid w:val="008A393C"/>
    <w:rsid w:val="008A4388"/>
    <w:rsid w:val="008A516D"/>
    <w:rsid w:val="008A6675"/>
    <w:rsid w:val="008A66CB"/>
    <w:rsid w:val="008A676A"/>
    <w:rsid w:val="008B1018"/>
    <w:rsid w:val="008B1AEE"/>
    <w:rsid w:val="008B21B2"/>
    <w:rsid w:val="008B23EF"/>
    <w:rsid w:val="008B3792"/>
    <w:rsid w:val="008B5A8B"/>
    <w:rsid w:val="008B71F1"/>
    <w:rsid w:val="008B73C1"/>
    <w:rsid w:val="008B7C79"/>
    <w:rsid w:val="008C023B"/>
    <w:rsid w:val="008C11CC"/>
    <w:rsid w:val="008C360D"/>
    <w:rsid w:val="008C396E"/>
    <w:rsid w:val="008C40D3"/>
    <w:rsid w:val="008C78E6"/>
    <w:rsid w:val="008C7CB5"/>
    <w:rsid w:val="008D00EE"/>
    <w:rsid w:val="008D1C65"/>
    <w:rsid w:val="008D1D4E"/>
    <w:rsid w:val="008D2DBC"/>
    <w:rsid w:val="008D39AF"/>
    <w:rsid w:val="008D3D90"/>
    <w:rsid w:val="008E05A1"/>
    <w:rsid w:val="008E113B"/>
    <w:rsid w:val="008E159E"/>
    <w:rsid w:val="008E219A"/>
    <w:rsid w:val="008E2B63"/>
    <w:rsid w:val="008E4961"/>
    <w:rsid w:val="008E4D11"/>
    <w:rsid w:val="008E5390"/>
    <w:rsid w:val="008E6201"/>
    <w:rsid w:val="008E74E8"/>
    <w:rsid w:val="008E7B37"/>
    <w:rsid w:val="008F106F"/>
    <w:rsid w:val="008F2A92"/>
    <w:rsid w:val="008F38B7"/>
    <w:rsid w:val="008F5856"/>
    <w:rsid w:val="008F60DB"/>
    <w:rsid w:val="008F7D2C"/>
    <w:rsid w:val="009006A0"/>
    <w:rsid w:val="00900847"/>
    <w:rsid w:val="00901B66"/>
    <w:rsid w:val="00901EDF"/>
    <w:rsid w:val="00902150"/>
    <w:rsid w:val="00902971"/>
    <w:rsid w:val="009039DC"/>
    <w:rsid w:val="00904153"/>
    <w:rsid w:val="00905C75"/>
    <w:rsid w:val="0090694E"/>
    <w:rsid w:val="009077C6"/>
    <w:rsid w:val="0091120D"/>
    <w:rsid w:val="00911D26"/>
    <w:rsid w:val="00911DAB"/>
    <w:rsid w:val="00912820"/>
    <w:rsid w:val="00913AA0"/>
    <w:rsid w:val="00914CD1"/>
    <w:rsid w:val="0091779F"/>
    <w:rsid w:val="00917914"/>
    <w:rsid w:val="00917D9E"/>
    <w:rsid w:val="00920260"/>
    <w:rsid w:val="009221F6"/>
    <w:rsid w:val="009229B6"/>
    <w:rsid w:val="009229BC"/>
    <w:rsid w:val="00922B9D"/>
    <w:rsid w:val="00923E60"/>
    <w:rsid w:val="00925020"/>
    <w:rsid w:val="009258A4"/>
    <w:rsid w:val="009259BE"/>
    <w:rsid w:val="00926612"/>
    <w:rsid w:val="00927708"/>
    <w:rsid w:val="00932A5B"/>
    <w:rsid w:val="009332F4"/>
    <w:rsid w:val="00934564"/>
    <w:rsid w:val="009345BB"/>
    <w:rsid w:val="00934F7B"/>
    <w:rsid w:val="0093571F"/>
    <w:rsid w:val="0093701F"/>
    <w:rsid w:val="0094173C"/>
    <w:rsid w:val="00941EDB"/>
    <w:rsid w:val="00942441"/>
    <w:rsid w:val="00942D00"/>
    <w:rsid w:val="00947EF1"/>
    <w:rsid w:val="00950354"/>
    <w:rsid w:val="00950518"/>
    <w:rsid w:val="00950698"/>
    <w:rsid w:val="009522CA"/>
    <w:rsid w:val="00952AD2"/>
    <w:rsid w:val="00952C48"/>
    <w:rsid w:val="0095306C"/>
    <w:rsid w:val="00954546"/>
    <w:rsid w:val="00954E41"/>
    <w:rsid w:val="0095510B"/>
    <w:rsid w:val="00956231"/>
    <w:rsid w:val="0095645F"/>
    <w:rsid w:val="009575DE"/>
    <w:rsid w:val="0096019A"/>
    <w:rsid w:val="0096133D"/>
    <w:rsid w:val="00961F1C"/>
    <w:rsid w:val="00970D94"/>
    <w:rsid w:val="009731AC"/>
    <w:rsid w:val="00973648"/>
    <w:rsid w:val="00974346"/>
    <w:rsid w:val="0097567A"/>
    <w:rsid w:val="009820CA"/>
    <w:rsid w:val="009830AD"/>
    <w:rsid w:val="00983F6C"/>
    <w:rsid w:val="009847F6"/>
    <w:rsid w:val="00984B1E"/>
    <w:rsid w:val="00991006"/>
    <w:rsid w:val="00991821"/>
    <w:rsid w:val="0099375E"/>
    <w:rsid w:val="00994AE7"/>
    <w:rsid w:val="00996057"/>
    <w:rsid w:val="009A0B6A"/>
    <w:rsid w:val="009A2769"/>
    <w:rsid w:val="009A3855"/>
    <w:rsid w:val="009A41EE"/>
    <w:rsid w:val="009A49D2"/>
    <w:rsid w:val="009A53DA"/>
    <w:rsid w:val="009A54CD"/>
    <w:rsid w:val="009A6D6B"/>
    <w:rsid w:val="009B0C57"/>
    <w:rsid w:val="009B1ADB"/>
    <w:rsid w:val="009B1F0B"/>
    <w:rsid w:val="009B27A8"/>
    <w:rsid w:val="009B2D22"/>
    <w:rsid w:val="009B3B24"/>
    <w:rsid w:val="009B3C81"/>
    <w:rsid w:val="009B5303"/>
    <w:rsid w:val="009B561F"/>
    <w:rsid w:val="009B5AB7"/>
    <w:rsid w:val="009B5BB2"/>
    <w:rsid w:val="009B7534"/>
    <w:rsid w:val="009C06B4"/>
    <w:rsid w:val="009C19CC"/>
    <w:rsid w:val="009C29E1"/>
    <w:rsid w:val="009C341E"/>
    <w:rsid w:val="009C3BBB"/>
    <w:rsid w:val="009C6C73"/>
    <w:rsid w:val="009C7C21"/>
    <w:rsid w:val="009D0DA7"/>
    <w:rsid w:val="009D1909"/>
    <w:rsid w:val="009D1B0F"/>
    <w:rsid w:val="009D347E"/>
    <w:rsid w:val="009D35A7"/>
    <w:rsid w:val="009D3CEF"/>
    <w:rsid w:val="009D3F5A"/>
    <w:rsid w:val="009D5144"/>
    <w:rsid w:val="009D5200"/>
    <w:rsid w:val="009D5F5B"/>
    <w:rsid w:val="009D736E"/>
    <w:rsid w:val="009D797D"/>
    <w:rsid w:val="009D7EC0"/>
    <w:rsid w:val="009E06C0"/>
    <w:rsid w:val="009E0B7F"/>
    <w:rsid w:val="009E297E"/>
    <w:rsid w:val="009E376A"/>
    <w:rsid w:val="009E4FE9"/>
    <w:rsid w:val="009E6848"/>
    <w:rsid w:val="009E7EFC"/>
    <w:rsid w:val="009F0825"/>
    <w:rsid w:val="009F13DB"/>
    <w:rsid w:val="009F5AA9"/>
    <w:rsid w:val="009F65BA"/>
    <w:rsid w:val="009F7F00"/>
    <w:rsid w:val="00A00663"/>
    <w:rsid w:val="00A011F6"/>
    <w:rsid w:val="00A02E55"/>
    <w:rsid w:val="00A02F7F"/>
    <w:rsid w:val="00A05C95"/>
    <w:rsid w:val="00A07A1A"/>
    <w:rsid w:val="00A10CA9"/>
    <w:rsid w:val="00A132B3"/>
    <w:rsid w:val="00A137D9"/>
    <w:rsid w:val="00A13B3D"/>
    <w:rsid w:val="00A140AE"/>
    <w:rsid w:val="00A140E8"/>
    <w:rsid w:val="00A1491A"/>
    <w:rsid w:val="00A14CE2"/>
    <w:rsid w:val="00A17664"/>
    <w:rsid w:val="00A17FA8"/>
    <w:rsid w:val="00A22134"/>
    <w:rsid w:val="00A22922"/>
    <w:rsid w:val="00A24FF1"/>
    <w:rsid w:val="00A25B96"/>
    <w:rsid w:val="00A2665F"/>
    <w:rsid w:val="00A26BBE"/>
    <w:rsid w:val="00A273BF"/>
    <w:rsid w:val="00A301B7"/>
    <w:rsid w:val="00A309F3"/>
    <w:rsid w:val="00A30A89"/>
    <w:rsid w:val="00A31263"/>
    <w:rsid w:val="00A31A12"/>
    <w:rsid w:val="00A32A53"/>
    <w:rsid w:val="00A362B5"/>
    <w:rsid w:val="00A40C4D"/>
    <w:rsid w:val="00A42F2E"/>
    <w:rsid w:val="00A431BC"/>
    <w:rsid w:val="00A4442A"/>
    <w:rsid w:val="00A44FB0"/>
    <w:rsid w:val="00A45384"/>
    <w:rsid w:val="00A47A8B"/>
    <w:rsid w:val="00A47E71"/>
    <w:rsid w:val="00A520C4"/>
    <w:rsid w:val="00A53074"/>
    <w:rsid w:val="00A533EB"/>
    <w:rsid w:val="00A54CE6"/>
    <w:rsid w:val="00A54D83"/>
    <w:rsid w:val="00A5657D"/>
    <w:rsid w:val="00A609E2"/>
    <w:rsid w:val="00A619B4"/>
    <w:rsid w:val="00A63A71"/>
    <w:rsid w:val="00A652BC"/>
    <w:rsid w:val="00A6587D"/>
    <w:rsid w:val="00A67C61"/>
    <w:rsid w:val="00A7188F"/>
    <w:rsid w:val="00A719A4"/>
    <w:rsid w:val="00A71A8B"/>
    <w:rsid w:val="00A71F4D"/>
    <w:rsid w:val="00A72AE1"/>
    <w:rsid w:val="00A73FBC"/>
    <w:rsid w:val="00A764C8"/>
    <w:rsid w:val="00A80407"/>
    <w:rsid w:val="00A80D38"/>
    <w:rsid w:val="00A81321"/>
    <w:rsid w:val="00A815D4"/>
    <w:rsid w:val="00A822D7"/>
    <w:rsid w:val="00A82FA1"/>
    <w:rsid w:val="00A85740"/>
    <w:rsid w:val="00A86367"/>
    <w:rsid w:val="00A87CA2"/>
    <w:rsid w:val="00A90131"/>
    <w:rsid w:val="00A90378"/>
    <w:rsid w:val="00A90A2F"/>
    <w:rsid w:val="00A9192B"/>
    <w:rsid w:val="00A91CE6"/>
    <w:rsid w:val="00A925B0"/>
    <w:rsid w:val="00A9401C"/>
    <w:rsid w:val="00A94D5D"/>
    <w:rsid w:val="00A951B7"/>
    <w:rsid w:val="00A95ECD"/>
    <w:rsid w:val="00A964DF"/>
    <w:rsid w:val="00A96698"/>
    <w:rsid w:val="00AA0C39"/>
    <w:rsid w:val="00AA103A"/>
    <w:rsid w:val="00AA10D0"/>
    <w:rsid w:val="00AA3389"/>
    <w:rsid w:val="00AA37BD"/>
    <w:rsid w:val="00AA3F1B"/>
    <w:rsid w:val="00AA4541"/>
    <w:rsid w:val="00AB19EA"/>
    <w:rsid w:val="00AB2398"/>
    <w:rsid w:val="00AB38BF"/>
    <w:rsid w:val="00AB4582"/>
    <w:rsid w:val="00AB5CE6"/>
    <w:rsid w:val="00AB7F26"/>
    <w:rsid w:val="00AC02A2"/>
    <w:rsid w:val="00AC1713"/>
    <w:rsid w:val="00AC1EEA"/>
    <w:rsid w:val="00AC342E"/>
    <w:rsid w:val="00AC3493"/>
    <w:rsid w:val="00AC4583"/>
    <w:rsid w:val="00AC57B1"/>
    <w:rsid w:val="00AC58E6"/>
    <w:rsid w:val="00AC6059"/>
    <w:rsid w:val="00AC799A"/>
    <w:rsid w:val="00AD16F3"/>
    <w:rsid w:val="00AD1B14"/>
    <w:rsid w:val="00AD40EA"/>
    <w:rsid w:val="00AD4361"/>
    <w:rsid w:val="00AD44E0"/>
    <w:rsid w:val="00AD5D10"/>
    <w:rsid w:val="00AD6EDE"/>
    <w:rsid w:val="00AE03EB"/>
    <w:rsid w:val="00AE1955"/>
    <w:rsid w:val="00AE1A99"/>
    <w:rsid w:val="00AE282B"/>
    <w:rsid w:val="00AE29D3"/>
    <w:rsid w:val="00AE2BF4"/>
    <w:rsid w:val="00AE361B"/>
    <w:rsid w:val="00AE49EF"/>
    <w:rsid w:val="00AE796C"/>
    <w:rsid w:val="00AF1F22"/>
    <w:rsid w:val="00AF2A7A"/>
    <w:rsid w:val="00AF2E75"/>
    <w:rsid w:val="00AF5BDB"/>
    <w:rsid w:val="00AF724D"/>
    <w:rsid w:val="00B0062E"/>
    <w:rsid w:val="00B03558"/>
    <w:rsid w:val="00B05CF0"/>
    <w:rsid w:val="00B06094"/>
    <w:rsid w:val="00B07B7D"/>
    <w:rsid w:val="00B10084"/>
    <w:rsid w:val="00B10279"/>
    <w:rsid w:val="00B10504"/>
    <w:rsid w:val="00B11185"/>
    <w:rsid w:val="00B1122B"/>
    <w:rsid w:val="00B11DF1"/>
    <w:rsid w:val="00B1257B"/>
    <w:rsid w:val="00B12C39"/>
    <w:rsid w:val="00B12D7F"/>
    <w:rsid w:val="00B13300"/>
    <w:rsid w:val="00B13BA4"/>
    <w:rsid w:val="00B14315"/>
    <w:rsid w:val="00B17375"/>
    <w:rsid w:val="00B17584"/>
    <w:rsid w:val="00B17A3F"/>
    <w:rsid w:val="00B21043"/>
    <w:rsid w:val="00B21DD2"/>
    <w:rsid w:val="00B21DFA"/>
    <w:rsid w:val="00B22076"/>
    <w:rsid w:val="00B22179"/>
    <w:rsid w:val="00B24D9C"/>
    <w:rsid w:val="00B25FEE"/>
    <w:rsid w:val="00B26B74"/>
    <w:rsid w:val="00B31BFE"/>
    <w:rsid w:val="00B355B6"/>
    <w:rsid w:val="00B36F6D"/>
    <w:rsid w:val="00B37E40"/>
    <w:rsid w:val="00B4030D"/>
    <w:rsid w:val="00B4131B"/>
    <w:rsid w:val="00B416B9"/>
    <w:rsid w:val="00B43C2B"/>
    <w:rsid w:val="00B452AD"/>
    <w:rsid w:val="00B45FA2"/>
    <w:rsid w:val="00B502F5"/>
    <w:rsid w:val="00B538E0"/>
    <w:rsid w:val="00B543C6"/>
    <w:rsid w:val="00B5529B"/>
    <w:rsid w:val="00B56ED7"/>
    <w:rsid w:val="00B572C1"/>
    <w:rsid w:val="00B63A99"/>
    <w:rsid w:val="00B64429"/>
    <w:rsid w:val="00B67EB0"/>
    <w:rsid w:val="00B701A6"/>
    <w:rsid w:val="00B71EF4"/>
    <w:rsid w:val="00B728E7"/>
    <w:rsid w:val="00B73FA6"/>
    <w:rsid w:val="00B74B65"/>
    <w:rsid w:val="00B756A5"/>
    <w:rsid w:val="00B75C4B"/>
    <w:rsid w:val="00B77170"/>
    <w:rsid w:val="00B7782A"/>
    <w:rsid w:val="00B77B11"/>
    <w:rsid w:val="00B813FA"/>
    <w:rsid w:val="00B81701"/>
    <w:rsid w:val="00B81A0B"/>
    <w:rsid w:val="00B828D0"/>
    <w:rsid w:val="00B83906"/>
    <w:rsid w:val="00B83D45"/>
    <w:rsid w:val="00B86886"/>
    <w:rsid w:val="00B8777B"/>
    <w:rsid w:val="00B87BDB"/>
    <w:rsid w:val="00B90DE1"/>
    <w:rsid w:val="00B916B9"/>
    <w:rsid w:val="00B92A51"/>
    <w:rsid w:val="00B9563B"/>
    <w:rsid w:val="00B966C4"/>
    <w:rsid w:val="00BA16CB"/>
    <w:rsid w:val="00BA3349"/>
    <w:rsid w:val="00BA4947"/>
    <w:rsid w:val="00BA5A1B"/>
    <w:rsid w:val="00BA6204"/>
    <w:rsid w:val="00BA6228"/>
    <w:rsid w:val="00BA63FA"/>
    <w:rsid w:val="00BA6DC3"/>
    <w:rsid w:val="00BB2C71"/>
    <w:rsid w:val="00BB5C14"/>
    <w:rsid w:val="00BB74FC"/>
    <w:rsid w:val="00BB77D5"/>
    <w:rsid w:val="00BC0C8D"/>
    <w:rsid w:val="00BC1A5C"/>
    <w:rsid w:val="00BC4216"/>
    <w:rsid w:val="00BC45BC"/>
    <w:rsid w:val="00BC4E91"/>
    <w:rsid w:val="00BC51F5"/>
    <w:rsid w:val="00BC5E9E"/>
    <w:rsid w:val="00BC799B"/>
    <w:rsid w:val="00BD09C7"/>
    <w:rsid w:val="00BD1555"/>
    <w:rsid w:val="00BD44FD"/>
    <w:rsid w:val="00BD461E"/>
    <w:rsid w:val="00BD548A"/>
    <w:rsid w:val="00BD5873"/>
    <w:rsid w:val="00BD755C"/>
    <w:rsid w:val="00BD7E61"/>
    <w:rsid w:val="00BE37AE"/>
    <w:rsid w:val="00BE47CF"/>
    <w:rsid w:val="00BE4AE6"/>
    <w:rsid w:val="00BE6C42"/>
    <w:rsid w:val="00BE7301"/>
    <w:rsid w:val="00BF0A62"/>
    <w:rsid w:val="00BF1E3A"/>
    <w:rsid w:val="00BF359D"/>
    <w:rsid w:val="00BF35C1"/>
    <w:rsid w:val="00BF3F75"/>
    <w:rsid w:val="00BF40DD"/>
    <w:rsid w:val="00BF4367"/>
    <w:rsid w:val="00BF5C60"/>
    <w:rsid w:val="00BF606E"/>
    <w:rsid w:val="00BF6AA6"/>
    <w:rsid w:val="00BF769C"/>
    <w:rsid w:val="00BF7E8C"/>
    <w:rsid w:val="00BF7F1A"/>
    <w:rsid w:val="00C007A4"/>
    <w:rsid w:val="00C01B85"/>
    <w:rsid w:val="00C01CA0"/>
    <w:rsid w:val="00C02CCE"/>
    <w:rsid w:val="00C07974"/>
    <w:rsid w:val="00C10C7A"/>
    <w:rsid w:val="00C10F2F"/>
    <w:rsid w:val="00C144DB"/>
    <w:rsid w:val="00C178F2"/>
    <w:rsid w:val="00C21827"/>
    <w:rsid w:val="00C23251"/>
    <w:rsid w:val="00C234CB"/>
    <w:rsid w:val="00C239B3"/>
    <w:rsid w:val="00C23C3B"/>
    <w:rsid w:val="00C23C66"/>
    <w:rsid w:val="00C24DFE"/>
    <w:rsid w:val="00C27575"/>
    <w:rsid w:val="00C31358"/>
    <w:rsid w:val="00C31572"/>
    <w:rsid w:val="00C31B66"/>
    <w:rsid w:val="00C32F81"/>
    <w:rsid w:val="00C33CAE"/>
    <w:rsid w:val="00C350B9"/>
    <w:rsid w:val="00C36E6C"/>
    <w:rsid w:val="00C40A9A"/>
    <w:rsid w:val="00C40E26"/>
    <w:rsid w:val="00C40FB5"/>
    <w:rsid w:val="00C410C5"/>
    <w:rsid w:val="00C41210"/>
    <w:rsid w:val="00C418C4"/>
    <w:rsid w:val="00C42A68"/>
    <w:rsid w:val="00C430D6"/>
    <w:rsid w:val="00C43243"/>
    <w:rsid w:val="00C434B0"/>
    <w:rsid w:val="00C467F9"/>
    <w:rsid w:val="00C503BA"/>
    <w:rsid w:val="00C50B43"/>
    <w:rsid w:val="00C52360"/>
    <w:rsid w:val="00C52F3A"/>
    <w:rsid w:val="00C55892"/>
    <w:rsid w:val="00C55DDC"/>
    <w:rsid w:val="00C56101"/>
    <w:rsid w:val="00C56F0C"/>
    <w:rsid w:val="00C620DC"/>
    <w:rsid w:val="00C62CED"/>
    <w:rsid w:val="00C63616"/>
    <w:rsid w:val="00C648EA"/>
    <w:rsid w:val="00C64A3A"/>
    <w:rsid w:val="00C66A4B"/>
    <w:rsid w:val="00C674CA"/>
    <w:rsid w:val="00C70357"/>
    <w:rsid w:val="00C71C8B"/>
    <w:rsid w:val="00C722DF"/>
    <w:rsid w:val="00C72787"/>
    <w:rsid w:val="00C72F53"/>
    <w:rsid w:val="00C73AB5"/>
    <w:rsid w:val="00C73AC6"/>
    <w:rsid w:val="00C76974"/>
    <w:rsid w:val="00C80417"/>
    <w:rsid w:val="00C81184"/>
    <w:rsid w:val="00C83AFE"/>
    <w:rsid w:val="00C83D48"/>
    <w:rsid w:val="00C8513B"/>
    <w:rsid w:val="00C87AC3"/>
    <w:rsid w:val="00C87BDC"/>
    <w:rsid w:val="00C87C7F"/>
    <w:rsid w:val="00C90674"/>
    <w:rsid w:val="00C91683"/>
    <w:rsid w:val="00C94278"/>
    <w:rsid w:val="00C955DA"/>
    <w:rsid w:val="00C957DB"/>
    <w:rsid w:val="00CA1D85"/>
    <w:rsid w:val="00CA357D"/>
    <w:rsid w:val="00CA5C71"/>
    <w:rsid w:val="00CA7A7E"/>
    <w:rsid w:val="00CB045E"/>
    <w:rsid w:val="00CB2E9B"/>
    <w:rsid w:val="00CB3C68"/>
    <w:rsid w:val="00CB48A1"/>
    <w:rsid w:val="00CB4D09"/>
    <w:rsid w:val="00CB6864"/>
    <w:rsid w:val="00CC17D7"/>
    <w:rsid w:val="00CC18E7"/>
    <w:rsid w:val="00CC32F5"/>
    <w:rsid w:val="00CC3430"/>
    <w:rsid w:val="00CC3B56"/>
    <w:rsid w:val="00CC4667"/>
    <w:rsid w:val="00CC472D"/>
    <w:rsid w:val="00CC61FF"/>
    <w:rsid w:val="00CC7123"/>
    <w:rsid w:val="00CC7B78"/>
    <w:rsid w:val="00CD10D8"/>
    <w:rsid w:val="00CD27F7"/>
    <w:rsid w:val="00CD2CB2"/>
    <w:rsid w:val="00CD39B2"/>
    <w:rsid w:val="00CD3E4B"/>
    <w:rsid w:val="00CD45B3"/>
    <w:rsid w:val="00CD4E81"/>
    <w:rsid w:val="00CD69BC"/>
    <w:rsid w:val="00CD733E"/>
    <w:rsid w:val="00CD736D"/>
    <w:rsid w:val="00CE0924"/>
    <w:rsid w:val="00CE10C3"/>
    <w:rsid w:val="00CE3990"/>
    <w:rsid w:val="00CE50DC"/>
    <w:rsid w:val="00CE559D"/>
    <w:rsid w:val="00CF39CD"/>
    <w:rsid w:val="00CF40C1"/>
    <w:rsid w:val="00CF40D3"/>
    <w:rsid w:val="00CF4496"/>
    <w:rsid w:val="00CF482E"/>
    <w:rsid w:val="00CF4FCC"/>
    <w:rsid w:val="00CF5ED6"/>
    <w:rsid w:val="00D005F3"/>
    <w:rsid w:val="00D01A58"/>
    <w:rsid w:val="00D03F49"/>
    <w:rsid w:val="00D052F5"/>
    <w:rsid w:val="00D05325"/>
    <w:rsid w:val="00D0537C"/>
    <w:rsid w:val="00D06378"/>
    <w:rsid w:val="00D06547"/>
    <w:rsid w:val="00D06B54"/>
    <w:rsid w:val="00D07D55"/>
    <w:rsid w:val="00D07ECA"/>
    <w:rsid w:val="00D10021"/>
    <w:rsid w:val="00D1225F"/>
    <w:rsid w:val="00D132D9"/>
    <w:rsid w:val="00D13C21"/>
    <w:rsid w:val="00D14932"/>
    <w:rsid w:val="00D14F03"/>
    <w:rsid w:val="00D1567B"/>
    <w:rsid w:val="00D15B29"/>
    <w:rsid w:val="00D16037"/>
    <w:rsid w:val="00D16287"/>
    <w:rsid w:val="00D16FF9"/>
    <w:rsid w:val="00D17DE7"/>
    <w:rsid w:val="00D20373"/>
    <w:rsid w:val="00D21240"/>
    <w:rsid w:val="00D2325D"/>
    <w:rsid w:val="00D23A99"/>
    <w:rsid w:val="00D255B3"/>
    <w:rsid w:val="00D25974"/>
    <w:rsid w:val="00D26DA8"/>
    <w:rsid w:val="00D27744"/>
    <w:rsid w:val="00D30059"/>
    <w:rsid w:val="00D30134"/>
    <w:rsid w:val="00D306D8"/>
    <w:rsid w:val="00D3099B"/>
    <w:rsid w:val="00D31404"/>
    <w:rsid w:val="00D324BA"/>
    <w:rsid w:val="00D32E17"/>
    <w:rsid w:val="00D336B9"/>
    <w:rsid w:val="00D33A09"/>
    <w:rsid w:val="00D33BCE"/>
    <w:rsid w:val="00D353CE"/>
    <w:rsid w:val="00D35418"/>
    <w:rsid w:val="00D370EB"/>
    <w:rsid w:val="00D42587"/>
    <w:rsid w:val="00D42696"/>
    <w:rsid w:val="00D4374A"/>
    <w:rsid w:val="00D439C4"/>
    <w:rsid w:val="00D44D33"/>
    <w:rsid w:val="00D4721E"/>
    <w:rsid w:val="00D53A52"/>
    <w:rsid w:val="00D55873"/>
    <w:rsid w:val="00D56574"/>
    <w:rsid w:val="00D567DB"/>
    <w:rsid w:val="00D56C9D"/>
    <w:rsid w:val="00D60E66"/>
    <w:rsid w:val="00D616FD"/>
    <w:rsid w:val="00D61CEA"/>
    <w:rsid w:val="00D62217"/>
    <w:rsid w:val="00D62228"/>
    <w:rsid w:val="00D63C0A"/>
    <w:rsid w:val="00D64DFF"/>
    <w:rsid w:val="00D66258"/>
    <w:rsid w:val="00D66CE6"/>
    <w:rsid w:val="00D67066"/>
    <w:rsid w:val="00D700FF"/>
    <w:rsid w:val="00D71370"/>
    <w:rsid w:val="00D71B83"/>
    <w:rsid w:val="00D71D47"/>
    <w:rsid w:val="00D71DFD"/>
    <w:rsid w:val="00D73352"/>
    <w:rsid w:val="00D74AC6"/>
    <w:rsid w:val="00D751FE"/>
    <w:rsid w:val="00D76FD6"/>
    <w:rsid w:val="00D77BA0"/>
    <w:rsid w:val="00D80FB5"/>
    <w:rsid w:val="00D84D65"/>
    <w:rsid w:val="00D85438"/>
    <w:rsid w:val="00D85484"/>
    <w:rsid w:val="00D85A58"/>
    <w:rsid w:val="00D85FDE"/>
    <w:rsid w:val="00D868CC"/>
    <w:rsid w:val="00D86B27"/>
    <w:rsid w:val="00D87A83"/>
    <w:rsid w:val="00D87DF4"/>
    <w:rsid w:val="00D908DA"/>
    <w:rsid w:val="00D90F2C"/>
    <w:rsid w:val="00D91C32"/>
    <w:rsid w:val="00D91C39"/>
    <w:rsid w:val="00D93204"/>
    <w:rsid w:val="00D95D86"/>
    <w:rsid w:val="00D963FE"/>
    <w:rsid w:val="00D9641E"/>
    <w:rsid w:val="00D9667F"/>
    <w:rsid w:val="00DA0360"/>
    <w:rsid w:val="00DA045C"/>
    <w:rsid w:val="00DA2793"/>
    <w:rsid w:val="00DA3379"/>
    <w:rsid w:val="00DA4788"/>
    <w:rsid w:val="00DA53FC"/>
    <w:rsid w:val="00DA569C"/>
    <w:rsid w:val="00DA6FDA"/>
    <w:rsid w:val="00DA7E06"/>
    <w:rsid w:val="00DB0297"/>
    <w:rsid w:val="00DB0511"/>
    <w:rsid w:val="00DB0B0A"/>
    <w:rsid w:val="00DB100E"/>
    <w:rsid w:val="00DB3864"/>
    <w:rsid w:val="00DB5186"/>
    <w:rsid w:val="00DB534E"/>
    <w:rsid w:val="00DB5B88"/>
    <w:rsid w:val="00DB6DF3"/>
    <w:rsid w:val="00DC1A43"/>
    <w:rsid w:val="00DC291B"/>
    <w:rsid w:val="00DC4721"/>
    <w:rsid w:val="00DC49BF"/>
    <w:rsid w:val="00DC5A74"/>
    <w:rsid w:val="00DC6A39"/>
    <w:rsid w:val="00DD01F4"/>
    <w:rsid w:val="00DD1746"/>
    <w:rsid w:val="00DD2149"/>
    <w:rsid w:val="00DD25C8"/>
    <w:rsid w:val="00DD2FA6"/>
    <w:rsid w:val="00DD39C7"/>
    <w:rsid w:val="00DD4B5E"/>
    <w:rsid w:val="00DD5D12"/>
    <w:rsid w:val="00DD64E2"/>
    <w:rsid w:val="00DD6928"/>
    <w:rsid w:val="00DE2AC2"/>
    <w:rsid w:val="00DE2C0B"/>
    <w:rsid w:val="00DE3B0E"/>
    <w:rsid w:val="00DE3D91"/>
    <w:rsid w:val="00DE3F65"/>
    <w:rsid w:val="00DE6D7D"/>
    <w:rsid w:val="00DF0B07"/>
    <w:rsid w:val="00DF1DFC"/>
    <w:rsid w:val="00DF28FC"/>
    <w:rsid w:val="00DF33FE"/>
    <w:rsid w:val="00DF43C1"/>
    <w:rsid w:val="00DF4A40"/>
    <w:rsid w:val="00DF4BF5"/>
    <w:rsid w:val="00DF529C"/>
    <w:rsid w:val="00E000F0"/>
    <w:rsid w:val="00E00871"/>
    <w:rsid w:val="00E00E8B"/>
    <w:rsid w:val="00E017B3"/>
    <w:rsid w:val="00E0324D"/>
    <w:rsid w:val="00E03D37"/>
    <w:rsid w:val="00E04C3F"/>
    <w:rsid w:val="00E04E93"/>
    <w:rsid w:val="00E0681E"/>
    <w:rsid w:val="00E07213"/>
    <w:rsid w:val="00E07FED"/>
    <w:rsid w:val="00E10605"/>
    <w:rsid w:val="00E118A7"/>
    <w:rsid w:val="00E11C73"/>
    <w:rsid w:val="00E11E60"/>
    <w:rsid w:val="00E13158"/>
    <w:rsid w:val="00E13877"/>
    <w:rsid w:val="00E13D36"/>
    <w:rsid w:val="00E140F2"/>
    <w:rsid w:val="00E143C8"/>
    <w:rsid w:val="00E14D6B"/>
    <w:rsid w:val="00E14E47"/>
    <w:rsid w:val="00E15AF2"/>
    <w:rsid w:val="00E20F7B"/>
    <w:rsid w:val="00E22053"/>
    <w:rsid w:val="00E22654"/>
    <w:rsid w:val="00E2380F"/>
    <w:rsid w:val="00E23B45"/>
    <w:rsid w:val="00E23EAF"/>
    <w:rsid w:val="00E2420A"/>
    <w:rsid w:val="00E24491"/>
    <w:rsid w:val="00E26B15"/>
    <w:rsid w:val="00E2799B"/>
    <w:rsid w:val="00E27C47"/>
    <w:rsid w:val="00E32D69"/>
    <w:rsid w:val="00E336E9"/>
    <w:rsid w:val="00E34467"/>
    <w:rsid w:val="00E34FD9"/>
    <w:rsid w:val="00E35FCE"/>
    <w:rsid w:val="00E36575"/>
    <w:rsid w:val="00E367F2"/>
    <w:rsid w:val="00E42048"/>
    <w:rsid w:val="00E426B6"/>
    <w:rsid w:val="00E434F0"/>
    <w:rsid w:val="00E456E1"/>
    <w:rsid w:val="00E45F34"/>
    <w:rsid w:val="00E46E98"/>
    <w:rsid w:val="00E47101"/>
    <w:rsid w:val="00E5063A"/>
    <w:rsid w:val="00E52BC2"/>
    <w:rsid w:val="00E562AA"/>
    <w:rsid w:val="00E56DD7"/>
    <w:rsid w:val="00E60AB6"/>
    <w:rsid w:val="00E60C01"/>
    <w:rsid w:val="00E615E4"/>
    <w:rsid w:val="00E619C3"/>
    <w:rsid w:val="00E61F8B"/>
    <w:rsid w:val="00E62845"/>
    <w:rsid w:val="00E635C0"/>
    <w:rsid w:val="00E639BE"/>
    <w:rsid w:val="00E64D16"/>
    <w:rsid w:val="00E65DE4"/>
    <w:rsid w:val="00E66A39"/>
    <w:rsid w:val="00E66AED"/>
    <w:rsid w:val="00E70D83"/>
    <w:rsid w:val="00E71A78"/>
    <w:rsid w:val="00E71F60"/>
    <w:rsid w:val="00E7205A"/>
    <w:rsid w:val="00E72C4B"/>
    <w:rsid w:val="00E737CD"/>
    <w:rsid w:val="00E76386"/>
    <w:rsid w:val="00E764B7"/>
    <w:rsid w:val="00E765D6"/>
    <w:rsid w:val="00E771C4"/>
    <w:rsid w:val="00E77C89"/>
    <w:rsid w:val="00E80488"/>
    <w:rsid w:val="00E804D0"/>
    <w:rsid w:val="00E80874"/>
    <w:rsid w:val="00E8149A"/>
    <w:rsid w:val="00E82E31"/>
    <w:rsid w:val="00E831DB"/>
    <w:rsid w:val="00E868F5"/>
    <w:rsid w:val="00E8695E"/>
    <w:rsid w:val="00E87EFD"/>
    <w:rsid w:val="00E908D5"/>
    <w:rsid w:val="00E909E4"/>
    <w:rsid w:val="00E90A2E"/>
    <w:rsid w:val="00E93221"/>
    <w:rsid w:val="00E93A11"/>
    <w:rsid w:val="00E9450F"/>
    <w:rsid w:val="00E94835"/>
    <w:rsid w:val="00E960B4"/>
    <w:rsid w:val="00E96695"/>
    <w:rsid w:val="00E97014"/>
    <w:rsid w:val="00EA232F"/>
    <w:rsid w:val="00EA490A"/>
    <w:rsid w:val="00EA6A30"/>
    <w:rsid w:val="00EA78AE"/>
    <w:rsid w:val="00EB4EA1"/>
    <w:rsid w:val="00EB65E8"/>
    <w:rsid w:val="00EB6B4E"/>
    <w:rsid w:val="00EC0172"/>
    <w:rsid w:val="00EC2427"/>
    <w:rsid w:val="00EC3E23"/>
    <w:rsid w:val="00EC4461"/>
    <w:rsid w:val="00EC4C01"/>
    <w:rsid w:val="00EC5039"/>
    <w:rsid w:val="00EC504D"/>
    <w:rsid w:val="00EC56F3"/>
    <w:rsid w:val="00EC59DC"/>
    <w:rsid w:val="00EC5B49"/>
    <w:rsid w:val="00EC5D06"/>
    <w:rsid w:val="00EC5DD8"/>
    <w:rsid w:val="00EC6676"/>
    <w:rsid w:val="00EC79A6"/>
    <w:rsid w:val="00ED04A7"/>
    <w:rsid w:val="00ED168C"/>
    <w:rsid w:val="00ED2B31"/>
    <w:rsid w:val="00ED3964"/>
    <w:rsid w:val="00ED3CD7"/>
    <w:rsid w:val="00ED53E2"/>
    <w:rsid w:val="00ED605D"/>
    <w:rsid w:val="00ED6EF5"/>
    <w:rsid w:val="00ED7ADE"/>
    <w:rsid w:val="00EE11D4"/>
    <w:rsid w:val="00EE2059"/>
    <w:rsid w:val="00EE2D2F"/>
    <w:rsid w:val="00EE3BC3"/>
    <w:rsid w:val="00EE42B1"/>
    <w:rsid w:val="00EE4728"/>
    <w:rsid w:val="00EE4E38"/>
    <w:rsid w:val="00EE5BD5"/>
    <w:rsid w:val="00EF0465"/>
    <w:rsid w:val="00EF073B"/>
    <w:rsid w:val="00EF2D99"/>
    <w:rsid w:val="00EF2F03"/>
    <w:rsid w:val="00EF3D91"/>
    <w:rsid w:val="00EF3FFF"/>
    <w:rsid w:val="00EF5EE3"/>
    <w:rsid w:val="00EF6CC8"/>
    <w:rsid w:val="00EF7D09"/>
    <w:rsid w:val="00F002B0"/>
    <w:rsid w:val="00F018B1"/>
    <w:rsid w:val="00F019A9"/>
    <w:rsid w:val="00F020C1"/>
    <w:rsid w:val="00F0215B"/>
    <w:rsid w:val="00F02223"/>
    <w:rsid w:val="00F028BD"/>
    <w:rsid w:val="00F04524"/>
    <w:rsid w:val="00F04EF7"/>
    <w:rsid w:val="00F05ACA"/>
    <w:rsid w:val="00F06628"/>
    <w:rsid w:val="00F07C7F"/>
    <w:rsid w:val="00F11C21"/>
    <w:rsid w:val="00F1240C"/>
    <w:rsid w:val="00F14A39"/>
    <w:rsid w:val="00F14C50"/>
    <w:rsid w:val="00F15DA0"/>
    <w:rsid w:val="00F16501"/>
    <w:rsid w:val="00F175E4"/>
    <w:rsid w:val="00F21264"/>
    <w:rsid w:val="00F233E8"/>
    <w:rsid w:val="00F248E4"/>
    <w:rsid w:val="00F26FF6"/>
    <w:rsid w:val="00F30407"/>
    <w:rsid w:val="00F3112A"/>
    <w:rsid w:val="00F3141A"/>
    <w:rsid w:val="00F337F6"/>
    <w:rsid w:val="00F34123"/>
    <w:rsid w:val="00F35D49"/>
    <w:rsid w:val="00F3714B"/>
    <w:rsid w:val="00F404E4"/>
    <w:rsid w:val="00F41BD7"/>
    <w:rsid w:val="00F4250A"/>
    <w:rsid w:val="00F425CC"/>
    <w:rsid w:val="00F429E9"/>
    <w:rsid w:val="00F43DDE"/>
    <w:rsid w:val="00F43F26"/>
    <w:rsid w:val="00F44CFE"/>
    <w:rsid w:val="00F44D67"/>
    <w:rsid w:val="00F4675C"/>
    <w:rsid w:val="00F505D8"/>
    <w:rsid w:val="00F51493"/>
    <w:rsid w:val="00F526E4"/>
    <w:rsid w:val="00F52D03"/>
    <w:rsid w:val="00F52FA8"/>
    <w:rsid w:val="00F53BE6"/>
    <w:rsid w:val="00F540CB"/>
    <w:rsid w:val="00F54AA4"/>
    <w:rsid w:val="00F55710"/>
    <w:rsid w:val="00F55BA2"/>
    <w:rsid w:val="00F560F9"/>
    <w:rsid w:val="00F57568"/>
    <w:rsid w:val="00F579E6"/>
    <w:rsid w:val="00F602E5"/>
    <w:rsid w:val="00F60C8D"/>
    <w:rsid w:val="00F61F90"/>
    <w:rsid w:val="00F635A5"/>
    <w:rsid w:val="00F6414B"/>
    <w:rsid w:val="00F64D19"/>
    <w:rsid w:val="00F66EB3"/>
    <w:rsid w:val="00F67F37"/>
    <w:rsid w:val="00F71AE4"/>
    <w:rsid w:val="00F73E3B"/>
    <w:rsid w:val="00F74095"/>
    <w:rsid w:val="00F74500"/>
    <w:rsid w:val="00F746C1"/>
    <w:rsid w:val="00F75103"/>
    <w:rsid w:val="00F756B9"/>
    <w:rsid w:val="00F75D02"/>
    <w:rsid w:val="00F76412"/>
    <w:rsid w:val="00F80719"/>
    <w:rsid w:val="00F80CD5"/>
    <w:rsid w:val="00F80D60"/>
    <w:rsid w:val="00F80ECB"/>
    <w:rsid w:val="00F81C17"/>
    <w:rsid w:val="00F82123"/>
    <w:rsid w:val="00F84068"/>
    <w:rsid w:val="00F8468A"/>
    <w:rsid w:val="00F84E47"/>
    <w:rsid w:val="00F854AA"/>
    <w:rsid w:val="00F87B2A"/>
    <w:rsid w:val="00F9269D"/>
    <w:rsid w:val="00F94612"/>
    <w:rsid w:val="00F948BA"/>
    <w:rsid w:val="00F96A1A"/>
    <w:rsid w:val="00F96EFC"/>
    <w:rsid w:val="00F97270"/>
    <w:rsid w:val="00F972A2"/>
    <w:rsid w:val="00F972F5"/>
    <w:rsid w:val="00F97886"/>
    <w:rsid w:val="00F97ED5"/>
    <w:rsid w:val="00FA075D"/>
    <w:rsid w:val="00FA19DF"/>
    <w:rsid w:val="00FA2CFA"/>
    <w:rsid w:val="00FA2ECF"/>
    <w:rsid w:val="00FA3AFA"/>
    <w:rsid w:val="00FA46AF"/>
    <w:rsid w:val="00FA5D16"/>
    <w:rsid w:val="00FB1233"/>
    <w:rsid w:val="00FB1D66"/>
    <w:rsid w:val="00FB200D"/>
    <w:rsid w:val="00FB3541"/>
    <w:rsid w:val="00FB3A28"/>
    <w:rsid w:val="00FB562B"/>
    <w:rsid w:val="00FB5ACA"/>
    <w:rsid w:val="00FB6127"/>
    <w:rsid w:val="00FB6A95"/>
    <w:rsid w:val="00FB775E"/>
    <w:rsid w:val="00FC190B"/>
    <w:rsid w:val="00FC2BF0"/>
    <w:rsid w:val="00FC329C"/>
    <w:rsid w:val="00FC5F42"/>
    <w:rsid w:val="00FC60BB"/>
    <w:rsid w:val="00FC76F2"/>
    <w:rsid w:val="00FC7DDD"/>
    <w:rsid w:val="00FC7E34"/>
    <w:rsid w:val="00FD12EE"/>
    <w:rsid w:val="00FD1F25"/>
    <w:rsid w:val="00FD20CD"/>
    <w:rsid w:val="00FD2301"/>
    <w:rsid w:val="00FD24A2"/>
    <w:rsid w:val="00FD28F5"/>
    <w:rsid w:val="00FD2DE1"/>
    <w:rsid w:val="00FD3A8D"/>
    <w:rsid w:val="00FD7F6F"/>
    <w:rsid w:val="00FE020B"/>
    <w:rsid w:val="00FE0278"/>
    <w:rsid w:val="00FE179E"/>
    <w:rsid w:val="00FE3A68"/>
    <w:rsid w:val="00FE3DF3"/>
    <w:rsid w:val="00FE6BB4"/>
    <w:rsid w:val="00FE7C94"/>
    <w:rsid w:val="00FF1649"/>
    <w:rsid w:val="00FF1B08"/>
    <w:rsid w:val="00FF2B13"/>
    <w:rsid w:val="00FF4581"/>
    <w:rsid w:val="00FF5C00"/>
    <w:rsid w:val="00FF6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659FE"/>
  <w15:docId w15:val="{36D0E705-35B8-42ED-B776-497BC5AC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E81"/>
    <w:rPr>
      <w:sz w:val="24"/>
      <w:szCs w:val="24"/>
    </w:rPr>
  </w:style>
  <w:style w:type="paragraph" w:styleId="Nadpis1">
    <w:name w:val="heading 1"/>
    <w:basedOn w:val="Normln"/>
    <w:next w:val="Normln"/>
    <w:link w:val="Nadpis1Char"/>
    <w:qFormat/>
    <w:rsid w:val="006B21F1"/>
    <w:pPr>
      <w:keepNext/>
      <w:tabs>
        <w:tab w:val="left" w:pos="624"/>
      </w:tabs>
      <w:spacing w:before="240" w:after="240" w:line="360" w:lineRule="auto"/>
      <w:ind w:left="624" w:hanging="624"/>
      <w:outlineLvl w:val="0"/>
    </w:pPr>
    <w:rPr>
      <w:b/>
      <w:bCs/>
      <w:kern w:val="32"/>
      <w:sz w:val="32"/>
      <w:szCs w:val="32"/>
    </w:rPr>
  </w:style>
  <w:style w:type="paragraph" w:styleId="Nadpis2">
    <w:name w:val="heading 2"/>
    <w:basedOn w:val="Normln"/>
    <w:next w:val="Normln"/>
    <w:link w:val="Nadpis2Char"/>
    <w:qFormat/>
    <w:rsid w:val="006B21F1"/>
    <w:pPr>
      <w:keepNext/>
      <w:spacing w:before="240" w:after="120" w:line="360" w:lineRule="auto"/>
      <w:outlineLvl w:val="1"/>
    </w:pPr>
    <w:rPr>
      <w:b/>
      <w:bCs/>
      <w:sz w:val="28"/>
      <w:szCs w:val="28"/>
    </w:rPr>
  </w:style>
  <w:style w:type="paragraph" w:styleId="Nadpis3">
    <w:name w:val="heading 3"/>
    <w:basedOn w:val="Normln"/>
    <w:next w:val="Normln"/>
    <w:link w:val="Nadpis3Char"/>
    <w:qFormat/>
    <w:rsid w:val="006B21F1"/>
    <w:pPr>
      <w:keepNext/>
      <w:jc w:val="both"/>
      <w:outlineLvl w:val="2"/>
    </w:pPr>
    <w:rPr>
      <w:sz w:val="28"/>
      <w:szCs w:val="28"/>
    </w:rPr>
  </w:style>
  <w:style w:type="paragraph" w:styleId="Nadpis4">
    <w:name w:val="heading 4"/>
    <w:basedOn w:val="Normln"/>
    <w:next w:val="Normln"/>
    <w:link w:val="Nadpis4Char"/>
    <w:qFormat/>
    <w:rsid w:val="006B21F1"/>
    <w:pPr>
      <w:keepNext/>
      <w:jc w:val="both"/>
      <w:outlineLvl w:val="3"/>
    </w:pPr>
    <w:rPr>
      <w:sz w:val="28"/>
      <w:szCs w:val="28"/>
      <w:u w:val="single"/>
    </w:rPr>
  </w:style>
  <w:style w:type="paragraph" w:styleId="Nadpis5">
    <w:name w:val="heading 5"/>
    <w:basedOn w:val="Normln"/>
    <w:next w:val="Normln"/>
    <w:link w:val="Nadpis5Char"/>
    <w:qFormat/>
    <w:rsid w:val="006B21F1"/>
    <w:pPr>
      <w:keepNext/>
      <w:outlineLvl w:val="4"/>
    </w:pPr>
    <w:rPr>
      <w:sz w:val="28"/>
      <w:szCs w:val="28"/>
    </w:rPr>
  </w:style>
  <w:style w:type="paragraph" w:styleId="Nadpis6">
    <w:name w:val="heading 6"/>
    <w:basedOn w:val="Normln"/>
    <w:next w:val="Normln"/>
    <w:link w:val="Nadpis6Char"/>
    <w:qFormat/>
    <w:rsid w:val="006B21F1"/>
    <w:pPr>
      <w:keepNext/>
      <w:jc w:val="both"/>
      <w:outlineLvl w:val="5"/>
    </w:pPr>
    <w:rPr>
      <w:rFonts w:ascii="Tahoma" w:hAnsi="Tahoma" w:cs="Tahoma"/>
      <w:u w:val="single"/>
    </w:rPr>
  </w:style>
  <w:style w:type="paragraph" w:styleId="Nadpis7">
    <w:name w:val="heading 7"/>
    <w:basedOn w:val="Normln"/>
    <w:next w:val="Normln"/>
    <w:link w:val="Nadpis7Char"/>
    <w:qFormat/>
    <w:rsid w:val="000F2B7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D38"/>
    <w:rPr>
      <w:rFonts w:ascii="Cambria" w:hAnsi="Cambria" w:cs="Cambria"/>
      <w:b/>
      <w:bCs/>
      <w:kern w:val="32"/>
      <w:sz w:val="32"/>
      <w:szCs w:val="32"/>
    </w:rPr>
  </w:style>
  <w:style w:type="character" w:customStyle="1" w:styleId="Nadpis2Char">
    <w:name w:val="Nadpis 2 Char"/>
    <w:basedOn w:val="Standardnpsmoodstavce"/>
    <w:link w:val="Nadpis2"/>
    <w:rsid w:val="00A80D38"/>
    <w:rPr>
      <w:rFonts w:ascii="Cambria" w:hAnsi="Cambria" w:cs="Cambria"/>
      <w:b/>
      <w:bCs/>
      <w:i/>
      <w:iCs/>
      <w:sz w:val="28"/>
      <w:szCs w:val="28"/>
    </w:rPr>
  </w:style>
  <w:style w:type="character" w:customStyle="1" w:styleId="Nadpis3Char">
    <w:name w:val="Nadpis 3 Char"/>
    <w:basedOn w:val="Standardnpsmoodstavce"/>
    <w:link w:val="Nadpis3"/>
    <w:semiHidden/>
    <w:rsid w:val="00A80D38"/>
    <w:rPr>
      <w:rFonts w:ascii="Cambria" w:hAnsi="Cambria" w:cs="Cambria"/>
      <w:b/>
      <w:bCs/>
      <w:sz w:val="26"/>
      <w:szCs w:val="26"/>
    </w:rPr>
  </w:style>
  <w:style w:type="character" w:customStyle="1" w:styleId="Nadpis4Char">
    <w:name w:val="Nadpis 4 Char"/>
    <w:basedOn w:val="Standardnpsmoodstavce"/>
    <w:link w:val="Nadpis4"/>
    <w:semiHidden/>
    <w:rsid w:val="00A80D38"/>
    <w:rPr>
      <w:rFonts w:ascii="Calibri" w:hAnsi="Calibri" w:cs="Calibri"/>
      <w:b/>
      <w:bCs/>
      <w:sz w:val="28"/>
      <w:szCs w:val="28"/>
    </w:rPr>
  </w:style>
  <w:style w:type="character" w:customStyle="1" w:styleId="Nadpis5Char">
    <w:name w:val="Nadpis 5 Char"/>
    <w:basedOn w:val="Standardnpsmoodstavce"/>
    <w:link w:val="Nadpis5"/>
    <w:semiHidden/>
    <w:rsid w:val="00A80D38"/>
    <w:rPr>
      <w:rFonts w:ascii="Calibri" w:hAnsi="Calibri" w:cs="Calibri"/>
      <w:b/>
      <w:bCs/>
      <w:i/>
      <w:iCs/>
      <w:sz w:val="26"/>
      <w:szCs w:val="26"/>
    </w:rPr>
  </w:style>
  <w:style w:type="character" w:customStyle="1" w:styleId="Nadpis6Char">
    <w:name w:val="Nadpis 6 Char"/>
    <w:basedOn w:val="Standardnpsmoodstavce"/>
    <w:link w:val="Nadpis6"/>
    <w:semiHidden/>
    <w:rsid w:val="00A80D38"/>
    <w:rPr>
      <w:rFonts w:ascii="Calibri" w:hAnsi="Calibri" w:cs="Calibri"/>
      <w:b/>
      <w:bCs/>
    </w:rPr>
  </w:style>
  <w:style w:type="character" w:customStyle="1" w:styleId="Nadpis7Char">
    <w:name w:val="Nadpis 7 Char"/>
    <w:basedOn w:val="Standardnpsmoodstavce"/>
    <w:link w:val="Nadpis7"/>
    <w:semiHidden/>
    <w:rsid w:val="00A80D38"/>
    <w:rPr>
      <w:rFonts w:ascii="Calibri" w:hAnsi="Calibri" w:cs="Calibri"/>
      <w:sz w:val="24"/>
      <w:szCs w:val="24"/>
    </w:rPr>
  </w:style>
  <w:style w:type="paragraph" w:styleId="Zkladntext">
    <w:name w:val="Body Text"/>
    <w:basedOn w:val="Normln"/>
    <w:link w:val="ZkladntextChar"/>
    <w:rsid w:val="006B21F1"/>
    <w:pPr>
      <w:jc w:val="both"/>
    </w:pPr>
    <w:rPr>
      <w:sz w:val="28"/>
      <w:szCs w:val="28"/>
    </w:rPr>
  </w:style>
  <w:style w:type="character" w:customStyle="1" w:styleId="ZkladntextChar">
    <w:name w:val="Základní text Char"/>
    <w:basedOn w:val="Standardnpsmoodstavce"/>
    <w:link w:val="Zkladntext"/>
    <w:semiHidden/>
    <w:rsid w:val="00A80D38"/>
    <w:rPr>
      <w:rFonts w:cs="Times New Roman"/>
      <w:sz w:val="24"/>
      <w:szCs w:val="24"/>
    </w:rPr>
  </w:style>
  <w:style w:type="paragraph" w:customStyle="1" w:styleId="Styl1">
    <w:name w:val="Styl1"/>
    <w:basedOn w:val="Normln"/>
    <w:rsid w:val="006B21F1"/>
    <w:pPr>
      <w:numPr>
        <w:numId w:val="2"/>
      </w:numPr>
    </w:pPr>
  </w:style>
  <w:style w:type="paragraph" w:customStyle="1" w:styleId="Styl2">
    <w:name w:val="Styl2"/>
    <w:basedOn w:val="Normln"/>
    <w:rsid w:val="006B21F1"/>
    <w:pPr>
      <w:numPr>
        <w:ilvl w:val="1"/>
        <w:numId w:val="2"/>
      </w:numPr>
    </w:pPr>
  </w:style>
  <w:style w:type="paragraph" w:styleId="Zhlav">
    <w:name w:val="header"/>
    <w:basedOn w:val="Normln"/>
    <w:link w:val="ZhlavChar"/>
    <w:rsid w:val="006B21F1"/>
    <w:pPr>
      <w:tabs>
        <w:tab w:val="center" w:pos="4536"/>
        <w:tab w:val="right" w:pos="9072"/>
      </w:tabs>
    </w:pPr>
  </w:style>
  <w:style w:type="character" w:customStyle="1" w:styleId="ZhlavChar">
    <w:name w:val="Záhlaví Char"/>
    <w:basedOn w:val="Standardnpsmoodstavce"/>
    <w:link w:val="Zhlav"/>
    <w:semiHidden/>
    <w:rsid w:val="00A80D38"/>
    <w:rPr>
      <w:rFonts w:cs="Times New Roman"/>
      <w:sz w:val="24"/>
      <w:szCs w:val="24"/>
    </w:rPr>
  </w:style>
  <w:style w:type="paragraph" w:styleId="Zpat">
    <w:name w:val="footer"/>
    <w:basedOn w:val="Normln"/>
    <w:link w:val="ZpatChar"/>
    <w:uiPriority w:val="99"/>
    <w:rsid w:val="006B21F1"/>
    <w:pPr>
      <w:tabs>
        <w:tab w:val="center" w:pos="4536"/>
        <w:tab w:val="right" w:pos="9072"/>
      </w:tabs>
    </w:pPr>
  </w:style>
  <w:style w:type="character" w:customStyle="1" w:styleId="ZpatChar">
    <w:name w:val="Zápatí Char"/>
    <w:basedOn w:val="Standardnpsmoodstavce"/>
    <w:link w:val="Zpat"/>
    <w:uiPriority w:val="99"/>
    <w:rsid w:val="00771EDB"/>
    <w:rPr>
      <w:rFonts w:cs="Times New Roman"/>
      <w:sz w:val="24"/>
      <w:szCs w:val="24"/>
    </w:rPr>
  </w:style>
  <w:style w:type="character" w:styleId="slostrnky">
    <w:name w:val="page number"/>
    <w:basedOn w:val="Standardnpsmoodstavce"/>
    <w:rsid w:val="006B21F1"/>
    <w:rPr>
      <w:rFonts w:cs="Times New Roman"/>
    </w:rPr>
  </w:style>
  <w:style w:type="paragraph" w:styleId="Zkladntextodsazen">
    <w:name w:val="Body Text Indent"/>
    <w:basedOn w:val="Normln"/>
    <w:link w:val="ZkladntextodsazenChar"/>
    <w:rsid w:val="006B21F1"/>
    <w:pPr>
      <w:jc w:val="both"/>
    </w:pPr>
    <w:rPr>
      <w:sz w:val="28"/>
      <w:szCs w:val="28"/>
    </w:rPr>
  </w:style>
  <w:style w:type="character" w:customStyle="1" w:styleId="ZkladntextodsazenChar">
    <w:name w:val="Základní text odsazený Char"/>
    <w:basedOn w:val="Standardnpsmoodstavce"/>
    <w:link w:val="Zkladntextodsazen"/>
    <w:semiHidden/>
    <w:rsid w:val="00A80D38"/>
    <w:rPr>
      <w:rFonts w:cs="Times New Roman"/>
      <w:sz w:val="24"/>
      <w:szCs w:val="24"/>
    </w:rPr>
  </w:style>
  <w:style w:type="paragraph" w:styleId="Zkladntext3">
    <w:name w:val="Body Text 3"/>
    <w:basedOn w:val="Normln"/>
    <w:link w:val="Zkladntext3Char"/>
    <w:rsid w:val="006B21F1"/>
    <w:rPr>
      <w:rFonts w:ascii="Tahoma" w:hAnsi="Tahoma" w:cs="Tahoma"/>
      <w:sz w:val="28"/>
      <w:szCs w:val="28"/>
    </w:rPr>
  </w:style>
  <w:style w:type="character" w:customStyle="1" w:styleId="Zkladntext3Char">
    <w:name w:val="Základní text 3 Char"/>
    <w:basedOn w:val="Standardnpsmoodstavce"/>
    <w:link w:val="Zkladntext3"/>
    <w:semiHidden/>
    <w:rsid w:val="00A80D38"/>
    <w:rPr>
      <w:rFonts w:cs="Times New Roman"/>
      <w:sz w:val="16"/>
      <w:szCs w:val="16"/>
    </w:rPr>
  </w:style>
  <w:style w:type="paragraph" w:styleId="Textpoznpodarou">
    <w:name w:val="footnote text"/>
    <w:basedOn w:val="Normln"/>
    <w:link w:val="TextpoznpodarouChar"/>
    <w:semiHidden/>
    <w:rsid w:val="006B21F1"/>
    <w:rPr>
      <w:sz w:val="20"/>
      <w:szCs w:val="20"/>
    </w:rPr>
  </w:style>
  <w:style w:type="character" w:customStyle="1" w:styleId="TextpoznpodarouChar">
    <w:name w:val="Text pozn. pod čarou Char"/>
    <w:basedOn w:val="Standardnpsmoodstavce"/>
    <w:link w:val="Textpoznpodarou"/>
    <w:semiHidden/>
    <w:rsid w:val="00A80D38"/>
    <w:rPr>
      <w:rFonts w:cs="Times New Roman"/>
      <w:sz w:val="20"/>
      <w:szCs w:val="20"/>
    </w:rPr>
  </w:style>
  <w:style w:type="character" w:styleId="Znakapoznpodarou">
    <w:name w:val="footnote reference"/>
    <w:basedOn w:val="Standardnpsmoodstavce"/>
    <w:semiHidden/>
    <w:rsid w:val="006B21F1"/>
    <w:rPr>
      <w:rFonts w:cs="Times New Roman"/>
      <w:vertAlign w:val="superscript"/>
    </w:rPr>
  </w:style>
  <w:style w:type="paragraph" w:styleId="Normlnweb">
    <w:name w:val="Normal (Web)"/>
    <w:basedOn w:val="Normln"/>
    <w:uiPriority w:val="99"/>
    <w:rsid w:val="006B21F1"/>
    <w:pPr>
      <w:spacing w:before="150" w:after="30"/>
    </w:pPr>
    <w:rPr>
      <w:rFonts w:ascii="Verdana" w:hAnsi="Verdana" w:cs="Verdana"/>
    </w:rPr>
  </w:style>
  <w:style w:type="character" w:styleId="Siln">
    <w:name w:val="Strong"/>
    <w:basedOn w:val="Standardnpsmoodstavce"/>
    <w:uiPriority w:val="22"/>
    <w:qFormat/>
    <w:rsid w:val="006B21F1"/>
    <w:rPr>
      <w:rFonts w:cs="Times New Roman"/>
      <w:b/>
      <w:bCs/>
    </w:rPr>
  </w:style>
  <w:style w:type="paragraph" w:customStyle="1" w:styleId="Zkladntextodsazen1">
    <w:name w:val="Základní text odsazený1"/>
    <w:basedOn w:val="Normln"/>
    <w:link w:val="BodyTextIndentChar"/>
    <w:rsid w:val="006B21F1"/>
    <w:pPr>
      <w:ind w:left="540" w:hanging="540"/>
      <w:jc w:val="both"/>
    </w:pPr>
    <w:rPr>
      <w:sz w:val="28"/>
      <w:szCs w:val="28"/>
    </w:rPr>
  </w:style>
  <w:style w:type="character" w:customStyle="1" w:styleId="BodyTextIndentChar">
    <w:name w:val="Body Text Indent Char"/>
    <w:basedOn w:val="Standardnpsmoodstavce"/>
    <w:link w:val="Zkladntextodsazen1"/>
    <w:rsid w:val="00A80D38"/>
    <w:rPr>
      <w:rFonts w:cs="Times New Roman"/>
      <w:sz w:val="24"/>
      <w:szCs w:val="24"/>
    </w:rPr>
  </w:style>
  <w:style w:type="character" w:customStyle="1" w:styleId="platne1">
    <w:name w:val="platne1"/>
    <w:basedOn w:val="Standardnpsmoodstavce"/>
    <w:rsid w:val="006B21F1"/>
    <w:rPr>
      <w:rFonts w:cs="Times New Roman"/>
    </w:rPr>
  </w:style>
  <w:style w:type="character" w:styleId="Hypertextovodkaz">
    <w:name w:val="Hyperlink"/>
    <w:basedOn w:val="Standardnpsmoodstavce"/>
    <w:uiPriority w:val="99"/>
    <w:rsid w:val="00655853"/>
    <w:rPr>
      <w:rFonts w:cs="Times New Roman"/>
      <w:color w:val="0000FF"/>
      <w:u w:val="single"/>
    </w:rPr>
  </w:style>
  <w:style w:type="paragraph" w:styleId="Textbubliny">
    <w:name w:val="Balloon Text"/>
    <w:basedOn w:val="Normln"/>
    <w:link w:val="TextbublinyChar"/>
    <w:semiHidden/>
    <w:rsid w:val="009E7EFC"/>
    <w:rPr>
      <w:rFonts w:ascii="Tahoma" w:hAnsi="Tahoma" w:cs="Tahoma"/>
      <w:sz w:val="16"/>
      <w:szCs w:val="16"/>
    </w:rPr>
  </w:style>
  <w:style w:type="character" w:customStyle="1" w:styleId="TextbublinyChar">
    <w:name w:val="Text bubliny Char"/>
    <w:basedOn w:val="Standardnpsmoodstavce"/>
    <w:link w:val="Textbubliny"/>
    <w:semiHidden/>
    <w:rsid w:val="00A80D38"/>
    <w:rPr>
      <w:rFonts w:cs="Times New Roman"/>
      <w:sz w:val="2"/>
      <w:szCs w:val="2"/>
    </w:rPr>
  </w:style>
  <w:style w:type="paragraph" w:customStyle="1" w:styleId="KUMS-adresa">
    <w:name w:val="KUMS-adresa"/>
    <w:basedOn w:val="Normln"/>
    <w:rsid w:val="00522B8F"/>
    <w:pPr>
      <w:spacing w:line="280" w:lineRule="exact"/>
      <w:jc w:val="both"/>
    </w:pPr>
    <w:rPr>
      <w:rFonts w:ascii="Tahoma" w:hAnsi="Tahoma" w:cs="Tahoma"/>
      <w:noProof/>
      <w:sz w:val="20"/>
      <w:szCs w:val="20"/>
    </w:rPr>
  </w:style>
  <w:style w:type="character" w:styleId="Sledovanodkaz">
    <w:name w:val="FollowedHyperlink"/>
    <w:basedOn w:val="Standardnpsmoodstavce"/>
    <w:rsid w:val="009A53DA"/>
    <w:rPr>
      <w:rFonts w:cs="Times New Roman"/>
      <w:color w:val="800080"/>
      <w:u w:val="single"/>
    </w:rPr>
  </w:style>
  <w:style w:type="paragraph" w:customStyle="1" w:styleId="Styl">
    <w:name w:val="Styl"/>
    <w:basedOn w:val="Normln"/>
    <w:rsid w:val="00C40E26"/>
    <w:pPr>
      <w:spacing w:after="160" w:line="240" w:lineRule="exact"/>
    </w:pPr>
    <w:rPr>
      <w:rFonts w:ascii="Times New Roman Bold" w:hAnsi="Times New Roman Bold" w:cs="Times New Roman Bold"/>
      <w:sz w:val="22"/>
      <w:szCs w:val="22"/>
      <w:lang w:val="sk-SK" w:eastAsia="en-US"/>
    </w:rPr>
  </w:style>
  <w:style w:type="paragraph" w:styleId="FormtovanvHTML">
    <w:name w:val="HTML Preformatted"/>
    <w:basedOn w:val="Normln"/>
    <w:link w:val="FormtovanvHTMLChar"/>
    <w:rsid w:val="00F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A80D38"/>
    <w:rPr>
      <w:rFonts w:ascii="Courier New" w:hAnsi="Courier New" w:cs="Courier New"/>
      <w:sz w:val="20"/>
      <w:szCs w:val="20"/>
    </w:rPr>
  </w:style>
  <w:style w:type="paragraph" w:customStyle="1" w:styleId="CharChar8CharChar">
    <w:name w:val="Char Char8 Char Char"/>
    <w:basedOn w:val="Normln"/>
    <w:rsid w:val="003E1150"/>
    <w:pPr>
      <w:spacing w:after="160" w:line="240" w:lineRule="exact"/>
    </w:pPr>
    <w:rPr>
      <w:rFonts w:ascii="Verdana" w:hAnsi="Verdana" w:cs="Verdana"/>
      <w:sz w:val="20"/>
      <w:szCs w:val="20"/>
      <w:lang w:val="en-US" w:eastAsia="en-US"/>
    </w:rPr>
  </w:style>
  <w:style w:type="paragraph" w:customStyle="1" w:styleId="Char4CharCharCharCharCharCharCharCharChar">
    <w:name w:val="Char4 Char Char Char Char Char Char Char Char Char"/>
    <w:basedOn w:val="Normln"/>
    <w:rsid w:val="00F635A5"/>
    <w:pPr>
      <w:spacing w:after="160" w:line="240" w:lineRule="exact"/>
    </w:pPr>
    <w:rPr>
      <w:rFonts w:ascii="Times New Roman Bold" w:hAnsi="Times New Roman Bold" w:cs="Times New Roman Bold"/>
      <w:sz w:val="22"/>
      <w:szCs w:val="22"/>
      <w:lang w:val="sk-SK" w:eastAsia="en-US"/>
    </w:rPr>
  </w:style>
  <w:style w:type="paragraph" w:customStyle="1" w:styleId="Char4CharCharCharCharCharCharCharCharChar1">
    <w:name w:val="Char4 Char Char Char Char Char Char Char Char Char1"/>
    <w:basedOn w:val="Normln"/>
    <w:rsid w:val="00EF3D91"/>
    <w:pPr>
      <w:spacing w:after="160" w:line="240" w:lineRule="exact"/>
    </w:pPr>
    <w:rPr>
      <w:rFonts w:ascii="Times New Roman Bold" w:hAnsi="Times New Roman Bold" w:cs="Times New Roman Bold"/>
      <w:sz w:val="22"/>
      <w:szCs w:val="22"/>
      <w:lang w:val="sk-SK" w:eastAsia="en-US"/>
    </w:rPr>
  </w:style>
  <w:style w:type="paragraph" w:customStyle="1" w:styleId="CharChar8CharChar1">
    <w:name w:val="Char Char8 Char Char1"/>
    <w:basedOn w:val="Normln"/>
    <w:rsid w:val="00E32D69"/>
    <w:pPr>
      <w:spacing w:after="160" w:line="240" w:lineRule="exact"/>
    </w:pPr>
    <w:rPr>
      <w:rFonts w:ascii="Verdana" w:hAnsi="Verdana" w:cs="Verdana"/>
      <w:sz w:val="20"/>
      <w:szCs w:val="20"/>
      <w:lang w:val="en-US" w:eastAsia="en-US"/>
    </w:rPr>
  </w:style>
  <w:style w:type="paragraph" w:styleId="Textkomente">
    <w:name w:val="annotation text"/>
    <w:basedOn w:val="Normln"/>
    <w:link w:val="TextkomenteChar"/>
    <w:semiHidden/>
    <w:rsid w:val="00E32D69"/>
    <w:rPr>
      <w:sz w:val="20"/>
      <w:szCs w:val="20"/>
    </w:rPr>
  </w:style>
  <w:style w:type="character" w:customStyle="1" w:styleId="TextkomenteChar">
    <w:name w:val="Text komentáře Char"/>
    <w:basedOn w:val="Standardnpsmoodstavce"/>
    <w:link w:val="Textkomente"/>
    <w:semiHidden/>
    <w:rsid w:val="00E32D69"/>
    <w:rPr>
      <w:rFonts w:cs="Times New Roman"/>
      <w:sz w:val="20"/>
      <w:szCs w:val="20"/>
    </w:rPr>
  </w:style>
  <w:style w:type="paragraph" w:customStyle="1" w:styleId="Odstavecseseznamem1">
    <w:name w:val="Odstavec se seznamem1"/>
    <w:basedOn w:val="Normln"/>
    <w:rsid w:val="00ED2B31"/>
    <w:pPr>
      <w:ind w:left="720"/>
      <w:contextualSpacing/>
    </w:pPr>
  </w:style>
  <w:style w:type="paragraph" w:customStyle="1" w:styleId="Bezmezer1">
    <w:name w:val="Bez mezer1"/>
    <w:rsid w:val="00B75C4B"/>
    <w:rPr>
      <w:rFonts w:ascii="Calibri" w:hAnsi="Calibri" w:cs="Calibri"/>
      <w:noProof/>
      <w:sz w:val="22"/>
      <w:szCs w:val="22"/>
      <w:lang w:eastAsia="en-US"/>
    </w:rPr>
  </w:style>
  <w:style w:type="paragraph" w:customStyle="1" w:styleId="CharChar8CharChar2">
    <w:name w:val="Char Char8 Char Char2"/>
    <w:basedOn w:val="Normln"/>
    <w:rsid w:val="00C52F3A"/>
    <w:pPr>
      <w:spacing w:after="160" w:line="240" w:lineRule="exact"/>
    </w:pPr>
    <w:rPr>
      <w:rFonts w:ascii="Verdana" w:hAnsi="Verdana" w:cs="Verdana"/>
      <w:sz w:val="20"/>
      <w:szCs w:val="20"/>
      <w:lang w:val="en-US" w:eastAsia="en-US"/>
    </w:rPr>
  </w:style>
  <w:style w:type="paragraph" w:customStyle="1" w:styleId="CharChar8CharChar3">
    <w:name w:val="Char Char8 Char Char3"/>
    <w:basedOn w:val="Normln"/>
    <w:rsid w:val="005F3F3E"/>
    <w:pPr>
      <w:spacing w:after="160" w:line="240" w:lineRule="exact"/>
    </w:pPr>
    <w:rPr>
      <w:rFonts w:ascii="Verdana" w:hAnsi="Verdana" w:cs="Verdana"/>
      <w:sz w:val="20"/>
      <w:szCs w:val="20"/>
      <w:lang w:val="en-US" w:eastAsia="en-US"/>
    </w:rPr>
  </w:style>
  <w:style w:type="paragraph" w:customStyle="1" w:styleId="Char4CharCharCharCharCharCharCharCharChar2">
    <w:name w:val="Char4 Char Char Char Char Char Char Char Char Char2"/>
    <w:basedOn w:val="Normln"/>
    <w:rsid w:val="0091779F"/>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F40C1"/>
    <w:pPr>
      <w:ind w:left="720"/>
      <w:contextualSpacing/>
    </w:pPr>
  </w:style>
  <w:style w:type="paragraph" w:customStyle="1" w:styleId="Mjtext">
    <w:name w:val="Můj text"/>
    <w:basedOn w:val="Normln"/>
    <w:link w:val="MjtextChar"/>
    <w:rsid w:val="00A82FA1"/>
    <w:pPr>
      <w:spacing w:before="120" w:after="240"/>
      <w:jc w:val="both"/>
    </w:pPr>
    <w:rPr>
      <w:rFonts w:ascii="Tahoma" w:hAnsi="Tahoma" w:cs="Tahoma"/>
      <w:sz w:val="20"/>
    </w:rPr>
  </w:style>
  <w:style w:type="character" w:customStyle="1" w:styleId="MjtextChar">
    <w:name w:val="Můj text Char"/>
    <w:basedOn w:val="Standardnpsmoodstavce"/>
    <w:link w:val="Mjtext"/>
    <w:rsid w:val="00A82FA1"/>
    <w:rPr>
      <w:rFonts w:ascii="Tahoma" w:hAnsi="Tahoma" w:cs="Tahoma"/>
      <w:szCs w:val="24"/>
    </w:rPr>
  </w:style>
  <w:style w:type="paragraph" w:styleId="Zkladntextodsazen2">
    <w:name w:val="Body Text Indent 2"/>
    <w:basedOn w:val="Normln"/>
    <w:link w:val="Zkladntextodsazen2Char"/>
    <w:semiHidden/>
    <w:rsid w:val="000024E5"/>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0024E5"/>
    <w:rPr>
      <w:sz w:val="24"/>
      <w:szCs w:val="24"/>
      <w:lang w:val="x-none" w:eastAsia="x-none"/>
    </w:rPr>
  </w:style>
  <w:style w:type="paragraph" w:styleId="Bezmezer">
    <w:name w:val="No Spacing"/>
    <w:uiPriority w:val="1"/>
    <w:qFormat/>
    <w:rsid w:val="00D64DFF"/>
    <w:pPr>
      <w:jc w:val="both"/>
    </w:pPr>
    <w:rPr>
      <w:rFonts w:ascii="Tahoma" w:eastAsiaTheme="minorHAnsi" w:hAnsi="Tahoma" w:cstheme="minorBidi"/>
      <w:sz w:val="24"/>
      <w:szCs w:val="22"/>
      <w:lang w:eastAsia="en-US"/>
    </w:rPr>
  </w:style>
  <w:style w:type="character" w:customStyle="1" w:styleId="s30">
    <w:name w:val="s30"/>
    <w:basedOn w:val="Standardnpsmoodstavce"/>
    <w:rsid w:val="005738C9"/>
  </w:style>
  <w:style w:type="paragraph" w:customStyle="1" w:styleId="Schvleno">
    <w:name w:val="Schváleno"/>
    <w:basedOn w:val="Normln"/>
    <w:next w:val="Normln"/>
    <w:rsid w:val="00D71DFD"/>
    <w:pPr>
      <w:spacing w:before="120" w:line="400" w:lineRule="exact"/>
      <w:jc w:val="center"/>
    </w:pPr>
    <w:rPr>
      <w:rFonts w:ascii="Calibri" w:eastAsia="Calibri" w:hAnsi="Calibri"/>
      <w:sz w:val="28"/>
      <w:szCs w:val="22"/>
      <w:lang w:eastAsia="en-US"/>
    </w:rPr>
  </w:style>
  <w:style w:type="character" w:styleId="Odkaznakoment">
    <w:name w:val="annotation reference"/>
    <w:basedOn w:val="Standardnpsmoodstavce"/>
    <w:uiPriority w:val="99"/>
    <w:semiHidden/>
    <w:unhideWhenUsed/>
    <w:rsid w:val="00D55873"/>
    <w:rPr>
      <w:sz w:val="16"/>
      <w:szCs w:val="16"/>
    </w:rPr>
  </w:style>
  <w:style w:type="paragraph" w:styleId="Pedmtkomente">
    <w:name w:val="annotation subject"/>
    <w:basedOn w:val="Textkomente"/>
    <w:next w:val="Textkomente"/>
    <w:link w:val="PedmtkomenteChar"/>
    <w:uiPriority w:val="99"/>
    <w:semiHidden/>
    <w:unhideWhenUsed/>
    <w:rsid w:val="00D55873"/>
    <w:rPr>
      <w:b/>
      <w:bCs/>
    </w:rPr>
  </w:style>
  <w:style w:type="character" w:customStyle="1" w:styleId="PedmtkomenteChar">
    <w:name w:val="Předmět komentáře Char"/>
    <w:basedOn w:val="TextkomenteChar"/>
    <w:link w:val="Pedmtkomente"/>
    <w:uiPriority w:val="99"/>
    <w:semiHidden/>
    <w:rsid w:val="00D55873"/>
    <w:rPr>
      <w:rFonts w:cs="Times New Roman"/>
      <w:b/>
      <w:bCs/>
      <w:sz w:val="20"/>
      <w:szCs w:val="20"/>
    </w:rPr>
  </w:style>
  <w:style w:type="paragraph" w:customStyle="1" w:styleId="zkladntextodsazen10">
    <w:name w:val="zkladntextodsazen1"/>
    <w:basedOn w:val="Normln"/>
    <w:rsid w:val="00D336B9"/>
    <w:pPr>
      <w:ind w:left="540" w:hanging="540"/>
      <w:jc w:val="both"/>
    </w:pPr>
    <w:rPr>
      <w:rFonts w:ascii="Calibri" w:eastAsiaTheme="minorHAnsi" w:hAnsi="Calibri" w:cs="Calibri"/>
      <w:sz w:val="28"/>
      <w:szCs w:val="28"/>
    </w:rPr>
  </w:style>
  <w:style w:type="paragraph" w:customStyle="1" w:styleId="MSKNormal">
    <w:name w:val="MSK_Normal"/>
    <w:basedOn w:val="Normln"/>
    <w:link w:val="MSKNormalChar"/>
    <w:qFormat/>
    <w:rsid w:val="0071124D"/>
    <w:pPr>
      <w:jc w:val="both"/>
    </w:pPr>
    <w:rPr>
      <w:rFonts w:ascii="Tahoma" w:eastAsia="Calibri" w:hAnsi="Tahoma"/>
    </w:rPr>
  </w:style>
  <w:style w:type="character" w:customStyle="1" w:styleId="MSKNormalChar">
    <w:name w:val="MSK_Normal Char"/>
    <w:link w:val="MSKNormal"/>
    <w:rsid w:val="0071124D"/>
    <w:rPr>
      <w:rFonts w:ascii="Tahoma" w:eastAsia="Calibri" w:hAnsi="Tahoma"/>
      <w:sz w:val="24"/>
      <w:szCs w:val="24"/>
    </w:rPr>
  </w:style>
  <w:style w:type="paragraph" w:customStyle="1" w:styleId="brz-css-qtinc">
    <w:name w:val="brz-css-qtinc"/>
    <w:basedOn w:val="Normln"/>
    <w:rsid w:val="003F4E5B"/>
    <w:pPr>
      <w:spacing w:before="100" w:beforeAutospacing="1" w:after="100" w:afterAutospacing="1"/>
    </w:pPr>
  </w:style>
  <w:style w:type="character" w:customStyle="1" w:styleId="brz-cp-color7">
    <w:name w:val="brz-cp-color7"/>
    <w:basedOn w:val="Standardnpsmoodstavce"/>
    <w:rsid w:val="003F4E5B"/>
  </w:style>
  <w:style w:type="paragraph" w:customStyle="1" w:styleId="brz-css-emkix">
    <w:name w:val="brz-css-emkix"/>
    <w:basedOn w:val="Normln"/>
    <w:rsid w:val="003F4E5B"/>
    <w:pPr>
      <w:spacing w:before="100" w:beforeAutospacing="1" w:after="100" w:afterAutospacing="1"/>
    </w:pPr>
  </w:style>
  <w:style w:type="paragraph" w:customStyle="1" w:styleId="brz-css-tfkwt">
    <w:name w:val="brz-css-tfkwt"/>
    <w:basedOn w:val="Normln"/>
    <w:rsid w:val="003F4E5B"/>
    <w:pPr>
      <w:spacing w:before="100" w:beforeAutospacing="1" w:after="100" w:afterAutospacing="1"/>
    </w:pPr>
  </w:style>
  <w:style w:type="paragraph" w:customStyle="1" w:styleId="brz-css-szdka">
    <w:name w:val="brz-css-szdka"/>
    <w:basedOn w:val="Normln"/>
    <w:rsid w:val="003F4E5B"/>
    <w:pPr>
      <w:spacing w:before="100" w:beforeAutospacing="1" w:after="100" w:afterAutospacing="1"/>
    </w:pPr>
  </w:style>
  <w:style w:type="paragraph" w:customStyle="1" w:styleId="brz-css-xnkph">
    <w:name w:val="brz-css-xnkph"/>
    <w:basedOn w:val="Normln"/>
    <w:rsid w:val="003F4E5B"/>
    <w:pPr>
      <w:spacing w:before="100" w:beforeAutospacing="1" w:after="100" w:afterAutospacing="1"/>
    </w:pPr>
  </w:style>
  <w:style w:type="paragraph" w:customStyle="1" w:styleId="brz-css-xerqe">
    <w:name w:val="brz-css-xerqe"/>
    <w:basedOn w:val="Normln"/>
    <w:rsid w:val="003F4E5B"/>
    <w:pPr>
      <w:spacing w:before="100" w:beforeAutospacing="1" w:after="100" w:afterAutospacing="1"/>
    </w:pPr>
  </w:style>
  <w:style w:type="paragraph" w:customStyle="1" w:styleId="brz-css-qfnvt">
    <w:name w:val="brz-css-qfnvt"/>
    <w:basedOn w:val="Normln"/>
    <w:rsid w:val="00D10021"/>
    <w:pPr>
      <w:spacing w:before="100" w:beforeAutospacing="1" w:after="100" w:afterAutospacing="1"/>
    </w:pPr>
  </w:style>
  <w:style w:type="paragraph" w:customStyle="1" w:styleId="brz-css-fowkc">
    <w:name w:val="brz-css-fowkc"/>
    <w:basedOn w:val="Normln"/>
    <w:rsid w:val="00D10021"/>
    <w:pPr>
      <w:spacing w:before="100" w:beforeAutospacing="1" w:after="100" w:afterAutospacing="1"/>
    </w:pPr>
  </w:style>
  <w:style w:type="paragraph" w:customStyle="1" w:styleId="Mojeodrka">
    <w:name w:val="Moje odrážka"/>
    <w:basedOn w:val="Nadpis4"/>
    <w:rsid w:val="00D370EB"/>
    <w:pPr>
      <w:numPr>
        <w:numId w:val="45"/>
      </w:numPr>
      <w:spacing w:after="120"/>
    </w:pPr>
    <w:rPr>
      <w:rFonts w:ascii="Tahoma" w:hAnsi="Tahoma" w:cs="Tahoma"/>
      <w:bCs/>
      <w:sz w:val="20"/>
      <w:szCs w:val="20"/>
      <w:u w:val="none"/>
    </w:rPr>
  </w:style>
  <w:style w:type="paragraph" w:styleId="Obsah1">
    <w:name w:val="toc 1"/>
    <w:aliases w:val="Můj obsah"/>
    <w:basedOn w:val="Normln"/>
    <w:next w:val="Normln"/>
    <w:autoRedefine/>
    <w:uiPriority w:val="39"/>
    <w:rsid w:val="000A509D"/>
    <w:pPr>
      <w:tabs>
        <w:tab w:val="left" w:pos="454"/>
        <w:tab w:val="right" w:leader="dot" w:pos="9062"/>
      </w:tabs>
      <w:spacing w:before="120"/>
    </w:pPr>
    <w:rPr>
      <w:rFonts w:ascii="Tahoma" w:hAnsi="Tahoma" w:cs="Tahoma"/>
      <w:b/>
      <w:bCs/>
      <w:noProof/>
    </w:rPr>
  </w:style>
  <w:style w:type="paragraph" w:styleId="Nadpisobsahu">
    <w:name w:val="TOC Heading"/>
    <w:basedOn w:val="Nadpis1"/>
    <w:next w:val="Normln"/>
    <w:uiPriority w:val="39"/>
    <w:unhideWhenUsed/>
    <w:qFormat/>
    <w:rsid w:val="00F04EF7"/>
    <w:pPr>
      <w:keepLines/>
      <w:tabs>
        <w:tab w:val="clear" w:pos="624"/>
      </w:tabs>
      <w:spacing w:after="0"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paragraph" w:styleId="Obsah3">
    <w:name w:val="toc 3"/>
    <w:basedOn w:val="Normln"/>
    <w:next w:val="Normln"/>
    <w:autoRedefine/>
    <w:uiPriority w:val="39"/>
    <w:unhideWhenUsed/>
    <w:rsid w:val="00FC76F2"/>
    <w:pPr>
      <w:tabs>
        <w:tab w:val="right" w:leader="dot" w:pos="9062"/>
      </w:tabs>
      <w:spacing w:after="100"/>
    </w:pPr>
  </w:style>
  <w:style w:type="paragraph" w:styleId="Obsah2">
    <w:name w:val="toc 2"/>
    <w:basedOn w:val="Normln"/>
    <w:next w:val="Normln"/>
    <w:autoRedefine/>
    <w:uiPriority w:val="39"/>
    <w:unhideWhenUsed/>
    <w:rsid w:val="002A777D"/>
    <w:pPr>
      <w:spacing w:after="100" w:line="259" w:lineRule="auto"/>
      <w:ind w:left="2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2609378">
      <w:bodyDiv w:val="1"/>
      <w:marLeft w:val="0"/>
      <w:marRight w:val="0"/>
      <w:marTop w:val="0"/>
      <w:marBottom w:val="0"/>
      <w:divBdr>
        <w:top w:val="none" w:sz="0" w:space="0" w:color="auto"/>
        <w:left w:val="none" w:sz="0" w:space="0" w:color="auto"/>
        <w:bottom w:val="none" w:sz="0" w:space="0" w:color="auto"/>
        <w:right w:val="none" w:sz="0" w:space="0" w:color="auto"/>
      </w:divBdr>
    </w:div>
    <w:div w:id="41180234">
      <w:bodyDiv w:val="1"/>
      <w:marLeft w:val="0"/>
      <w:marRight w:val="0"/>
      <w:marTop w:val="0"/>
      <w:marBottom w:val="0"/>
      <w:divBdr>
        <w:top w:val="none" w:sz="0" w:space="0" w:color="auto"/>
        <w:left w:val="none" w:sz="0" w:space="0" w:color="auto"/>
        <w:bottom w:val="none" w:sz="0" w:space="0" w:color="auto"/>
        <w:right w:val="none" w:sz="0" w:space="0" w:color="auto"/>
      </w:divBdr>
    </w:div>
    <w:div w:id="41712611">
      <w:bodyDiv w:val="1"/>
      <w:marLeft w:val="0"/>
      <w:marRight w:val="0"/>
      <w:marTop w:val="0"/>
      <w:marBottom w:val="0"/>
      <w:divBdr>
        <w:top w:val="none" w:sz="0" w:space="0" w:color="auto"/>
        <w:left w:val="none" w:sz="0" w:space="0" w:color="auto"/>
        <w:bottom w:val="none" w:sz="0" w:space="0" w:color="auto"/>
        <w:right w:val="none" w:sz="0" w:space="0" w:color="auto"/>
      </w:divBdr>
    </w:div>
    <w:div w:id="78987933">
      <w:bodyDiv w:val="1"/>
      <w:marLeft w:val="0"/>
      <w:marRight w:val="0"/>
      <w:marTop w:val="0"/>
      <w:marBottom w:val="0"/>
      <w:divBdr>
        <w:top w:val="none" w:sz="0" w:space="0" w:color="auto"/>
        <w:left w:val="none" w:sz="0" w:space="0" w:color="auto"/>
        <w:bottom w:val="none" w:sz="0" w:space="0" w:color="auto"/>
        <w:right w:val="none" w:sz="0" w:space="0" w:color="auto"/>
      </w:divBdr>
    </w:div>
    <w:div w:id="152572457">
      <w:bodyDiv w:val="1"/>
      <w:marLeft w:val="0"/>
      <w:marRight w:val="0"/>
      <w:marTop w:val="0"/>
      <w:marBottom w:val="0"/>
      <w:divBdr>
        <w:top w:val="none" w:sz="0" w:space="0" w:color="auto"/>
        <w:left w:val="none" w:sz="0" w:space="0" w:color="auto"/>
        <w:bottom w:val="none" w:sz="0" w:space="0" w:color="auto"/>
        <w:right w:val="none" w:sz="0" w:space="0" w:color="auto"/>
      </w:divBdr>
    </w:div>
    <w:div w:id="183710580">
      <w:bodyDiv w:val="1"/>
      <w:marLeft w:val="0"/>
      <w:marRight w:val="0"/>
      <w:marTop w:val="0"/>
      <w:marBottom w:val="0"/>
      <w:divBdr>
        <w:top w:val="none" w:sz="0" w:space="0" w:color="auto"/>
        <w:left w:val="none" w:sz="0" w:space="0" w:color="auto"/>
        <w:bottom w:val="none" w:sz="0" w:space="0" w:color="auto"/>
        <w:right w:val="none" w:sz="0" w:space="0" w:color="auto"/>
      </w:divBdr>
    </w:div>
    <w:div w:id="236943193">
      <w:bodyDiv w:val="1"/>
      <w:marLeft w:val="0"/>
      <w:marRight w:val="0"/>
      <w:marTop w:val="0"/>
      <w:marBottom w:val="0"/>
      <w:divBdr>
        <w:top w:val="none" w:sz="0" w:space="0" w:color="auto"/>
        <w:left w:val="none" w:sz="0" w:space="0" w:color="auto"/>
        <w:bottom w:val="none" w:sz="0" w:space="0" w:color="auto"/>
        <w:right w:val="none" w:sz="0" w:space="0" w:color="auto"/>
      </w:divBdr>
    </w:div>
    <w:div w:id="248925336">
      <w:bodyDiv w:val="1"/>
      <w:marLeft w:val="0"/>
      <w:marRight w:val="0"/>
      <w:marTop w:val="0"/>
      <w:marBottom w:val="0"/>
      <w:divBdr>
        <w:top w:val="none" w:sz="0" w:space="0" w:color="auto"/>
        <w:left w:val="none" w:sz="0" w:space="0" w:color="auto"/>
        <w:bottom w:val="none" w:sz="0" w:space="0" w:color="auto"/>
        <w:right w:val="none" w:sz="0" w:space="0" w:color="auto"/>
      </w:divBdr>
    </w:div>
    <w:div w:id="282267561">
      <w:bodyDiv w:val="1"/>
      <w:marLeft w:val="0"/>
      <w:marRight w:val="0"/>
      <w:marTop w:val="0"/>
      <w:marBottom w:val="0"/>
      <w:divBdr>
        <w:top w:val="none" w:sz="0" w:space="0" w:color="auto"/>
        <w:left w:val="none" w:sz="0" w:space="0" w:color="auto"/>
        <w:bottom w:val="none" w:sz="0" w:space="0" w:color="auto"/>
        <w:right w:val="none" w:sz="0" w:space="0" w:color="auto"/>
      </w:divBdr>
      <w:divsChild>
        <w:div w:id="713189704">
          <w:marLeft w:val="0"/>
          <w:marRight w:val="0"/>
          <w:marTop w:val="150"/>
          <w:marBottom w:val="150"/>
          <w:divBdr>
            <w:top w:val="none" w:sz="0" w:space="0" w:color="auto"/>
            <w:left w:val="none" w:sz="0" w:space="0" w:color="auto"/>
            <w:bottom w:val="none" w:sz="0" w:space="0" w:color="auto"/>
            <w:right w:val="none" w:sz="0" w:space="0" w:color="auto"/>
          </w:divBdr>
          <w:divsChild>
            <w:div w:id="415173517">
              <w:marLeft w:val="0"/>
              <w:marRight w:val="0"/>
              <w:marTop w:val="0"/>
              <w:marBottom w:val="0"/>
              <w:divBdr>
                <w:top w:val="none" w:sz="0" w:space="0" w:color="auto"/>
                <w:left w:val="none" w:sz="0" w:space="0" w:color="auto"/>
                <w:bottom w:val="none" w:sz="0" w:space="0" w:color="auto"/>
                <w:right w:val="none" w:sz="0" w:space="0" w:color="auto"/>
              </w:divBdr>
              <w:divsChild>
                <w:div w:id="261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039">
          <w:marLeft w:val="0"/>
          <w:marRight w:val="0"/>
          <w:marTop w:val="150"/>
          <w:marBottom w:val="150"/>
          <w:divBdr>
            <w:top w:val="none" w:sz="0" w:space="0" w:color="auto"/>
            <w:left w:val="none" w:sz="0" w:space="0" w:color="auto"/>
            <w:bottom w:val="none" w:sz="0" w:space="0" w:color="auto"/>
            <w:right w:val="none" w:sz="0" w:space="0" w:color="auto"/>
          </w:divBdr>
          <w:divsChild>
            <w:div w:id="174080748">
              <w:marLeft w:val="0"/>
              <w:marRight w:val="0"/>
              <w:marTop w:val="0"/>
              <w:marBottom w:val="0"/>
              <w:divBdr>
                <w:top w:val="none" w:sz="0" w:space="0" w:color="auto"/>
                <w:left w:val="none" w:sz="0" w:space="0" w:color="auto"/>
                <w:bottom w:val="none" w:sz="0" w:space="0" w:color="auto"/>
                <w:right w:val="none" w:sz="0" w:space="0" w:color="auto"/>
              </w:divBdr>
              <w:divsChild>
                <w:div w:id="135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37">
      <w:bodyDiv w:val="1"/>
      <w:marLeft w:val="0"/>
      <w:marRight w:val="0"/>
      <w:marTop w:val="0"/>
      <w:marBottom w:val="0"/>
      <w:divBdr>
        <w:top w:val="none" w:sz="0" w:space="0" w:color="auto"/>
        <w:left w:val="none" w:sz="0" w:space="0" w:color="auto"/>
        <w:bottom w:val="none" w:sz="0" w:space="0" w:color="auto"/>
        <w:right w:val="none" w:sz="0" w:space="0" w:color="auto"/>
      </w:divBdr>
    </w:div>
    <w:div w:id="475680678">
      <w:bodyDiv w:val="1"/>
      <w:marLeft w:val="0"/>
      <w:marRight w:val="0"/>
      <w:marTop w:val="0"/>
      <w:marBottom w:val="0"/>
      <w:divBdr>
        <w:top w:val="none" w:sz="0" w:space="0" w:color="auto"/>
        <w:left w:val="none" w:sz="0" w:space="0" w:color="auto"/>
        <w:bottom w:val="none" w:sz="0" w:space="0" w:color="auto"/>
        <w:right w:val="none" w:sz="0" w:space="0" w:color="auto"/>
      </w:divBdr>
    </w:div>
    <w:div w:id="475806041">
      <w:bodyDiv w:val="1"/>
      <w:marLeft w:val="0"/>
      <w:marRight w:val="0"/>
      <w:marTop w:val="0"/>
      <w:marBottom w:val="0"/>
      <w:divBdr>
        <w:top w:val="none" w:sz="0" w:space="0" w:color="auto"/>
        <w:left w:val="none" w:sz="0" w:space="0" w:color="auto"/>
        <w:bottom w:val="none" w:sz="0" w:space="0" w:color="auto"/>
        <w:right w:val="none" w:sz="0" w:space="0" w:color="auto"/>
      </w:divBdr>
    </w:div>
    <w:div w:id="478545474">
      <w:bodyDiv w:val="1"/>
      <w:marLeft w:val="0"/>
      <w:marRight w:val="0"/>
      <w:marTop w:val="0"/>
      <w:marBottom w:val="0"/>
      <w:divBdr>
        <w:top w:val="none" w:sz="0" w:space="0" w:color="auto"/>
        <w:left w:val="none" w:sz="0" w:space="0" w:color="auto"/>
        <w:bottom w:val="none" w:sz="0" w:space="0" w:color="auto"/>
        <w:right w:val="none" w:sz="0" w:space="0" w:color="auto"/>
      </w:divBdr>
      <w:divsChild>
        <w:div w:id="1337727774">
          <w:marLeft w:val="446"/>
          <w:marRight w:val="0"/>
          <w:marTop w:val="0"/>
          <w:marBottom w:val="0"/>
          <w:divBdr>
            <w:top w:val="none" w:sz="0" w:space="0" w:color="auto"/>
            <w:left w:val="none" w:sz="0" w:space="0" w:color="auto"/>
            <w:bottom w:val="none" w:sz="0" w:space="0" w:color="auto"/>
            <w:right w:val="none" w:sz="0" w:space="0" w:color="auto"/>
          </w:divBdr>
        </w:div>
        <w:div w:id="885486498">
          <w:marLeft w:val="446"/>
          <w:marRight w:val="0"/>
          <w:marTop w:val="0"/>
          <w:marBottom w:val="0"/>
          <w:divBdr>
            <w:top w:val="none" w:sz="0" w:space="0" w:color="auto"/>
            <w:left w:val="none" w:sz="0" w:space="0" w:color="auto"/>
            <w:bottom w:val="none" w:sz="0" w:space="0" w:color="auto"/>
            <w:right w:val="none" w:sz="0" w:space="0" w:color="auto"/>
          </w:divBdr>
        </w:div>
        <w:div w:id="1784179970">
          <w:marLeft w:val="446"/>
          <w:marRight w:val="0"/>
          <w:marTop w:val="0"/>
          <w:marBottom w:val="0"/>
          <w:divBdr>
            <w:top w:val="none" w:sz="0" w:space="0" w:color="auto"/>
            <w:left w:val="none" w:sz="0" w:space="0" w:color="auto"/>
            <w:bottom w:val="none" w:sz="0" w:space="0" w:color="auto"/>
            <w:right w:val="none" w:sz="0" w:space="0" w:color="auto"/>
          </w:divBdr>
        </w:div>
      </w:divsChild>
    </w:div>
    <w:div w:id="565647256">
      <w:bodyDiv w:val="1"/>
      <w:marLeft w:val="0"/>
      <w:marRight w:val="0"/>
      <w:marTop w:val="0"/>
      <w:marBottom w:val="0"/>
      <w:divBdr>
        <w:top w:val="none" w:sz="0" w:space="0" w:color="auto"/>
        <w:left w:val="none" w:sz="0" w:space="0" w:color="auto"/>
        <w:bottom w:val="none" w:sz="0" w:space="0" w:color="auto"/>
        <w:right w:val="none" w:sz="0" w:space="0" w:color="auto"/>
      </w:divBdr>
    </w:div>
    <w:div w:id="642857758">
      <w:bodyDiv w:val="1"/>
      <w:marLeft w:val="0"/>
      <w:marRight w:val="0"/>
      <w:marTop w:val="0"/>
      <w:marBottom w:val="0"/>
      <w:divBdr>
        <w:top w:val="none" w:sz="0" w:space="0" w:color="auto"/>
        <w:left w:val="none" w:sz="0" w:space="0" w:color="auto"/>
        <w:bottom w:val="none" w:sz="0" w:space="0" w:color="auto"/>
        <w:right w:val="none" w:sz="0" w:space="0" w:color="auto"/>
      </w:divBdr>
    </w:div>
    <w:div w:id="808521623">
      <w:bodyDiv w:val="1"/>
      <w:marLeft w:val="0"/>
      <w:marRight w:val="0"/>
      <w:marTop w:val="0"/>
      <w:marBottom w:val="0"/>
      <w:divBdr>
        <w:top w:val="none" w:sz="0" w:space="0" w:color="auto"/>
        <w:left w:val="none" w:sz="0" w:space="0" w:color="auto"/>
        <w:bottom w:val="none" w:sz="0" w:space="0" w:color="auto"/>
        <w:right w:val="none" w:sz="0" w:space="0" w:color="auto"/>
      </w:divBdr>
    </w:div>
    <w:div w:id="831335095">
      <w:bodyDiv w:val="1"/>
      <w:marLeft w:val="0"/>
      <w:marRight w:val="0"/>
      <w:marTop w:val="0"/>
      <w:marBottom w:val="0"/>
      <w:divBdr>
        <w:top w:val="none" w:sz="0" w:space="0" w:color="auto"/>
        <w:left w:val="none" w:sz="0" w:space="0" w:color="auto"/>
        <w:bottom w:val="none" w:sz="0" w:space="0" w:color="auto"/>
        <w:right w:val="none" w:sz="0" w:space="0" w:color="auto"/>
      </w:divBdr>
    </w:div>
    <w:div w:id="833446973">
      <w:bodyDiv w:val="1"/>
      <w:marLeft w:val="0"/>
      <w:marRight w:val="0"/>
      <w:marTop w:val="0"/>
      <w:marBottom w:val="0"/>
      <w:divBdr>
        <w:top w:val="none" w:sz="0" w:space="0" w:color="auto"/>
        <w:left w:val="none" w:sz="0" w:space="0" w:color="auto"/>
        <w:bottom w:val="none" w:sz="0" w:space="0" w:color="auto"/>
        <w:right w:val="none" w:sz="0" w:space="0" w:color="auto"/>
      </w:divBdr>
    </w:div>
    <w:div w:id="877275139">
      <w:bodyDiv w:val="1"/>
      <w:marLeft w:val="0"/>
      <w:marRight w:val="0"/>
      <w:marTop w:val="0"/>
      <w:marBottom w:val="0"/>
      <w:divBdr>
        <w:top w:val="none" w:sz="0" w:space="0" w:color="auto"/>
        <w:left w:val="none" w:sz="0" w:space="0" w:color="auto"/>
        <w:bottom w:val="none" w:sz="0" w:space="0" w:color="auto"/>
        <w:right w:val="none" w:sz="0" w:space="0" w:color="auto"/>
      </w:divBdr>
    </w:div>
    <w:div w:id="882864685">
      <w:bodyDiv w:val="1"/>
      <w:marLeft w:val="0"/>
      <w:marRight w:val="0"/>
      <w:marTop w:val="0"/>
      <w:marBottom w:val="0"/>
      <w:divBdr>
        <w:top w:val="none" w:sz="0" w:space="0" w:color="auto"/>
        <w:left w:val="none" w:sz="0" w:space="0" w:color="auto"/>
        <w:bottom w:val="none" w:sz="0" w:space="0" w:color="auto"/>
        <w:right w:val="none" w:sz="0" w:space="0" w:color="auto"/>
      </w:divBdr>
    </w:div>
    <w:div w:id="1202858688">
      <w:bodyDiv w:val="1"/>
      <w:marLeft w:val="0"/>
      <w:marRight w:val="0"/>
      <w:marTop w:val="0"/>
      <w:marBottom w:val="0"/>
      <w:divBdr>
        <w:top w:val="none" w:sz="0" w:space="0" w:color="auto"/>
        <w:left w:val="none" w:sz="0" w:space="0" w:color="auto"/>
        <w:bottom w:val="none" w:sz="0" w:space="0" w:color="auto"/>
        <w:right w:val="none" w:sz="0" w:space="0" w:color="auto"/>
      </w:divBdr>
    </w:div>
    <w:div w:id="1234437377">
      <w:bodyDiv w:val="1"/>
      <w:marLeft w:val="0"/>
      <w:marRight w:val="0"/>
      <w:marTop w:val="0"/>
      <w:marBottom w:val="0"/>
      <w:divBdr>
        <w:top w:val="none" w:sz="0" w:space="0" w:color="auto"/>
        <w:left w:val="none" w:sz="0" w:space="0" w:color="auto"/>
        <w:bottom w:val="none" w:sz="0" w:space="0" w:color="auto"/>
        <w:right w:val="none" w:sz="0" w:space="0" w:color="auto"/>
      </w:divBdr>
      <w:divsChild>
        <w:div w:id="1269699558">
          <w:marLeft w:val="0"/>
          <w:marRight w:val="0"/>
          <w:marTop w:val="150"/>
          <w:marBottom w:val="150"/>
          <w:divBdr>
            <w:top w:val="none" w:sz="0" w:space="0" w:color="auto"/>
            <w:left w:val="none" w:sz="0" w:space="0" w:color="auto"/>
            <w:bottom w:val="none" w:sz="0" w:space="0" w:color="auto"/>
            <w:right w:val="none" w:sz="0" w:space="0" w:color="auto"/>
          </w:divBdr>
          <w:divsChild>
            <w:div w:id="422803379">
              <w:marLeft w:val="0"/>
              <w:marRight w:val="0"/>
              <w:marTop w:val="0"/>
              <w:marBottom w:val="0"/>
              <w:divBdr>
                <w:top w:val="none" w:sz="0" w:space="0" w:color="auto"/>
                <w:left w:val="none" w:sz="0" w:space="0" w:color="auto"/>
                <w:bottom w:val="none" w:sz="0" w:space="0" w:color="auto"/>
                <w:right w:val="none" w:sz="0" w:space="0" w:color="auto"/>
              </w:divBdr>
              <w:divsChild>
                <w:div w:id="17208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295">
          <w:marLeft w:val="0"/>
          <w:marRight w:val="0"/>
          <w:marTop w:val="150"/>
          <w:marBottom w:val="150"/>
          <w:divBdr>
            <w:top w:val="none" w:sz="0" w:space="0" w:color="auto"/>
            <w:left w:val="none" w:sz="0" w:space="0" w:color="auto"/>
            <w:bottom w:val="none" w:sz="0" w:space="0" w:color="auto"/>
            <w:right w:val="none" w:sz="0" w:space="0" w:color="auto"/>
          </w:divBdr>
          <w:divsChild>
            <w:div w:id="1406225398">
              <w:marLeft w:val="0"/>
              <w:marRight w:val="0"/>
              <w:marTop w:val="0"/>
              <w:marBottom w:val="0"/>
              <w:divBdr>
                <w:top w:val="none" w:sz="0" w:space="0" w:color="auto"/>
                <w:left w:val="none" w:sz="0" w:space="0" w:color="auto"/>
                <w:bottom w:val="none" w:sz="0" w:space="0" w:color="auto"/>
                <w:right w:val="none" w:sz="0" w:space="0" w:color="auto"/>
              </w:divBdr>
              <w:divsChild>
                <w:div w:id="17237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2927">
      <w:bodyDiv w:val="1"/>
      <w:marLeft w:val="0"/>
      <w:marRight w:val="0"/>
      <w:marTop w:val="0"/>
      <w:marBottom w:val="0"/>
      <w:divBdr>
        <w:top w:val="none" w:sz="0" w:space="0" w:color="auto"/>
        <w:left w:val="none" w:sz="0" w:space="0" w:color="auto"/>
        <w:bottom w:val="none" w:sz="0" w:space="0" w:color="auto"/>
        <w:right w:val="none" w:sz="0" w:space="0" w:color="auto"/>
      </w:divBdr>
    </w:div>
    <w:div w:id="1284968455">
      <w:bodyDiv w:val="1"/>
      <w:marLeft w:val="0"/>
      <w:marRight w:val="0"/>
      <w:marTop w:val="0"/>
      <w:marBottom w:val="0"/>
      <w:divBdr>
        <w:top w:val="none" w:sz="0" w:space="0" w:color="auto"/>
        <w:left w:val="none" w:sz="0" w:space="0" w:color="auto"/>
        <w:bottom w:val="none" w:sz="0" w:space="0" w:color="auto"/>
        <w:right w:val="none" w:sz="0" w:space="0" w:color="auto"/>
      </w:divBdr>
    </w:div>
    <w:div w:id="1424112569">
      <w:bodyDiv w:val="1"/>
      <w:marLeft w:val="0"/>
      <w:marRight w:val="0"/>
      <w:marTop w:val="0"/>
      <w:marBottom w:val="0"/>
      <w:divBdr>
        <w:top w:val="none" w:sz="0" w:space="0" w:color="auto"/>
        <w:left w:val="none" w:sz="0" w:space="0" w:color="auto"/>
        <w:bottom w:val="none" w:sz="0" w:space="0" w:color="auto"/>
        <w:right w:val="none" w:sz="0" w:space="0" w:color="auto"/>
      </w:divBdr>
    </w:div>
    <w:div w:id="1435856576">
      <w:bodyDiv w:val="1"/>
      <w:marLeft w:val="0"/>
      <w:marRight w:val="0"/>
      <w:marTop w:val="0"/>
      <w:marBottom w:val="0"/>
      <w:divBdr>
        <w:top w:val="none" w:sz="0" w:space="0" w:color="auto"/>
        <w:left w:val="none" w:sz="0" w:space="0" w:color="auto"/>
        <w:bottom w:val="none" w:sz="0" w:space="0" w:color="auto"/>
        <w:right w:val="none" w:sz="0" w:space="0" w:color="auto"/>
      </w:divBdr>
    </w:div>
    <w:div w:id="1540512553">
      <w:bodyDiv w:val="1"/>
      <w:marLeft w:val="0"/>
      <w:marRight w:val="0"/>
      <w:marTop w:val="0"/>
      <w:marBottom w:val="0"/>
      <w:divBdr>
        <w:top w:val="none" w:sz="0" w:space="0" w:color="auto"/>
        <w:left w:val="none" w:sz="0" w:space="0" w:color="auto"/>
        <w:bottom w:val="none" w:sz="0" w:space="0" w:color="auto"/>
        <w:right w:val="none" w:sz="0" w:space="0" w:color="auto"/>
      </w:divBdr>
    </w:div>
    <w:div w:id="1564103970">
      <w:bodyDiv w:val="1"/>
      <w:marLeft w:val="0"/>
      <w:marRight w:val="0"/>
      <w:marTop w:val="0"/>
      <w:marBottom w:val="0"/>
      <w:divBdr>
        <w:top w:val="none" w:sz="0" w:space="0" w:color="auto"/>
        <w:left w:val="none" w:sz="0" w:space="0" w:color="auto"/>
        <w:bottom w:val="none" w:sz="0" w:space="0" w:color="auto"/>
        <w:right w:val="none" w:sz="0" w:space="0" w:color="auto"/>
      </w:divBdr>
    </w:div>
    <w:div w:id="1640501592">
      <w:bodyDiv w:val="1"/>
      <w:marLeft w:val="0"/>
      <w:marRight w:val="0"/>
      <w:marTop w:val="0"/>
      <w:marBottom w:val="0"/>
      <w:divBdr>
        <w:top w:val="none" w:sz="0" w:space="0" w:color="auto"/>
        <w:left w:val="none" w:sz="0" w:space="0" w:color="auto"/>
        <w:bottom w:val="none" w:sz="0" w:space="0" w:color="auto"/>
        <w:right w:val="none" w:sz="0" w:space="0" w:color="auto"/>
      </w:divBdr>
    </w:div>
    <w:div w:id="1829397079">
      <w:bodyDiv w:val="1"/>
      <w:marLeft w:val="0"/>
      <w:marRight w:val="0"/>
      <w:marTop w:val="0"/>
      <w:marBottom w:val="0"/>
      <w:divBdr>
        <w:top w:val="none" w:sz="0" w:space="0" w:color="auto"/>
        <w:left w:val="none" w:sz="0" w:space="0" w:color="auto"/>
        <w:bottom w:val="none" w:sz="0" w:space="0" w:color="auto"/>
        <w:right w:val="none" w:sz="0" w:space="0" w:color="auto"/>
      </w:divBdr>
    </w:div>
    <w:div w:id="1898933520">
      <w:bodyDiv w:val="1"/>
      <w:marLeft w:val="0"/>
      <w:marRight w:val="0"/>
      <w:marTop w:val="0"/>
      <w:marBottom w:val="0"/>
      <w:divBdr>
        <w:top w:val="none" w:sz="0" w:space="0" w:color="auto"/>
        <w:left w:val="none" w:sz="0" w:space="0" w:color="auto"/>
        <w:bottom w:val="none" w:sz="0" w:space="0" w:color="auto"/>
        <w:right w:val="none" w:sz="0" w:space="0" w:color="auto"/>
      </w:divBdr>
    </w:div>
    <w:div w:id="2089768923">
      <w:bodyDiv w:val="1"/>
      <w:marLeft w:val="0"/>
      <w:marRight w:val="0"/>
      <w:marTop w:val="0"/>
      <w:marBottom w:val="0"/>
      <w:divBdr>
        <w:top w:val="none" w:sz="0" w:space="0" w:color="auto"/>
        <w:left w:val="none" w:sz="0" w:space="0" w:color="auto"/>
        <w:bottom w:val="none" w:sz="0" w:space="0" w:color="auto"/>
        <w:right w:val="none" w:sz="0" w:space="0" w:color="auto"/>
      </w:divBdr>
    </w:div>
    <w:div w:id="2101949030">
      <w:bodyDiv w:val="1"/>
      <w:marLeft w:val="0"/>
      <w:marRight w:val="0"/>
      <w:marTop w:val="0"/>
      <w:marBottom w:val="0"/>
      <w:divBdr>
        <w:top w:val="none" w:sz="0" w:space="0" w:color="auto"/>
        <w:left w:val="none" w:sz="0" w:space="0" w:color="auto"/>
        <w:bottom w:val="none" w:sz="0" w:space="0" w:color="auto"/>
        <w:right w:val="none" w:sz="0" w:space="0" w:color="auto"/>
      </w:divBdr>
    </w:div>
    <w:div w:id="2112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mskraj.sharepoint.com/teams/Odd.rozpotu-Ppravavhledu2022-2025/Shared%20Documents/P&#345;&#237;prava%20v&#253;hledu%202022%20-%202025/12GRAFYKalkula&#269;ka%202022-2025-14_05-snad%20u&#382;%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zadlu&#382;enosti/TABULKA%20ZADLU&#381;ENOSTI/zadlu&#382;enost%20jistiny_graf%20do%20v&#253;hled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5603674540683"/>
          <c:y val="5.0925925925925923E-2"/>
          <c:w val="0.87187729658792656"/>
          <c:h val="0.8416746864975212"/>
        </c:manualLayout>
      </c:layout>
      <c:barChart>
        <c:barDir val="col"/>
        <c:grouping val="clustered"/>
        <c:varyColors val="0"/>
        <c:ser>
          <c:idx val="0"/>
          <c:order val="0"/>
          <c:spPr>
            <a:solidFill>
              <a:schemeClr val="tx2">
                <a:lumMod val="60000"/>
                <a:lumOff val="40000"/>
              </a:schemeClr>
            </a:solidFill>
            <a:ln>
              <a:noFill/>
            </a:ln>
            <a:effectLst/>
          </c:spPr>
          <c:invertIfNegative val="0"/>
          <c:dPt>
            <c:idx val="0"/>
            <c:invertIfNegative val="0"/>
            <c:bubble3D val="0"/>
            <c:spPr>
              <a:solidFill>
                <a:schemeClr val="tx2">
                  <a:lumMod val="60000"/>
                  <a:lumOff val="40000"/>
                </a:schemeClr>
              </a:solidFill>
              <a:ln>
                <a:solidFill>
                  <a:schemeClr val="tx2">
                    <a:lumMod val="20000"/>
                    <a:lumOff val="80000"/>
                  </a:schemeClr>
                </a:solidFill>
              </a:ln>
              <a:effectLst/>
            </c:spPr>
            <c:extLst>
              <c:ext xmlns:c16="http://schemas.microsoft.com/office/drawing/2014/chart" uri="{C3380CC4-5D6E-409C-BE32-E72D297353CC}">
                <c16:uniqueId val="{00000001-A417-4A51-86E8-EECF39B584AA}"/>
              </c:ext>
            </c:extLst>
          </c:dPt>
          <c:cat>
            <c:numRef>
              <c:f>'grafy bez r.20'!$B$27:$B$30</c:f>
              <c:numCache>
                <c:formatCode>General</c:formatCode>
                <c:ptCount val="4"/>
                <c:pt idx="0">
                  <c:v>2022</c:v>
                </c:pt>
                <c:pt idx="1">
                  <c:v>2023</c:v>
                </c:pt>
                <c:pt idx="2">
                  <c:v>2024</c:v>
                </c:pt>
                <c:pt idx="3">
                  <c:v>2025</c:v>
                </c:pt>
              </c:numCache>
            </c:numRef>
          </c:cat>
          <c:val>
            <c:numRef>
              <c:f>'grafy bez r.20'!$C$27:$C$30</c:f>
              <c:numCache>
                <c:formatCode>#,##0</c:formatCode>
                <c:ptCount val="4"/>
                <c:pt idx="0">
                  <c:v>6477.2</c:v>
                </c:pt>
                <c:pt idx="1">
                  <c:v>6877.2</c:v>
                </c:pt>
                <c:pt idx="2">
                  <c:v>7077.2</c:v>
                </c:pt>
                <c:pt idx="3" formatCode="General">
                  <c:v>7427.2</c:v>
                </c:pt>
              </c:numCache>
            </c:numRef>
          </c:val>
          <c:extLst>
            <c:ext xmlns:c16="http://schemas.microsoft.com/office/drawing/2014/chart" uri="{C3380CC4-5D6E-409C-BE32-E72D297353CC}">
              <c16:uniqueId val="{00000002-A417-4A51-86E8-EECF39B584AA}"/>
            </c:ext>
          </c:extLst>
        </c:ser>
        <c:dLbls>
          <c:showLegendKey val="0"/>
          <c:showVal val="0"/>
          <c:showCatName val="0"/>
          <c:showSerName val="0"/>
          <c:showPercent val="0"/>
          <c:showBubbleSize val="0"/>
        </c:dLbls>
        <c:gapWidth val="219"/>
        <c:overlap val="-27"/>
        <c:axId val="252140872"/>
        <c:axId val="252141264"/>
      </c:barChart>
      <c:catAx>
        <c:axId val="25214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2141264"/>
        <c:crosses val="autoZero"/>
        <c:auto val="1"/>
        <c:lblAlgn val="ctr"/>
        <c:lblOffset val="100"/>
        <c:noMultiLvlLbl val="0"/>
      </c:catAx>
      <c:valAx>
        <c:axId val="252141264"/>
        <c:scaling>
          <c:orientation val="minMax"/>
          <c:max val="8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2140872"/>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916535433071"/>
          <c:y val="5.5555555555555552E-2"/>
          <c:w val="0.87090834645669291"/>
          <c:h val="0.82642249264296508"/>
        </c:manualLayout>
      </c:layout>
      <c:barChart>
        <c:barDir val="col"/>
        <c:grouping val="clustered"/>
        <c:varyColors val="0"/>
        <c:ser>
          <c:idx val="0"/>
          <c:order val="0"/>
          <c:tx>
            <c:strRef>
              <c:f>'vývoj zadluženosti (2)'!$P$4:$S$4</c:f>
              <c:strCache>
                <c:ptCount val="4"/>
                <c:pt idx="0">
                  <c:v>2022</c:v>
                </c:pt>
                <c:pt idx="1">
                  <c:v>2023</c:v>
                </c:pt>
                <c:pt idx="2">
                  <c:v>2024</c:v>
                </c:pt>
                <c:pt idx="3">
                  <c:v>2025</c:v>
                </c:pt>
              </c:strCache>
            </c:strRef>
          </c:tx>
          <c:spPr>
            <a:solidFill>
              <a:schemeClr val="tx2">
                <a:lumMod val="60000"/>
                <a:lumOff val="40000"/>
              </a:schemeClr>
            </a:solidFill>
            <a:ln w="25400">
              <a:noFill/>
            </a:ln>
          </c:spPr>
          <c:invertIfNegative val="0"/>
          <c:dPt>
            <c:idx val="0"/>
            <c:invertIfNegative val="0"/>
            <c:bubble3D val="0"/>
            <c:spPr>
              <a:solidFill>
                <a:schemeClr val="tx2">
                  <a:lumMod val="60000"/>
                  <a:lumOff val="40000"/>
                </a:schemeClr>
              </a:solidFill>
              <a:ln w="25400">
                <a:noFill/>
              </a:ln>
            </c:spPr>
            <c:extLst>
              <c:ext xmlns:c16="http://schemas.microsoft.com/office/drawing/2014/chart" uri="{C3380CC4-5D6E-409C-BE32-E72D297353CC}">
                <c16:uniqueId val="{00000001-0737-4396-897A-217A517ED205}"/>
              </c:ext>
            </c:extLst>
          </c:dPt>
          <c:dPt>
            <c:idx val="1"/>
            <c:invertIfNegative val="0"/>
            <c:bubble3D val="0"/>
            <c:extLst>
              <c:ext xmlns:c16="http://schemas.microsoft.com/office/drawing/2014/chart" uri="{C3380CC4-5D6E-409C-BE32-E72D297353CC}">
                <c16:uniqueId val="{00000002-0737-4396-897A-217A517ED205}"/>
              </c:ext>
            </c:extLst>
          </c:dPt>
          <c:dPt>
            <c:idx val="2"/>
            <c:invertIfNegative val="0"/>
            <c:bubble3D val="0"/>
            <c:extLst>
              <c:ext xmlns:c16="http://schemas.microsoft.com/office/drawing/2014/chart" uri="{C3380CC4-5D6E-409C-BE32-E72D297353CC}">
                <c16:uniqueId val="{00000003-0737-4396-897A-217A517ED205}"/>
              </c:ext>
            </c:extLst>
          </c:dPt>
          <c:dPt>
            <c:idx val="3"/>
            <c:invertIfNegative val="0"/>
            <c:bubble3D val="0"/>
            <c:extLst>
              <c:ext xmlns:c16="http://schemas.microsoft.com/office/drawing/2014/chart" uri="{C3380CC4-5D6E-409C-BE32-E72D297353CC}">
                <c16:uniqueId val="{00000004-0737-4396-897A-217A517ED205}"/>
              </c:ext>
            </c:extLst>
          </c:dPt>
          <c:dPt>
            <c:idx val="4"/>
            <c:invertIfNegative val="0"/>
            <c:bubble3D val="0"/>
            <c:extLst>
              <c:ext xmlns:c16="http://schemas.microsoft.com/office/drawing/2014/chart" uri="{C3380CC4-5D6E-409C-BE32-E72D297353CC}">
                <c16:uniqueId val="{00000005-0737-4396-897A-217A517ED205}"/>
              </c:ext>
            </c:extLst>
          </c:dPt>
          <c:dPt>
            <c:idx val="5"/>
            <c:invertIfNegative val="0"/>
            <c:bubble3D val="0"/>
            <c:extLst>
              <c:ext xmlns:c16="http://schemas.microsoft.com/office/drawing/2014/chart" uri="{C3380CC4-5D6E-409C-BE32-E72D297353CC}">
                <c16:uniqueId val="{00000006-0737-4396-897A-217A517ED205}"/>
              </c:ext>
            </c:extLst>
          </c:dPt>
          <c:dPt>
            <c:idx val="6"/>
            <c:invertIfNegative val="0"/>
            <c:bubble3D val="0"/>
            <c:extLst>
              <c:ext xmlns:c16="http://schemas.microsoft.com/office/drawing/2014/chart" uri="{C3380CC4-5D6E-409C-BE32-E72D297353CC}">
                <c16:uniqueId val="{00000007-0737-4396-897A-217A517ED205}"/>
              </c:ext>
            </c:extLst>
          </c:dPt>
          <c:dPt>
            <c:idx val="7"/>
            <c:invertIfNegative val="0"/>
            <c:bubble3D val="0"/>
            <c:extLst>
              <c:ext xmlns:c16="http://schemas.microsoft.com/office/drawing/2014/chart" uri="{C3380CC4-5D6E-409C-BE32-E72D297353CC}">
                <c16:uniqueId val="{00000008-0737-4396-897A-217A517ED205}"/>
              </c:ext>
            </c:extLst>
          </c:dPt>
          <c:cat>
            <c:numRef>
              <c:f>'vývoj zadluženosti (2)'!$P$4:$S$4</c:f>
              <c:numCache>
                <c:formatCode>General</c:formatCode>
                <c:ptCount val="4"/>
                <c:pt idx="0">
                  <c:v>2022</c:v>
                </c:pt>
                <c:pt idx="1">
                  <c:v>2023</c:v>
                </c:pt>
                <c:pt idx="2">
                  <c:v>2024</c:v>
                </c:pt>
                <c:pt idx="3">
                  <c:v>2025</c:v>
                </c:pt>
              </c:numCache>
            </c:numRef>
          </c:cat>
          <c:val>
            <c:numRef>
              <c:f>'vývoj zadluženosti (2)'!$P$5:$S$5</c:f>
              <c:numCache>
                <c:formatCode>#,##0</c:formatCode>
                <c:ptCount val="4"/>
                <c:pt idx="0">
                  <c:v>3578.3841742899999</c:v>
                </c:pt>
                <c:pt idx="1">
                  <c:v>4222.1471742899994</c:v>
                </c:pt>
                <c:pt idx="2">
                  <c:v>4663.925774289999</c:v>
                </c:pt>
                <c:pt idx="3">
                  <c:v>4357.0254442900005</c:v>
                </c:pt>
              </c:numCache>
            </c:numRef>
          </c:val>
          <c:extLst>
            <c:ext xmlns:c16="http://schemas.microsoft.com/office/drawing/2014/chart" uri="{C3380CC4-5D6E-409C-BE32-E72D297353CC}">
              <c16:uniqueId val="{00000009-0737-4396-897A-217A517ED205}"/>
            </c:ext>
          </c:extLst>
        </c:ser>
        <c:dLbls>
          <c:showLegendKey val="0"/>
          <c:showVal val="0"/>
          <c:showCatName val="0"/>
          <c:showSerName val="0"/>
          <c:showPercent val="0"/>
          <c:showBubbleSize val="0"/>
        </c:dLbls>
        <c:gapWidth val="219"/>
        <c:overlap val="-27"/>
        <c:axId val="1029334032"/>
        <c:axId val="1029335664"/>
      </c:barChart>
      <c:catAx>
        <c:axId val="102933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Tahoma"/>
                <a:ea typeface="Tahoma"/>
                <a:cs typeface="Tahoma"/>
              </a:defRPr>
            </a:pPr>
            <a:endParaRPr lang="cs-CZ"/>
          </a:p>
        </c:txPr>
        <c:crossAx val="1029335664"/>
        <c:crosses val="autoZero"/>
        <c:auto val="1"/>
        <c:lblAlgn val="ctr"/>
        <c:lblOffset val="100"/>
        <c:noMultiLvlLbl val="0"/>
      </c:catAx>
      <c:valAx>
        <c:axId val="1029335664"/>
        <c:scaling>
          <c:orientation val="minMax"/>
          <c:min val="0"/>
        </c:scaling>
        <c:delete val="0"/>
        <c:axPos val="l"/>
        <c:majorGridlines>
          <c:spPr>
            <a:ln>
              <a:solidFill>
                <a:schemeClr val="bg1">
                  <a:lumMod val="85000"/>
                </a:schemeClr>
              </a:solidFill>
            </a:ln>
          </c:spPr>
        </c:majorGridlines>
        <c:numFmt formatCode="#,##0" sourceLinked="1"/>
        <c:majorTickMark val="none"/>
        <c:minorTickMark val="none"/>
        <c:tickLblPos val="nextTo"/>
        <c:spPr>
          <a:ln w="6350">
            <a:noFill/>
          </a:ln>
        </c:spPr>
        <c:txPr>
          <a:bodyPr rot="0" vert="horz"/>
          <a:lstStyle/>
          <a:p>
            <a:pPr>
              <a:defRPr sz="700" b="0" i="0" u="none" strike="noStrike" baseline="0">
                <a:solidFill>
                  <a:srgbClr val="333333"/>
                </a:solidFill>
                <a:latin typeface="Tahoma"/>
                <a:ea typeface="Tahoma"/>
                <a:cs typeface="Tahoma"/>
              </a:defRPr>
            </a:pPr>
            <a:endParaRPr lang="cs-CZ"/>
          </a:p>
        </c:txPr>
        <c:crossAx val="1029334032"/>
        <c:crosses val="autoZero"/>
        <c:crossBetween val="between"/>
      </c:valAx>
    </c:plotArea>
    <c:plotVisOnly val="1"/>
    <c:dispBlanksAs val="gap"/>
    <c:showDLblsOverMax val="0"/>
  </c:chart>
  <c:spPr>
    <a:solidFill>
      <a:schemeClr val="bg1"/>
    </a:solidFill>
    <a:ln w="9525" cap="flat" cmpd="sng" algn="ctr">
      <a:solidFill>
        <a:schemeClr val="tx1"/>
      </a:solidFill>
      <a:round/>
    </a:ln>
    <a:effectLst/>
  </c:spPr>
  <c:txPr>
    <a:bodyPr/>
    <a:lstStyle/>
    <a:p>
      <a:pPr>
        <a:defRPr sz="1000" b="0" i="0" u="none" strike="noStrike" baseline="0">
          <a:solidFill>
            <a:srgbClr val="000000"/>
          </a:solidFill>
          <a:latin typeface="Tahoma"/>
          <a:ea typeface="Tahoma"/>
          <a:cs typeface="Tahoma"/>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FB03299F61C040A97358ABA2F264EA" ma:contentTypeVersion="2" ma:contentTypeDescription="Vytvoří nový dokument" ma:contentTypeScope="" ma:versionID="a55099a46df2cfa0911d0093d788d4be">
  <xsd:schema xmlns:xsd="http://www.w3.org/2001/XMLSchema" xmlns:xs="http://www.w3.org/2001/XMLSchema" xmlns:p="http://schemas.microsoft.com/office/2006/metadata/properties" xmlns:ns2="e3b2b205-de92-4ce4-a1ef-b5d6008670aa" targetNamespace="http://schemas.microsoft.com/office/2006/metadata/properties" ma:root="true" ma:fieldsID="e41ce44471669bf9e47e94fa5e503025" ns2:_="">
    <xsd:import namespace="e3b2b205-de92-4ce4-a1ef-b5d6008670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b205-de92-4ce4-a1ef-b5d600867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C7DD-6933-471A-8D05-D08B1CD26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43920-A0F6-4A34-8287-CA41BD9B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2b205-de92-4ce4-a1ef-b5d600867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BB454-2EFF-4B03-92DD-7AC438A8DF89}">
  <ds:schemaRefs>
    <ds:schemaRef ds:uri="http://schemas.microsoft.com/sharepoint/v3/contenttype/forms"/>
  </ds:schemaRefs>
</ds:datastoreItem>
</file>

<file path=customXml/itemProps4.xml><?xml version="1.0" encoding="utf-8"?>
<ds:datastoreItem xmlns:ds="http://schemas.openxmlformats.org/officeDocument/2006/customXml" ds:itemID="{5C2B0486-24D1-4F26-AD9D-2CB74DF3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4557</Words>
  <Characters>26888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Rozpočtový výhled Moravskoslezského kraje na léta 2006 a 2007</vt:lpstr>
    </vt:vector>
  </TitlesOfParts>
  <Company>Moravskoslezský kraj</Company>
  <LinksUpToDate>false</LinksUpToDate>
  <CharactersWithSpaces>31383</CharactersWithSpaces>
  <SharedDoc>false</SharedDoc>
  <HLinks>
    <vt:vector size="30" baseType="variant">
      <vt:variant>
        <vt:i4>2555910</vt:i4>
      </vt:variant>
      <vt:variant>
        <vt:i4>12</vt:i4>
      </vt:variant>
      <vt:variant>
        <vt:i4>0</vt:i4>
      </vt:variant>
      <vt:variant>
        <vt:i4>5</vt:i4>
      </vt:variant>
      <vt:variant>
        <vt:lpwstr>Z131219_04_002_05_str_20.xls</vt:lpwstr>
      </vt:variant>
      <vt:variant>
        <vt:lpwstr/>
      </vt:variant>
      <vt:variant>
        <vt:i4>5963812</vt:i4>
      </vt:variant>
      <vt:variant>
        <vt:i4>9</vt:i4>
      </vt:variant>
      <vt:variant>
        <vt:i4>0</vt:i4>
      </vt:variant>
      <vt:variant>
        <vt:i4>5</vt:i4>
      </vt:variant>
      <vt:variant>
        <vt:lpwstr>Z131219_04_002_05_str_14-16.xls</vt:lpwstr>
      </vt:variant>
      <vt:variant>
        <vt:lpwstr/>
      </vt:variant>
      <vt:variant>
        <vt:i4>5767211</vt:i4>
      </vt:variant>
      <vt:variant>
        <vt:i4>6</vt:i4>
      </vt:variant>
      <vt:variant>
        <vt:i4>0</vt:i4>
      </vt:variant>
      <vt:variant>
        <vt:i4>5</vt:i4>
      </vt:variant>
      <vt:variant>
        <vt:lpwstr>Z131219_04_002_05_str_17-19.xls</vt:lpwstr>
      </vt:variant>
      <vt:variant>
        <vt:lpwstr/>
      </vt:variant>
      <vt:variant>
        <vt:i4>6094881</vt:i4>
      </vt:variant>
      <vt:variant>
        <vt:i4>3</vt:i4>
      </vt:variant>
      <vt:variant>
        <vt:i4>0</vt:i4>
      </vt:variant>
      <vt:variant>
        <vt:i4>5</vt:i4>
      </vt:variant>
      <vt:variant>
        <vt:lpwstr>Z131219_04_002_05_str_12-13.xls</vt:lpwstr>
      </vt:variant>
      <vt:variant>
        <vt:lpwstr/>
      </vt:variant>
      <vt:variant>
        <vt:i4>5636130</vt:i4>
      </vt:variant>
      <vt:variant>
        <vt:i4>0</vt:i4>
      </vt:variant>
      <vt:variant>
        <vt:i4>0</vt:i4>
      </vt:variant>
      <vt:variant>
        <vt:i4>5</vt:i4>
      </vt:variant>
      <vt:variant>
        <vt:lpwstr>Z131219_04_002_05_str_09-11.xls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Rozpočtový výhled Moravskoslezského kraje na léta 2006 a 2007</dc:title>
  <dc:subject/>
  <dc:creator>vaclachova</dc:creator>
  <cp:keywords/>
  <dc:description/>
  <cp:lastModifiedBy>Metelka Tomáš</cp:lastModifiedBy>
  <cp:revision>511</cp:revision>
  <cp:lastPrinted>2021-06-01T05:24:00Z</cp:lastPrinted>
  <dcterms:created xsi:type="dcterms:W3CDTF">2021-04-21T06:04:00Z</dcterms:created>
  <dcterms:modified xsi:type="dcterms:W3CDTF">2021-05-28T10:46:00Z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0x010100A6FB03299F61C040A97358ABA2F264EA</vt:lpwstr>
  </property>
</Properties>
</file>