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1902" w14:textId="77777777" w:rsidR="003B1DFB" w:rsidRPr="00B90E59" w:rsidRDefault="00C57E4A">
      <w:pPr>
        <w:jc w:val="center"/>
        <w:rPr>
          <w:b/>
          <w:sz w:val="28"/>
          <w:szCs w:val="28"/>
        </w:rPr>
      </w:pPr>
      <w:r w:rsidRPr="00B90E59">
        <w:rPr>
          <w:b/>
          <w:sz w:val="28"/>
          <w:szCs w:val="28"/>
        </w:rPr>
        <w:t>Smlouva</w:t>
      </w:r>
    </w:p>
    <w:p w14:paraId="66DA1C52" w14:textId="77777777" w:rsidR="003B1DFB" w:rsidRPr="00B90E59" w:rsidRDefault="00C57E4A">
      <w:pPr>
        <w:jc w:val="center"/>
        <w:rPr>
          <w:b/>
          <w:sz w:val="28"/>
          <w:szCs w:val="28"/>
        </w:rPr>
      </w:pPr>
      <w:r w:rsidRPr="00B90E59">
        <w:rPr>
          <w:b/>
          <w:sz w:val="28"/>
          <w:szCs w:val="28"/>
        </w:rPr>
        <w:t>o závazku veřejné služby</w:t>
      </w:r>
      <w:r w:rsidR="00F052BE" w:rsidRPr="00B90E59">
        <w:rPr>
          <w:b/>
          <w:sz w:val="28"/>
          <w:szCs w:val="28"/>
        </w:rPr>
        <w:t xml:space="preserve"> a vyrovnávací platbě za jeho výkon</w:t>
      </w:r>
    </w:p>
    <w:p w14:paraId="587D5146" w14:textId="77777777" w:rsidR="003B1DFB" w:rsidRPr="00B90E59" w:rsidRDefault="003B1DFB">
      <w:pPr>
        <w:rPr>
          <w:b/>
        </w:rPr>
      </w:pPr>
    </w:p>
    <w:p w14:paraId="5AA3E250" w14:textId="77777777" w:rsidR="003B1DFB" w:rsidRDefault="003B1DFB"/>
    <w:p w14:paraId="5C2E08E1" w14:textId="77777777" w:rsidR="003B1DFB" w:rsidRDefault="00C57E4A">
      <w:pPr>
        <w:jc w:val="center"/>
        <w:rPr>
          <w:b/>
        </w:rPr>
      </w:pPr>
      <w:r>
        <w:rPr>
          <w:b/>
        </w:rPr>
        <w:t>I.</w:t>
      </w:r>
    </w:p>
    <w:p w14:paraId="6D177634" w14:textId="77777777"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14:paraId="381E9A42" w14:textId="77777777" w:rsidR="003B1DFB" w:rsidRDefault="003B1DFB">
      <w:pPr>
        <w:jc w:val="center"/>
        <w:rPr>
          <w:b/>
        </w:rPr>
      </w:pPr>
    </w:p>
    <w:p w14:paraId="0910A913" w14:textId="77777777" w:rsidR="00547329" w:rsidRDefault="00547329" w:rsidP="00547329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  <w:t>Moravskoslezský kraj</w:t>
      </w:r>
    </w:p>
    <w:p w14:paraId="5F33023C" w14:textId="77777777" w:rsidR="00547329" w:rsidRDefault="00547329" w:rsidP="00547329">
      <w:pPr>
        <w:tabs>
          <w:tab w:val="left" w:pos="360"/>
        </w:tabs>
      </w:pPr>
      <w:r>
        <w:tab/>
        <w:t xml:space="preserve">se sídlem: </w:t>
      </w:r>
      <w:r>
        <w:tab/>
      </w:r>
      <w:r>
        <w:tab/>
      </w:r>
      <w:r>
        <w:tab/>
        <w:t xml:space="preserve">28. října 117, 702 18 Ostrava </w:t>
      </w:r>
    </w:p>
    <w:p w14:paraId="42E9AAD0" w14:textId="298DC550" w:rsidR="00547329" w:rsidRDefault="00547329" w:rsidP="00547329">
      <w:pPr>
        <w:tabs>
          <w:tab w:val="left" w:pos="360"/>
        </w:tabs>
      </w:pPr>
      <w:r>
        <w:tab/>
        <w:t xml:space="preserve">zastoupený: </w:t>
      </w:r>
      <w:r>
        <w:tab/>
      </w:r>
      <w:r>
        <w:tab/>
      </w:r>
      <w:r w:rsidR="004B24AD">
        <w:t>………………………………</w:t>
      </w:r>
      <w:proofErr w:type="gramStart"/>
      <w:r w:rsidR="004B24AD">
        <w:t>…….</w:t>
      </w:r>
      <w:proofErr w:type="gramEnd"/>
      <w:r w:rsidR="004B24AD">
        <w:t>.</w:t>
      </w:r>
    </w:p>
    <w:p w14:paraId="194AC070" w14:textId="7A92E070" w:rsidR="00547329" w:rsidRDefault="00547329" w:rsidP="00547329">
      <w:pPr>
        <w:tabs>
          <w:tab w:val="left" w:pos="360"/>
        </w:tabs>
      </w:pPr>
      <w:r>
        <w:tab/>
        <w:t>IČ</w:t>
      </w:r>
      <w:r w:rsidR="004B24AD">
        <w:t>O</w:t>
      </w:r>
      <w:r>
        <w:t xml:space="preserve">: </w:t>
      </w:r>
      <w:r>
        <w:tab/>
      </w:r>
      <w:r>
        <w:tab/>
      </w:r>
      <w:r>
        <w:tab/>
        <w:t>70890692</w:t>
      </w:r>
    </w:p>
    <w:p w14:paraId="63C5381E" w14:textId="0B18549C" w:rsidR="00547329" w:rsidRDefault="00547329" w:rsidP="00547329">
      <w:pPr>
        <w:tabs>
          <w:tab w:val="left" w:pos="360"/>
        </w:tabs>
      </w:pPr>
      <w:r>
        <w:tab/>
        <w:t>bankovní spojení:</w:t>
      </w:r>
      <w:r>
        <w:tab/>
      </w:r>
      <w:r>
        <w:tab/>
      </w:r>
      <w:r w:rsidR="007540A7">
        <w:t>Čes</w:t>
      </w:r>
      <w:r w:rsidR="00710B2D">
        <w:t>ká spořitelna, a.s.</w:t>
      </w:r>
    </w:p>
    <w:p w14:paraId="2006AFEA" w14:textId="545DC4D3" w:rsidR="00547329" w:rsidRDefault="00547329" w:rsidP="00547329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</w:r>
      <w:r w:rsidR="00CB67F9">
        <w:t>27-1650676349/0800</w:t>
      </w:r>
    </w:p>
    <w:p w14:paraId="3B9775C1" w14:textId="77777777" w:rsidR="00547329" w:rsidRDefault="00547329" w:rsidP="00547329">
      <w:pPr>
        <w:tabs>
          <w:tab w:val="left" w:pos="360"/>
        </w:tabs>
        <w:jc w:val="both"/>
        <w:rPr>
          <w:i/>
        </w:rPr>
      </w:pPr>
    </w:p>
    <w:p w14:paraId="3C8D4D79" w14:textId="77777777" w:rsidR="00547329" w:rsidRDefault="00547329" w:rsidP="00547329">
      <w:pPr>
        <w:tabs>
          <w:tab w:val="left" w:pos="360"/>
        </w:tabs>
        <w:jc w:val="both"/>
        <w:rPr>
          <w:i/>
        </w:rPr>
      </w:pPr>
      <w:r>
        <w:rPr>
          <w:i/>
        </w:rPr>
        <w:tab/>
        <w:t>(dále jen „Kraj“)</w:t>
      </w:r>
    </w:p>
    <w:p w14:paraId="13E1E510" w14:textId="77777777" w:rsidR="00547329" w:rsidRDefault="00547329" w:rsidP="00547329">
      <w:pPr>
        <w:tabs>
          <w:tab w:val="left" w:pos="360"/>
        </w:tabs>
      </w:pPr>
    </w:p>
    <w:p w14:paraId="5C1D62F0" w14:textId="77777777" w:rsidR="00547329" w:rsidRDefault="00547329" w:rsidP="00547329">
      <w:pPr>
        <w:tabs>
          <w:tab w:val="left" w:pos="360"/>
        </w:tabs>
      </w:pPr>
      <w:r>
        <w:t>a</w:t>
      </w:r>
    </w:p>
    <w:p w14:paraId="6E698001" w14:textId="77777777" w:rsidR="00547329" w:rsidRDefault="00547329" w:rsidP="00547329">
      <w:pPr>
        <w:tabs>
          <w:tab w:val="left" w:pos="360"/>
        </w:tabs>
      </w:pPr>
    </w:p>
    <w:p w14:paraId="60609900" w14:textId="3851C02E" w:rsidR="00547329" w:rsidRPr="009814CE" w:rsidRDefault="00B77B21" w:rsidP="00547329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Sanatorium Jablunkov</w:t>
      </w:r>
      <w:r w:rsidR="00547329">
        <w:rPr>
          <w:b/>
        </w:rPr>
        <w:t>, a.s.</w:t>
      </w:r>
    </w:p>
    <w:p w14:paraId="74DA91E7" w14:textId="0CDD98B4" w:rsidR="009E7015" w:rsidRDefault="009E7015" w:rsidP="009E7015">
      <w:pPr>
        <w:pStyle w:val="Podnadpis"/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se sídlem: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60620C">
        <w:rPr>
          <w:b w:val="0"/>
          <w:sz w:val="24"/>
          <w:szCs w:val="24"/>
        </w:rPr>
        <w:t>č.p. 442, 739 91 Jablunkov</w:t>
      </w:r>
    </w:p>
    <w:p w14:paraId="001C4342" w14:textId="757C7EF3" w:rsidR="009E7015" w:rsidRDefault="009E7015" w:rsidP="009E7015">
      <w:pPr>
        <w:pStyle w:val="Podnadpis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zastoupená: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Ing. </w:t>
      </w:r>
      <w:r w:rsidR="00301CD8">
        <w:rPr>
          <w:b w:val="0"/>
          <w:sz w:val="24"/>
          <w:szCs w:val="24"/>
        </w:rPr>
        <w:t xml:space="preserve">Janem </w:t>
      </w:r>
      <w:proofErr w:type="spellStart"/>
      <w:r w:rsidR="00301CD8">
        <w:rPr>
          <w:b w:val="0"/>
          <w:sz w:val="24"/>
          <w:szCs w:val="24"/>
        </w:rPr>
        <w:t>Zawadou</w:t>
      </w:r>
      <w:proofErr w:type="spellEnd"/>
      <w:r w:rsidR="00301CD8">
        <w:rPr>
          <w:b w:val="0"/>
          <w:sz w:val="24"/>
          <w:szCs w:val="24"/>
        </w:rPr>
        <w:t>, MBA</w:t>
      </w:r>
      <w:r w:rsidR="009A5B15">
        <w:rPr>
          <w:b w:val="0"/>
          <w:sz w:val="24"/>
          <w:szCs w:val="24"/>
        </w:rPr>
        <w:t xml:space="preserve">, předsedou představenstva a </w:t>
      </w:r>
    </w:p>
    <w:p w14:paraId="574CE3A9" w14:textId="104BED34" w:rsidR="009E7015" w:rsidRDefault="009E7015" w:rsidP="009E7015">
      <w:pPr>
        <w:pStyle w:val="Podnadpis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D4E5E">
        <w:rPr>
          <w:b w:val="0"/>
          <w:sz w:val="24"/>
          <w:szCs w:val="24"/>
        </w:rPr>
        <w:t>Ing</w:t>
      </w:r>
      <w:r>
        <w:rPr>
          <w:b w:val="0"/>
          <w:sz w:val="24"/>
          <w:szCs w:val="24"/>
        </w:rPr>
        <w:t xml:space="preserve">. </w:t>
      </w:r>
      <w:r w:rsidR="004D4E5E">
        <w:rPr>
          <w:b w:val="0"/>
          <w:sz w:val="24"/>
          <w:szCs w:val="24"/>
        </w:rPr>
        <w:t xml:space="preserve">Zuzanou </w:t>
      </w:r>
      <w:proofErr w:type="spellStart"/>
      <w:r w:rsidR="004D4E5E">
        <w:rPr>
          <w:b w:val="0"/>
          <w:sz w:val="24"/>
          <w:szCs w:val="24"/>
        </w:rPr>
        <w:t>Mariňákovou</w:t>
      </w:r>
      <w:proofErr w:type="spellEnd"/>
      <w:r w:rsidR="009A5B15">
        <w:rPr>
          <w:b w:val="0"/>
          <w:sz w:val="24"/>
          <w:szCs w:val="24"/>
        </w:rPr>
        <w:t>, místopředsedou představenstva</w:t>
      </w:r>
    </w:p>
    <w:p w14:paraId="3BC6BC70" w14:textId="5A501A0A" w:rsidR="009E7015" w:rsidRDefault="009E7015" w:rsidP="009E7015">
      <w:pPr>
        <w:pStyle w:val="Podnadpis"/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IČ</w:t>
      </w:r>
      <w:r w:rsidR="006942B4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</w:t>
      </w:r>
      <w:r w:rsidR="006942B4">
        <w:rPr>
          <w:b w:val="0"/>
          <w:sz w:val="24"/>
          <w:szCs w:val="24"/>
        </w:rPr>
        <w:t>7835545</w:t>
      </w:r>
    </w:p>
    <w:p w14:paraId="5237E815" w14:textId="093C7D82" w:rsidR="009E7015" w:rsidRDefault="009E7015" w:rsidP="009E7015">
      <w:pPr>
        <w:pStyle w:val="Podnadpis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  <w:r w:rsidR="0058294A">
        <w:rPr>
          <w:b w:val="0"/>
          <w:sz w:val="24"/>
          <w:szCs w:val="24"/>
        </w:rPr>
        <w:t>, Jablunkov</w:t>
      </w:r>
    </w:p>
    <w:p w14:paraId="45CF4DD6" w14:textId="40A8281F" w:rsidR="009E7015" w:rsidRDefault="009E7015" w:rsidP="009E7015">
      <w:pPr>
        <w:pStyle w:val="Podnadpis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A4F1F" w:rsidRPr="00174C67">
        <w:rPr>
          <w:b w:val="0"/>
          <w:bCs w:val="0"/>
          <w:sz w:val="22"/>
          <w:szCs w:val="22"/>
        </w:rPr>
        <w:t>43-1848440227/0100</w:t>
      </w:r>
      <w:r w:rsidRPr="00174C67">
        <w:rPr>
          <w:b w:val="0"/>
          <w:sz w:val="24"/>
          <w:szCs w:val="24"/>
        </w:rPr>
        <w:t xml:space="preserve"> </w:t>
      </w:r>
    </w:p>
    <w:p w14:paraId="3CE9ED46" w14:textId="77777777" w:rsidR="00547329" w:rsidRDefault="00547329" w:rsidP="00547329">
      <w:pPr>
        <w:tabs>
          <w:tab w:val="left" w:pos="360"/>
        </w:tabs>
        <w:rPr>
          <w:i/>
        </w:rPr>
      </w:pPr>
      <w:r>
        <w:rPr>
          <w:i/>
        </w:rPr>
        <w:tab/>
      </w:r>
    </w:p>
    <w:p w14:paraId="75406ACC" w14:textId="77777777" w:rsidR="00547329" w:rsidRPr="009814CE" w:rsidRDefault="00547329" w:rsidP="00547329">
      <w:pPr>
        <w:tabs>
          <w:tab w:val="left" w:pos="360"/>
        </w:tabs>
        <w:rPr>
          <w:i/>
        </w:rPr>
      </w:pPr>
      <w:r>
        <w:rPr>
          <w:i/>
        </w:rPr>
        <w:tab/>
      </w:r>
      <w:r w:rsidRPr="009814CE">
        <w:rPr>
          <w:i/>
        </w:rPr>
        <w:t>(dále jen „příjemce“)</w:t>
      </w:r>
    </w:p>
    <w:p w14:paraId="434E022E" w14:textId="77777777" w:rsidR="00547329" w:rsidRDefault="00547329">
      <w:pPr>
        <w:jc w:val="center"/>
        <w:rPr>
          <w:b/>
        </w:rPr>
      </w:pPr>
    </w:p>
    <w:p w14:paraId="22B6721C" w14:textId="77777777" w:rsidR="003B1DFB" w:rsidRDefault="00C57E4A">
      <w:pPr>
        <w:jc w:val="center"/>
        <w:rPr>
          <w:b/>
        </w:rPr>
      </w:pPr>
      <w:r>
        <w:rPr>
          <w:b/>
        </w:rPr>
        <w:t>II.</w:t>
      </w:r>
    </w:p>
    <w:p w14:paraId="4C445604" w14:textId="77777777"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14:paraId="74A4B9FB" w14:textId="77777777" w:rsidR="003B1DFB" w:rsidRDefault="003B1DFB">
      <w:pPr>
        <w:jc w:val="center"/>
        <w:rPr>
          <w:b/>
        </w:rPr>
      </w:pPr>
    </w:p>
    <w:p w14:paraId="6E7FCCEA" w14:textId="77777777" w:rsidR="003B1DFB" w:rsidRDefault="00C57E4A">
      <w:pPr>
        <w:pStyle w:val="Zkladntextodsazen"/>
      </w:pPr>
      <w:r>
        <w:t xml:space="preserve">Předmětem této smlouvy je vymezení služeb, které bude </w:t>
      </w:r>
      <w:r w:rsidR="00867694">
        <w:t>příjemce</w:t>
      </w:r>
      <w:r w:rsidR="00B23F2F">
        <w:t xml:space="preserve">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9B513F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14:paraId="37E51B3A" w14:textId="77777777" w:rsidR="003B1DFB" w:rsidRDefault="003B1DFB">
      <w:pPr>
        <w:jc w:val="both"/>
      </w:pPr>
    </w:p>
    <w:p w14:paraId="6B526166" w14:textId="77777777" w:rsidR="00F74F84" w:rsidRDefault="00F74F84">
      <w:pPr>
        <w:jc w:val="both"/>
      </w:pPr>
    </w:p>
    <w:p w14:paraId="526F8462" w14:textId="77777777" w:rsidR="003B1DFB" w:rsidRDefault="00C57E4A">
      <w:pPr>
        <w:pStyle w:val="Nadpis2"/>
      </w:pPr>
      <w:r>
        <w:t xml:space="preserve">III. </w:t>
      </w:r>
    </w:p>
    <w:p w14:paraId="1B368709" w14:textId="77777777" w:rsidR="003B1DFB" w:rsidRDefault="00C57E4A">
      <w:pPr>
        <w:pStyle w:val="Nadpis2"/>
      </w:pPr>
      <w:r>
        <w:t>Pověření</w:t>
      </w:r>
    </w:p>
    <w:p w14:paraId="15E7192C" w14:textId="77777777" w:rsidR="003B1DFB" w:rsidRDefault="003B1DFB">
      <w:pPr>
        <w:jc w:val="both"/>
      </w:pPr>
    </w:p>
    <w:p w14:paraId="5DBD699A" w14:textId="77777777" w:rsidR="003B1DFB" w:rsidRDefault="00B23F2F">
      <w:pPr>
        <w:numPr>
          <w:ilvl w:val="0"/>
          <w:numId w:val="15"/>
        </w:numPr>
        <w:jc w:val="both"/>
      </w:pPr>
      <w:r>
        <w:rPr>
          <w:szCs w:val="22"/>
        </w:rPr>
        <w:t xml:space="preserve">Kraj </w:t>
      </w:r>
      <w:r w:rsidR="00C57E4A">
        <w:rPr>
          <w:szCs w:val="22"/>
        </w:rPr>
        <w:t xml:space="preserve">pověřuje </w:t>
      </w:r>
      <w:r w:rsidR="00867694"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 xml:space="preserve">Služby uvedené v Příloze č. I budou vykonávány v režimu závazku veřejné služby. Jakoukoliv změnu činností, jejich rozšíření apod., musí </w:t>
      </w:r>
      <w:r w:rsidR="00867694"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s</w:t>
      </w:r>
      <w:r w:rsidR="00365673">
        <w:rPr>
          <w:szCs w:val="22"/>
        </w:rPr>
        <w:t> </w:t>
      </w:r>
      <w:r>
        <w:rPr>
          <w:szCs w:val="22"/>
        </w:rPr>
        <w:t>Kraje</w:t>
      </w:r>
      <w:r w:rsidR="00365673">
        <w:rPr>
          <w:szCs w:val="22"/>
        </w:rPr>
        <w:t xml:space="preserve">m </w:t>
      </w:r>
      <w:r w:rsidR="00C57E4A">
        <w:rPr>
          <w:szCs w:val="22"/>
        </w:rPr>
        <w:t>před</w:t>
      </w:r>
      <w:r w:rsidR="00867694">
        <w:rPr>
          <w:szCs w:val="22"/>
        </w:rPr>
        <w:t>em</w:t>
      </w:r>
      <w:r w:rsidR="00C57E4A">
        <w:rPr>
          <w:szCs w:val="22"/>
        </w:rPr>
        <w:t xml:space="preserve"> písemně projednat.</w:t>
      </w:r>
    </w:p>
    <w:p w14:paraId="468910C3" w14:textId="77777777" w:rsidR="003B1DFB" w:rsidRDefault="003B1DFB">
      <w:pPr>
        <w:jc w:val="both"/>
        <w:rPr>
          <w:b/>
        </w:rPr>
      </w:pPr>
    </w:p>
    <w:p w14:paraId="1354DE30" w14:textId="77777777" w:rsidR="003B1DFB" w:rsidRDefault="00867694">
      <w:pPr>
        <w:numPr>
          <w:ilvl w:val="0"/>
          <w:numId w:val="15"/>
        </w:numPr>
        <w:jc w:val="both"/>
        <w:rPr>
          <w:b/>
        </w:rPr>
      </w:pPr>
      <w:r>
        <w:lastRenderedPageBreak/>
        <w:t>Příjemce</w:t>
      </w:r>
      <w:r w:rsidR="00B23F2F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 a podmínkami této smlouvy.</w:t>
      </w:r>
    </w:p>
    <w:p w14:paraId="39DC86A5" w14:textId="77777777" w:rsidR="003B1DFB" w:rsidRDefault="003B1DFB">
      <w:pPr>
        <w:jc w:val="both"/>
        <w:rPr>
          <w:b/>
        </w:rPr>
      </w:pPr>
    </w:p>
    <w:p w14:paraId="5C262C0D" w14:textId="77777777" w:rsidR="00F74F84" w:rsidRDefault="00F74F84">
      <w:pPr>
        <w:jc w:val="both"/>
        <w:rPr>
          <w:b/>
        </w:rPr>
      </w:pPr>
    </w:p>
    <w:p w14:paraId="3F74CCD5" w14:textId="77777777"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14:paraId="7EE2E69C" w14:textId="77777777"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14:paraId="61B5E9B4" w14:textId="77777777" w:rsidR="003B1DFB" w:rsidRDefault="003B1DFB">
      <w:pPr>
        <w:jc w:val="both"/>
        <w:rPr>
          <w:b/>
        </w:rPr>
      </w:pPr>
    </w:p>
    <w:p w14:paraId="1AD3821F" w14:textId="077DFB8F" w:rsidR="003B1DFB" w:rsidRPr="007F3D54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7F3D54">
        <w:t xml:space="preserve">Závazek veřejné služby bude vykonáván </w:t>
      </w:r>
      <w:r w:rsidR="006F717F" w:rsidRPr="007F3D54">
        <w:t>od</w:t>
      </w:r>
      <w:r w:rsidR="00D64C9F" w:rsidRPr="007F3D54">
        <w:t xml:space="preserve">e dne nabytí účinnosti této smlouvy </w:t>
      </w:r>
      <w:r w:rsidR="006F717F" w:rsidRPr="007F3D54">
        <w:t>do</w:t>
      </w:r>
      <w:r w:rsidR="007F3D54">
        <w:t> </w:t>
      </w:r>
      <w:r w:rsidR="00D64C9F" w:rsidRPr="007F3D54">
        <w:t>31.</w:t>
      </w:r>
      <w:r w:rsidR="007F3D54">
        <w:t> </w:t>
      </w:r>
      <w:r w:rsidR="00D64C9F" w:rsidRPr="007F3D54">
        <w:t>12.</w:t>
      </w:r>
      <w:r w:rsidR="007F3D54">
        <w:t> </w:t>
      </w:r>
      <w:r w:rsidR="00867694" w:rsidRPr="007F3D54">
        <w:t>20</w:t>
      </w:r>
      <w:r w:rsidR="001913A5" w:rsidRPr="007F3D54">
        <w:t>30</w:t>
      </w:r>
      <w:r w:rsidR="006F717F" w:rsidRPr="007F3D54">
        <w:t>.</w:t>
      </w:r>
      <w:r w:rsidRPr="007F3D54">
        <w:t xml:space="preserve"> </w:t>
      </w:r>
    </w:p>
    <w:p w14:paraId="3F33B009" w14:textId="4A87A7E4" w:rsidR="003B1DFB" w:rsidRDefault="00D64C9F" w:rsidP="00D64C9F">
      <w:pPr>
        <w:tabs>
          <w:tab w:val="left" w:pos="5685"/>
        </w:tabs>
        <w:jc w:val="both"/>
      </w:pPr>
      <w:r>
        <w:tab/>
      </w:r>
    </w:p>
    <w:p w14:paraId="3CF51BC4" w14:textId="77777777" w:rsidR="003B1DFB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14:paraId="22370785" w14:textId="77777777" w:rsidR="003B1DFB" w:rsidRDefault="003B1DFB">
      <w:pPr>
        <w:jc w:val="both"/>
      </w:pPr>
    </w:p>
    <w:p w14:paraId="34284093" w14:textId="77777777" w:rsidR="00F74F84" w:rsidRDefault="00F74F84">
      <w:pPr>
        <w:jc w:val="both"/>
      </w:pPr>
    </w:p>
    <w:p w14:paraId="07421748" w14:textId="77777777" w:rsidR="003B1DFB" w:rsidRDefault="00C57E4A">
      <w:pPr>
        <w:pStyle w:val="Nadpis2"/>
      </w:pPr>
      <w:r>
        <w:t xml:space="preserve">V. </w:t>
      </w:r>
    </w:p>
    <w:p w14:paraId="0D83CA66" w14:textId="77777777" w:rsidR="003B1DFB" w:rsidRDefault="00C57E4A">
      <w:pPr>
        <w:pStyle w:val="Nadpis2"/>
      </w:pPr>
      <w:r>
        <w:t>Vyrovnávací platba</w:t>
      </w:r>
    </w:p>
    <w:p w14:paraId="13F86919" w14:textId="77777777" w:rsidR="003B1DFB" w:rsidRDefault="003B1DFB">
      <w:pPr>
        <w:jc w:val="center"/>
        <w:rPr>
          <w:b/>
          <w:bCs/>
        </w:rPr>
      </w:pPr>
    </w:p>
    <w:p w14:paraId="3BE4A6D8" w14:textId="77777777"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867694">
        <w:t>příjemci</w:t>
      </w:r>
      <w:r w:rsidR="00F71111">
        <w:t xml:space="preserve"> </w:t>
      </w:r>
      <w:r>
        <w:t xml:space="preserve">vyrovnávací platba. Ta bude poskytována formou </w:t>
      </w:r>
      <w:r w:rsidR="00867694">
        <w:t>účelové dotace</w:t>
      </w:r>
      <w:r w:rsidR="00D65681">
        <w:t xml:space="preserve"> </w:t>
      </w:r>
      <w:r>
        <w:t xml:space="preserve">z rozpočtu </w:t>
      </w:r>
      <w:r w:rsidR="00F71111">
        <w:t xml:space="preserve">Kraje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867694">
        <w:t>Dotace z rozpočtu</w:t>
      </w:r>
      <w:r w:rsidR="00D65681">
        <w:t xml:space="preserve"> </w:t>
      </w:r>
      <w:r w:rsidR="00F71111">
        <w:t xml:space="preserve">Kraje </w:t>
      </w:r>
      <w:r>
        <w:t>bud</w:t>
      </w:r>
      <w:r w:rsidR="00867694">
        <w:t>e</w:t>
      </w:r>
      <w:r w:rsidR="00D65681">
        <w:t xml:space="preserve"> </w:t>
      </w:r>
      <w:r>
        <w:t xml:space="preserve">schvalována každoročně zastupitelstvem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finančními možnostmi kraje</w:t>
      </w:r>
      <w:r w:rsidR="00867694">
        <w:rPr>
          <w:iCs/>
        </w:rPr>
        <w:t xml:space="preserve"> a poskytována na základě samostatné smlouvy o poskytnutí dotace</w:t>
      </w:r>
      <w:r>
        <w:rPr>
          <w:iCs/>
        </w:rPr>
        <w:t>.</w:t>
      </w:r>
      <w:r w:rsidR="00D65681">
        <w:rPr>
          <w:iCs/>
        </w:rPr>
        <w:t xml:space="preserve"> </w:t>
      </w:r>
      <w:r>
        <w:rPr>
          <w:iCs/>
        </w:rPr>
        <w:t>Smlouv</w:t>
      </w:r>
      <w:r w:rsidR="00D65681">
        <w:rPr>
          <w:iCs/>
        </w:rPr>
        <w:t>y</w:t>
      </w:r>
      <w:r w:rsidR="00D80912">
        <w:rPr>
          <w:iCs/>
        </w:rPr>
        <w:t xml:space="preserve"> o poskytnutí dotace</w:t>
      </w:r>
      <w:r w:rsidR="00867694">
        <w:rPr>
          <w:iCs/>
        </w:rPr>
        <w:t xml:space="preserve"> a </w:t>
      </w:r>
      <w:r w:rsidR="00F71111">
        <w:rPr>
          <w:iCs/>
        </w:rPr>
        <w:t xml:space="preserve">usnesení (dále jen „právní akty“) </w:t>
      </w:r>
      <w:r w:rsidR="00D65681">
        <w:rPr>
          <w:iCs/>
        </w:rPr>
        <w:t xml:space="preserve">týkající se </w:t>
      </w:r>
      <w:r w:rsidR="00867694">
        <w:rPr>
          <w:iCs/>
        </w:rPr>
        <w:t xml:space="preserve">vyrovnávací platby dle tohoto ustanovení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 xml:space="preserve">obsahovat odkaz na tuto smlouvu. </w:t>
      </w:r>
      <w:r w:rsidR="00867694">
        <w:rPr>
          <w:iCs/>
        </w:rPr>
        <w:t xml:space="preserve">Záležitosti </w:t>
      </w:r>
      <w:r>
        <w:rPr>
          <w:iCs/>
        </w:rPr>
        <w:t xml:space="preserve">neupravené </w:t>
      </w:r>
      <w:r w:rsidR="00F71111">
        <w:rPr>
          <w:iCs/>
        </w:rPr>
        <w:t xml:space="preserve">v právních aktech </w:t>
      </w:r>
      <w:r w:rsidR="007B36A1">
        <w:rPr>
          <w:iCs/>
        </w:rPr>
        <w:t xml:space="preserve">týkajících </w:t>
      </w:r>
      <w:r w:rsidR="00867694">
        <w:rPr>
          <w:iCs/>
        </w:rPr>
        <w:t>vyrovnávací platby</w:t>
      </w:r>
      <w:r w:rsidR="007B36A1">
        <w:rPr>
          <w:iCs/>
        </w:rPr>
        <w:t xml:space="preserve"> </w:t>
      </w:r>
      <w:r w:rsidR="00BA417F">
        <w:rPr>
          <w:iCs/>
        </w:rPr>
        <w:t>ve vztahu k</w:t>
      </w:r>
      <w:r w:rsidR="00F71111">
        <w:rPr>
          <w:iCs/>
        </w:rPr>
        <w:t> </w:t>
      </w:r>
      <w:r w:rsidR="00867694">
        <w:rPr>
          <w:iCs/>
        </w:rPr>
        <w:t>příjemci</w:t>
      </w:r>
      <w:r w:rsidR="00F71111">
        <w:rPr>
          <w:iCs/>
        </w:rPr>
        <w:t xml:space="preserve"> </w:t>
      </w:r>
      <w:r>
        <w:rPr>
          <w:iCs/>
        </w:rPr>
        <w:t>se budou řídit touto smlouvou.</w:t>
      </w:r>
    </w:p>
    <w:p w14:paraId="4DE1803D" w14:textId="77777777" w:rsidR="007B36A1" w:rsidRPr="007B36A1" w:rsidRDefault="007B36A1" w:rsidP="007B36A1">
      <w:pPr>
        <w:ind w:left="360"/>
        <w:jc w:val="both"/>
      </w:pPr>
    </w:p>
    <w:p w14:paraId="5F0180D8" w14:textId="77777777"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867694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3E541F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14:paraId="57B8D2C2" w14:textId="77777777" w:rsidR="003B1DFB" w:rsidRDefault="00C57E4A" w:rsidP="007B36A1">
      <w:pPr>
        <w:jc w:val="both"/>
      </w:pPr>
      <w:r>
        <w:rPr>
          <w:iCs/>
        </w:rPr>
        <w:t xml:space="preserve"> </w:t>
      </w:r>
    </w:p>
    <w:p w14:paraId="687A32B8" w14:textId="77777777" w:rsidR="007B36A1" w:rsidRDefault="00867694" w:rsidP="007B36A1">
      <w:pPr>
        <w:numPr>
          <w:ilvl w:val="0"/>
          <w:numId w:val="15"/>
        </w:numPr>
        <w:jc w:val="both"/>
      </w:pPr>
      <w:r>
        <w:t xml:space="preserve">Příjemce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 xml:space="preserve">příjemce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14:paraId="32F8994E" w14:textId="77777777" w:rsidR="007B36A1" w:rsidRDefault="007B36A1" w:rsidP="007B36A1">
      <w:pPr>
        <w:jc w:val="both"/>
      </w:pPr>
    </w:p>
    <w:p w14:paraId="061E24B9" w14:textId="77777777" w:rsidR="00F74F84" w:rsidRDefault="00F74F84" w:rsidP="007B36A1">
      <w:pPr>
        <w:jc w:val="both"/>
      </w:pPr>
    </w:p>
    <w:p w14:paraId="4D738973" w14:textId="77777777" w:rsidR="003B1DFB" w:rsidRDefault="00C57E4A">
      <w:pPr>
        <w:jc w:val="center"/>
        <w:rPr>
          <w:b/>
        </w:rPr>
      </w:pPr>
      <w:r>
        <w:rPr>
          <w:b/>
        </w:rPr>
        <w:t>VI.</w:t>
      </w:r>
    </w:p>
    <w:p w14:paraId="646CDC1D" w14:textId="77777777"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14:paraId="3F452E7C" w14:textId="77777777" w:rsidR="003B1DFB" w:rsidRDefault="003B1DFB">
      <w:pPr>
        <w:jc w:val="center"/>
        <w:rPr>
          <w:b/>
        </w:rPr>
      </w:pPr>
    </w:p>
    <w:p w14:paraId="5C151EBE" w14:textId="7FB4326C" w:rsidR="003B1DFB" w:rsidRDefault="00C57E4A">
      <w:pPr>
        <w:numPr>
          <w:ilvl w:val="0"/>
          <w:numId w:val="6"/>
        </w:numPr>
        <w:jc w:val="both"/>
      </w:pPr>
      <w:r>
        <w:t>Výše vyrovnávací platby</w:t>
      </w:r>
      <w:r w:rsidR="00B44026">
        <w:t xml:space="preserve"> </w:t>
      </w:r>
      <w:r w:rsidR="00B84DC9">
        <w:t xml:space="preserve">nepřesáhne výši čistých nákladů vynaložených při plnění služeb vymezených v </w:t>
      </w:r>
      <w:r w:rsidR="00B84DC9">
        <w:rPr>
          <w:szCs w:val="22"/>
        </w:rPr>
        <w:t>Příloze č. I</w:t>
      </w:r>
      <w:r w:rsidR="00B44026">
        <w:rPr>
          <w:szCs w:val="22"/>
        </w:rPr>
        <w:t xml:space="preserve"> této smlouvy</w:t>
      </w:r>
      <w:r w:rsidR="00B84DC9">
        <w:rPr>
          <w:szCs w:val="22"/>
        </w:rPr>
        <w:t xml:space="preserve">. Čisté náklady budou vypočítány jako </w:t>
      </w:r>
      <w:r>
        <w:t xml:space="preserve">rozdíl mezi náklady, které </w:t>
      </w:r>
      <w:r w:rsidR="00867694">
        <w:t>příjemci</w:t>
      </w:r>
      <w:r w:rsidR="00A536CA">
        <w:t xml:space="preserve"> </w:t>
      </w:r>
      <w:r>
        <w:t xml:space="preserve">prokazatelně vzniknou v souvislosti s výkonem služeb v režimu závazku veřejné služby a budou uznány </w:t>
      </w:r>
      <w:r w:rsidR="00A536CA">
        <w:t>Kraje</w:t>
      </w:r>
      <w:r w:rsidR="00B84DC9">
        <w:t xml:space="preserve">m </w:t>
      </w:r>
      <w:r>
        <w:t xml:space="preserve">a prokazatelnými </w:t>
      </w:r>
      <w:r w:rsidR="00E07330">
        <w:t xml:space="preserve">příjmy </w:t>
      </w:r>
      <w:r>
        <w:t xml:space="preserve">z takových služeb. V případě, že </w:t>
      </w:r>
      <w:r w:rsidR="00867694">
        <w:t>příjemce</w:t>
      </w:r>
      <w:r w:rsidR="00A536CA">
        <w:t xml:space="preserve"> </w:t>
      </w:r>
      <w:r>
        <w:t>obdrží v souvislosti s</w:t>
      </w:r>
      <w:r w:rsidR="00B84DC9">
        <w:t> </w:t>
      </w:r>
      <w:r>
        <w:t>výkonem</w:t>
      </w:r>
      <w:r w:rsidR="00B84DC9">
        <w:t xml:space="preserve"> </w:t>
      </w:r>
      <w:r>
        <w:t xml:space="preserve">služeb v režimu závazku veřejné služby jiné veřejné prostředky, a to v jakékoliv formě, bude o jejich výši </w:t>
      </w:r>
      <w:r w:rsidR="00A536CA">
        <w:t>financování ze strany</w:t>
      </w:r>
      <w:r>
        <w:t xml:space="preserve"> </w:t>
      </w:r>
      <w:r w:rsidR="00A536CA">
        <w:t xml:space="preserve">Kraje </w:t>
      </w:r>
      <w:r>
        <w:t>snížen</w:t>
      </w:r>
      <w:r w:rsidR="00A536CA">
        <w:t>o</w:t>
      </w:r>
      <w:r>
        <w:t>.</w:t>
      </w:r>
      <w:r w:rsidR="00A536CA">
        <w:t xml:space="preserve"> </w:t>
      </w:r>
      <w:r>
        <w:t xml:space="preserve">Tuto skutečnost je </w:t>
      </w:r>
      <w:r w:rsidR="00867694">
        <w:t>příjemce</w:t>
      </w:r>
      <w:r w:rsidR="00A536CA">
        <w:t xml:space="preserve"> </w:t>
      </w:r>
      <w:r>
        <w:t>povin</w:t>
      </w:r>
      <w:r w:rsidR="00A536CA">
        <w:t>e</w:t>
      </w:r>
      <w:r>
        <w:t>n</w:t>
      </w:r>
      <w:r w:rsidR="00A536CA">
        <w:t xml:space="preserve"> Kraji </w:t>
      </w:r>
      <w:r>
        <w:t>písemně sdělit.</w:t>
      </w:r>
    </w:p>
    <w:p w14:paraId="3EFF67D3" w14:textId="77777777" w:rsidR="000B438F" w:rsidRPr="00044570" w:rsidRDefault="000B438F" w:rsidP="00504735">
      <w:pPr>
        <w:ind w:left="360"/>
        <w:jc w:val="both"/>
      </w:pPr>
    </w:p>
    <w:p w14:paraId="0B89ACE4" w14:textId="5631C34B" w:rsidR="00DD5A88" w:rsidRPr="00044570" w:rsidRDefault="000B438F" w:rsidP="00090ECC">
      <w:pPr>
        <w:numPr>
          <w:ilvl w:val="0"/>
          <w:numId w:val="6"/>
        </w:numPr>
        <w:jc w:val="both"/>
      </w:pPr>
      <w:r w:rsidRPr="00044570">
        <w:t xml:space="preserve"> </w:t>
      </w:r>
      <w:r w:rsidR="00090ECC" w:rsidRPr="00044570">
        <w:t>Mechanizmus posuzování vyrovnávací platby je uveden v příloze č. II této smlouvy.</w:t>
      </w:r>
    </w:p>
    <w:p w14:paraId="00F76047" w14:textId="77777777" w:rsidR="003B1DFB" w:rsidRDefault="003B1DFB">
      <w:pPr>
        <w:jc w:val="both"/>
      </w:pPr>
    </w:p>
    <w:p w14:paraId="2D353639" w14:textId="77777777" w:rsidR="00F74F84" w:rsidRDefault="00F74F84">
      <w:pPr>
        <w:jc w:val="both"/>
      </w:pPr>
    </w:p>
    <w:p w14:paraId="6D6DE58C" w14:textId="77777777" w:rsidR="003B1DFB" w:rsidRDefault="00C57E4A">
      <w:pPr>
        <w:jc w:val="center"/>
        <w:rPr>
          <w:b/>
        </w:rPr>
      </w:pPr>
      <w:r>
        <w:rPr>
          <w:b/>
        </w:rPr>
        <w:t>VII.</w:t>
      </w:r>
    </w:p>
    <w:p w14:paraId="2C0C2415" w14:textId="77777777"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14:paraId="68D1115E" w14:textId="77777777" w:rsidR="003B1DFB" w:rsidRDefault="003B1DFB">
      <w:pPr>
        <w:jc w:val="center"/>
        <w:rPr>
          <w:b/>
        </w:rPr>
      </w:pPr>
    </w:p>
    <w:p w14:paraId="379437E3" w14:textId="77777777"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 xml:space="preserve">vzniklé po </w:t>
      </w:r>
      <w:r w:rsidR="00D80912">
        <w:t>dobu trvání závazku veřejné služby</w:t>
      </w:r>
      <w:r>
        <w:t>.</w:t>
      </w:r>
    </w:p>
    <w:p w14:paraId="4C30D927" w14:textId="77777777" w:rsidR="003B1DFB" w:rsidRDefault="003B1DFB">
      <w:pPr>
        <w:jc w:val="both"/>
      </w:pPr>
    </w:p>
    <w:p w14:paraId="09079745" w14:textId="77777777" w:rsidR="003B1DFB" w:rsidRDefault="00C57E4A">
      <w:pPr>
        <w:numPr>
          <w:ilvl w:val="0"/>
          <w:numId w:val="7"/>
        </w:numPr>
        <w:jc w:val="both"/>
      </w:pPr>
      <w:r>
        <w:t xml:space="preserve">Je-li </w:t>
      </w:r>
      <w:r w:rsidR="00D80912">
        <w:t>příjemce</w:t>
      </w:r>
      <w:r w:rsidR="002D591D">
        <w:t xml:space="preserve"> </w:t>
      </w:r>
      <w:r>
        <w:t>veřejným zadavatelem nebo splní-li definici zadavatele podle platného a účinného zákona o veřejných zakázkách je povin</w:t>
      </w:r>
      <w:r w:rsidR="002D591D">
        <w:t>e</w:t>
      </w:r>
      <w:r>
        <w:t>n</w:t>
      </w:r>
      <w:r w:rsidR="002D591D">
        <w:t xml:space="preserve"> </w:t>
      </w:r>
      <w:r>
        <w:t xml:space="preserve">postupovat </w:t>
      </w:r>
      <w:r w:rsidR="00D80912">
        <w:t xml:space="preserve">dle </w:t>
      </w:r>
      <w:r>
        <w:t>tohoto zákona.</w:t>
      </w:r>
    </w:p>
    <w:p w14:paraId="0342ED57" w14:textId="77777777" w:rsidR="003B1DFB" w:rsidRDefault="003B1DFB">
      <w:pPr>
        <w:jc w:val="both"/>
      </w:pPr>
    </w:p>
    <w:p w14:paraId="3997C9B8" w14:textId="77777777"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D80912">
        <w:t xml:space="preserve">příjemce </w:t>
      </w:r>
      <w:r>
        <w:t>vykonává i jiné činnosti</w:t>
      </w:r>
      <w:r w:rsidR="007C01A0">
        <w:t xml:space="preserve"> či služby </w:t>
      </w:r>
      <w:r>
        <w:t xml:space="preserve">než vymezené v Příloze č. I této smlouvy,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14:paraId="0F226AA5" w14:textId="77777777" w:rsidR="003B1DFB" w:rsidRDefault="003B1DFB">
      <w:pPr>
        <w:jc w:val="both"/>
      </w:pPr>
    </w:p>
    <w:p w14:paraId="3661FB68" w14:textId="77777777" w:rsidR="003B1DFB" w:rsidRDefault="00D80912">
      <w:pPr>
        <w:numPr>
          <w:ilvl w:val="0"/>
          <w:numId w:val="7"/>
        </w:numPr>
        <w:jc w:val="both"/>
      </w:pPr>
      <w:r>
        <w:t xml:space="preserve">Příjemce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>
        <w:t xml:space="preserve"> ztížit</w:t>
      </w:r>
      <w:r w:rsidR="00C57E4A">
        <w:t>.</w:t>
      </w:r>
    </w:p>
    <w:p w14:paraId="67F698D9" w14:textId="77777777" w:rsidR="003B1DFB" w:rsidRDefault="003B1DFB">
      <w:pPr>
        <w:jc w:val="both"/>
      </w:pPr>
    </w:p>
    <w:p w14:paraId="7A52B563" w14:textId="77777777"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A70F55">
        <w:t>příjemce</w:t>
      </w:r>
      <w:r w:rsidR="00D63402">
        <w:t xml:space="preserve"> Kraji </w:t>
      </w:r>
      <w:r>
        <w:t>zprávu o realizaci služeb vymezených v Příloze č. I této smlouvy</w:t>
      </w:r>
      <w:r w:rsidR="00EC2F9B">
        <w:t xml:space="preserve">, a to </w:t>
      </w:r>
      <w:r w:rsidR="00A70F55">
        <w:t>v termínu a za podmínek stanovených ve smlouvě o poskytnutí dotace</w:t>
      </w:r>
      <w:r>
        <w:t xml:space="preserve">.   </w:t>
      </w:r>
    </w:p>
    <w:p w14:paraId="5205A122" w14:textId="77777777"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14:paraId="3D036D18" w14:textId="77777777" w:rsidR="003B1DFB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 xml:space="preserve">Příjemce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14:paraId="477D0018" w14:textId="77777777"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14:paraId="21797269" w14:textId="77777777"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14:paraId="4B26E9E1" w14:textId="77777777"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14:paraId="2EE73E5F" w14:textId="77777777"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>každoroční zprávy o realizaci služeb vymezených v Příloze č. I této smlouvy</w:t>
      </w:r>
      <w:r w:rsidR="00544254">
        <w:t>.</w:t>
      </w:r>
    </w:p>
    <w:p w14:paraId="78508FFC" w14:textId="77777777"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14:paraId="45B0AFB5" w14:textId="77777777" w:rsidR="003B1DFB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Příjemce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14:paraId="265181A8" w14:textId="77777777"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14:paraId="1FE7C7C6" w14:textId="77777777"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14:paraId="19E7C42F" w14:textId="77777777" w:rsidR="003B1DFB" w:rsidRDefault="00C57E4A">
      <w:pPr>
        <w:jc w:val="center"/>
        <w:rPr>
          <w:b/>
        </w:rPr>
      </w:pPr>
      <w:r>
        <w:rPr>
          <w:b/>
        </w:rPr>
        <w:t>VIII.</w:t>
      </w:r>
    </w:p>
    <w:p w14:paraId="6B5DFCF6" w14:textId="77777777"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14:paraId="0FBE6AEC" w14:textId="77777777" w:rsidR="003B1DFB" w:rsidRDefault="003B1DFB">
      <w:pPr>
        <w:jc w:val="center"/>
        <w:rPr>
          <w:b/>
        </w:rPr>
      </w:pPr>
    </w:p>
    <w:p w14:paraId="17189576" w14:textId="77777777"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</w:t>
      </w:r>
      <w:r w:rsidR="006F4A10">
        <w:t xml:space="preserve"> a o změně některých zákonů, ve </w:t>
      </w:r>
      <w:r>
        <w:t>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6F4A10">
        <w:t xml:space="preserve"> </w:t>
      </w:r>
      <w:r>
        <w:t>Sb., o rozpočtových pravidlech územních rozpočtů, ve znění pozdějších předpisů</w:t>
      </w:r>
      <w:r w:rsidR="006F4A10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14:paraId="252A8C69" w14:textId="77777777" w:rsidR="00E647A2" w:rsidRPr="00E647A2" w:rsidRDefault="00E647A2" w:rsidP="00E647A2">
      <w:pPr>
        <w:ind w:left="360"/>
        <w:jc w:val="both"/>
        <w:rPr>
          <w:bCs/>
        </w:rPr>
      </w:pPr>
    </w:p>
    <w:p w14:paraId="6C5968FD" w14:textId="77777777" w:rsidR="003B1DFB" w:rsidRDefault="00A70F55">
      <w:pPr>
        <w:numPr>
          <w:ilvl w:val="0"/>
          <w:numId w:val="10"/>
        </w:numPr>
        <w:jc w:val="both"/>
        <w:rPr>
          <w:bCs/>
        </w:rPr>
      </w:pPr>
      <w:r>
        <w:t xml:space="preserve">Příjemce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14:paraId="3D1DB1BD" w14:textId="77777777" w:rsidR="003B1DFB" w:rsidRDefault="003B1DFB">
      <w:pPr>
        <w:jc w:val="both"/>
        <w:rPr>
          <w:bCs/>
        </w:rPr>
      </w:pPr>
    </w:p>
    <w:p w14:paraId="37387501" w14:textId="77777777" w:rsidR="003B1DFB" w:rsidRDefault="00A70F55">
      <w:pPr>
        <w:numPr>
          <w:ilvl w:val="0"/>
          <w:numId w:val="10"/>
        </w:numPr>
        <w:jc w:val="both"/>
      </w:pPr>
      <w:r>
        <w:t xml:space="preserve">Příjemce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</w:t>
      </w:r>
      <w:r w:rsidR="00C57E4A" w:rsidRPr="00A6255B">
        <w:t>dobu 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14:paraId="0BED7CEF" w14:textId="77777777" w:rsidR="003B1DFB" w:rsidRDefault="003B1DFB">
      <w:pPr>
        <w:jc w:val="both"/>
      </w:pPr>
    </w:p>
    <w:p w14:paraId="30DEA0EF" w14:textId="77777777" w:rsidR="003B1DFB" w:rsidRDefault="003B1DFB">
      <w:pPr>
        <w:jc w:val="center"/>
      </w:pPr>
    </w:p>
    <w:p w14:paraId="67D0CEEF" w14:textId="77777777" w:rsidR="00A70F55" w:rsidRDefault="00A70F55" w:rsidP="00A70F55">
      <w:pPr>
        <w:keepNext/>
        <w:jc w:val="center"/>
        <w:rPr>
          <w:b/>
        </w:rPr>
      </w:pPr>
      <w:r>
        <w:rPr>
          <w:b/>
        </w:rPr>
        <w:t>IX.</w:t>
      </w:r>
    </w:p>
    <w:p w14:paraId="509F860F" w14:textId="77777777" w:rsidR="00A70F55" w:rsidRPr="00775A1B" w:rsidRDefault="00A70F55" w:rsidP="00A70F55">
      <w:pPr>
        <w:keepNext/>
        <w:jc w:val="center"/>
        <w:rPr>
          <w:b/>
        </w:rPr>
      </w:pPr>
      <w:r>
        <w:rPr>
          <w:b/>
        </w:rPr>
        <w:t>Porušení rozpočtové kázně</w:t>
      </w:r>
    </w:p>
    <w:p w14:paraId="12E6C21F" w14:textId="77777777" w:rsidR="00A70F55" w:rsidRDefault="00A70F55" w:rsidP="00A70F55">
      <w:pPr>
        <w:keepNext/>
        <w:jc w:val="center"/>
        <w:rPr>
          <w:b/>
        </w:rPr>
      </w:pPr>
    </w:p>
    <w:p w14:paraId="39B1DC7B" w14:textId="77777777" w:rsidR="00A70F55" w:rsidRPr="006D02CA" w:rsidRDefault="00A70F55" w:rsidP="00A70F55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>
        <w:rPr>
          <w:bCs/>
        </w:rPr>
        <w:t>ržení prostředků poskytnutých z </w:t>
      </w:r>
      <w:r w:rsidRPr="006D02CA">
        <w:rPr>
          <w:bCs/>
        </w:rPr>
        <w:t>rozpočtu Kraje je porušením rozpočtové kázně po</w:t>
      </w:r>
      <w:r w:rsidR="006F4A10">
        <w:rPr>
          <w:bCs/>
        </w:rPr>
        <w:t>dle § 22 zákona č. 250/2000 Sb.</w:t>
      </w:r>
      <w:r w:rsidRPr="006D02CA">
        <w:rPr>
          <w:bCs/>
        </w:rPr>
        <w:t xml:space="preserve"> V případě porušení rozpočtové kázně bude postup</w:t>
      </w:r>
      <w:r w:rsidRPr="00BD49EF">
        <w:rPr>
          <w:bCs/>
        </w:rPr>
        <w:t>ováno dle zákona č. 250/2000 Sb</w:t>
      </w:r>
      <w:r w:rsidR="006F4A10">
        <w:rPr>
          <w:bCs/>
        </w:rPr>
        <w:t>.</w:t>
      </w:r>
      <w:r w:rsidR="001A1421">
        <w:rPr>
          <w:bCs/>
        </w:rPr>
        <w:t xml:space="preserve"> a </w:t>
      </w:r>
      <w:r w:rsidR="00FF28A8">
        <w:rPr>
          <w:bCs/>
        </w:rPr>
        <w:t>v souladu se smlouvou o poskytnutí dotace.</w:t>
      </w:r>
      <w:r>
        <w:rPr>
          <w:bCs/>
        </w:rPr>
        <w:t xml:space="preserve"> </w:t>
      </w:r>
    </w:p>
    <w:p w14:paraId="77641D84" w14:textId="77777777" w:rsidR="00A70F55" w:rsidRDefault="00A70F55" w:rsidP="00A70F55">
      <w:pPr>
        <w:keepNext/>
        <w:ind w:left="360"/>
        <w:jc w:val="both"/>
      </w:pPr>
    </w:p>
    <w:p w14:paraId="56CD520E" w14:textId="77777777" w:rsidR="00A70F55" w:rsidRDefault="00A70F55" w:rsidP="00A70F55">
      <w:pPr>
        <w:numPr>
          <w:ilvl w:val="0"/>
          <w:numId w:val="11"/>
        </w:numPr>
        <w:jc w:val="both"/>
      </w:pPr>
      <w:r>
        <w:t>Kraj je oprávněn při zjištění porušení podmínek této smlouvy ze strany příjemce pozastavit uvolňování finančních prostředků. O pozastavení poskytování finančních prostředků Kraj písemně informuje příjemce.</w:t>
      </w:r>
    </w:p>
    <w:p w14:paraId="1DD1BBBB" w14:textId="77777777" w:rsidR="00A70F55" w:rsidRDefault="00A70F55" w:rsidP="00A70F55">
      <w:pPr>
        <w:jc w:val="both"/>
      </w:pPr>
    </w:p>
    <w:p w14:paraId="121BA3D8" w14:textId="77777777" w:rsidR="00A70F55" w:rsidRDefault="00A70F55" w:rsidP="00A70F55">
      <w:pPr>
        <w:ind w:left="360"/>
        <w:jc w:val="both"/>
      </w:pPr>
    </w:p>
    <w:p w14:paraId="49693DB4" w14:textId="77777777" w:rsidR="00A70F55" w:rsidRDefault="00A70F55" w:rsidP="00A70F55">
      <w:pPr>
        <w:jc w:val="center"/>
        <w:rPr>
          <w:b/>
        </w:rPr>
      </w:pPr>
      <w:r>
        <w:rPr>
          <w:b/>
        </w:rPr>
        <w:t>X.</w:t>
      </w:r>
    </w:p>
    <w:p w14:paraId="657110FC" w14:textId="77777777" w:rsidR="00A70F55" w:rsidRDefault="00A70F55" w:rsidP="00A70F55">
      <w:pPr>
        <w:jc w:val="center"/>
        <w:rPr>
          <w:b/>
        </w:rPr>
      </w:pPr>
      <w:r>
        <w:rPr>
          <w:b/>
        </w:rPr>
        <w:t>Ukončení smlouvy, odstoupení od smlouvy</w:t>
      </w:r>
    </w:p>
    <w:p w14:paraId="3DA57148" w14:textId="77777777" w:rsidR="00A70F55" w:rsidRDefault="00A70F55" w:rsidP="00A70F55">
      <w:pPr>
        <w:jc w:val="center"/>
        <w:rPr>
          <w:b/>
        </w:rPr>
      </w:pPr>
    </w:p>
    <w:p w14:paraId="0EF7B9EA" w14:textId="77777777" w:rsidR="00A70F55" w:rsidRPr="00C41C3E" w:rsidRDefault="00A70F55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 ze strany Kraje v </w:t>
      </w:r>
      <w:r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14:paraId="50A408EB" w14:textId="77777777" w:rsidR="00A70F55" w:rsidRDefault="00A70F55" w:rsidP="00A70F55">
      <w:pPr>
        <w:ind w:left="360"/>
        <w:jc w:val="both"/>
        <w:rPr>
          <w:i/>
        </w:rPr>
      </w:pPr>
    </w:p>
    <w:p w14:paraId="3FF70114" w14:textId="77777777" w:rsidR="00A70F55" w:rsidRDefault="00A70F55" w:rsidP="00A70F55">
      <w:pPr>
        <w:jc w:val="center"/>
      </w:pPr>
    </w:p>
    <w:p w14:paraId="01F130B7" w14:textId="77777777" w:rsidR="00A70F55" w:rsidRDefault="00A70F55" w:rsidP="00A70F55">
      <w:pPr>
        <w:keepNext/>
        <w:jc w:val="center"/>
        <w:rPr>
          <w:b/>
        </w:rPr>
      </w:pPr>
      <w:r>
        <w:rPr>
          <w:b/>
        </w:rPr>
        <w:t>XI.</w:t>
      </w:r>
    </w:p>
    <w:p w14:paraId="1CE684CB" w14:textId="77777777" w:rsidR="00A70F55" w:rsidRDefault="00A70F55" w:rsidP="00A70F55">
      <w:pPr>
        <w:keepNext/>
        <w:jc w:val="center"/>
        <w:rPr>
          <w:b/>
        </w:rPr>
      </w:pPr>
      <w:r>
        <w:rPr>
          <w:b/>
        </w:rPr>
        <w:t>Závěrečná ustanovení</w:t>
      </w:r>
    </w:p>
    <w:p w14:paraId="52812EF2" w14:textId="77777777" w:rsidR="00A70F55" w:rsidRDefault="00A70F55" w:rsidP="00A70F55">
      <w:pPr>
        <w:keepNext/>
        <w:jc w:val="center"/>
        <w:rPr>
          <w:b/>
        </w:rPr>
      </w:pPr>
    </w:p>
    <w:p w14:paraId="40F2EA88" w14:textId="77777777" w:rsidR="00A70F55" w:rsidRDefault="00A70F55" w:rsidP="00A70F55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14:paraId="421C3D78" w14:textId="77777777" w:rsidR="00A70F55" w:rsidRDefault="00A70F55" w:rsidP="00A70F55">
      <w:pPr>
        <w:jc w:val="both"/>
      </w:pPr>
    </w:p>
    <w:p w14:paraId="506F0B2B" w14:textId="77777777" w:rsidR="00A70F55" w:rsidRDefault="00A70F55" w:rsidP="00A70F55">
      <w:pPr>
        <w:numPr>
          <w:ilvl w:val="0"/>
          <w:numId w:val="14"/>
        </w:numPr>
        <w:jc w:val="both"/>
      </w:pPr>
      <w:r>
        <w:t>Jakékoli změny této smlouvy lze provádět pouze formou písemných postupně číslovaných dodatků na základě dohody obou smluvních stran.</w:t>
      </w:r>
    </w:p>
    <w:p w14:paraId="4F0C6403" w14:textId="77777777" w:rsidR="00A70F55" w:rsidRDefault="00A70F55" w:rsidP="00A70F55">
      <w:pPr>
        <w:jc w:val="both"/>
      </w:pPr>
    </w:p>
    <w:p w14:paraId="29659671" w14:textId="77777777" w:rsidR="00A70F55" w:rsidRDefault="00A70F55" w:rsidP="00A70F55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1A1421">
        <w:t xml:space="preserve"> a </w:t>
      </w:r>
      <w:r w:rsidR="00FF28A8">
        <w:t>smlouvou o poskytnutí dotace</w:t>
      </w:r>
      <w:r>
        <w:t>.</w:t>
      </w:r>
    </w:p>
    <w:p w14:paraId="39492E3D" w14:textId="77777777" w:rsidR="00A70F55" w:rsidRDefault="00A70F55" w:rsidP="00A70F55">
      <w:pPr>
        <w:jc w:val="both"/>
      </w:pPr>
    </w:p>
    <w:p w14:paraId="477FB50C" w14:textId="77777777" w:rsidR="00A70F55" w:rsidRPr="00C41C3E" w:rsidRDefault="00A70F55" w:rsidP="00A70F55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Pr="00C41C3E">
        <w:t>.</w:t>
      </w:r>
    </w:p>
    <w:p w14:paraId="095173DD" w14:textId="77777777" w:rsidR="00A70F55" w:rsidRDefault="00A70F55" w:rsidP="00A70F55">
      <w:pPr>
        <w:jc w:val="both"/>
      </w:pPr>
    </w:p>
    <w:p w14:paraId="14D6AB59" w14:textId="77777777" w:rsidR="00A70F55" w:rsidRPr="00C02B9C" w:rsidRDefault="00A70F55" w:rsidP="00A70F55">
      <w:pPr>
        <w:numPr>
          <w:ilvl w:val="0"/>
          <w:numId w:val="14"/>
        </w:numPr>
        <w:ind w:left="357"/>
        <w:jc w:val="both"/>
      </w:pPr>
      <w:r>
        <w:t xml:space="preserve">Nedílnou součástí smlouvy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  <w:r w:rsidR="00FF28A8">
        <w:rPr>
          <w:bCs/>
        </w:rPr>
        <w:t>.</w:t>
      </w:r>
    </w:p>
    <w:p w14:paraId="5E234B22" w14:textId="77777777" w:rsidR="00C02B9C" w:rsidRPr="00C02B9C" w:rsidRDefault="00C02B9C" w:rsidP="007F3D54">
      <w:pPr>
        <w:ind w:left="357"/>
        <w:jc w:val="both"/>
      </w:pPr>
    </w:p>
    <w:p w14:paraId="331A851D" w14:textId="77777777" w:rsidR="00C02B9C" w:rsidRPr="007F3D54" w:rsidRDefault="00C02B9C" w:rsidP="007F3D54">
      <w:pPr>
        <w:numPr>
          <w:ilvl w:val="0"/>
          <w:numId w:val="14"/>
        </w:numPr>
        <w:ind w:left="357"/>
        <w:jc w:val="both"/>
      </w:pPr>
      <w:r w:rsidRPr="007F3D54"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</w:t>
      </w:r>
      <w:r w:rsidRPr="007F3D54">
        <w:lastRenderedPageBreak/>
        <w:t xml:space="preserve">ochraně osobních údajů jsou uvedeny na oficiálních webových stránkách Moravskoslezského kraje </w:t>
      </w:r>
      <w:hyperlink r:id="rId11" w:history="1">
        <w:r w:rsidRPr="007F3D54">
          <w:t>www.msk.cz</w:t>
        </w:r>
      </w:hyperlink>
      <w:r w:rsidRPr="007F3D54">
        <w:t>.</w:t>
      </w:r>
    </w:p>
    <w:p w14:paraId="0A782271" w14:textId="77777777" w:rsidR="00A70F55" w:rsidRDefault="00A70F55" w:rsidP="00A70F55">
      <w:pPr>
        <w:ind w:left="357"/>
        <w:jc w:val="both"/>
        <w:rPr>
          <w:highlight w:val="yellow"/>
        </w:rPr>
      </w:pPr>
    </w:p>
    <w:p w14:paraId="3DCE09DD" w14:textId="77777777" w:rsidR="00A70F55" w:rsidRDefault="00A70F55" w:rsidP="00A70F55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podpisy.</w:t>
      </w:r>
    </w:p>
    <w:p w14:paraId="245D41B2" w14:textId="77777777" w:rsidR="00A70F55" w:rsidRPr="009814CE" w:rsidRDefault="00A70F55" w:rsidP="00A70F55">
      <w:pPr>
        <w:jc w:val="both"/>
      </w:pPr>
    </w:p>
    <w:p w14:paraId="28AE1E69" w14:textId="77777777" w:rsidR="00A70F55" w:rsidRPr="009814CE" w:rsidRDefault="00A70F55" w:rsidP="00A70F55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  <w:r w:rsidR="001A1421">
        <w:t>.</w:t>
      </w:r>
    </w:p>
    <w:p w14:paraId="3AD16654" w14:textId="77777777" w:rsidR="00A70F55" w:rsidRPr="009814CE" w:rsidRDefault="00A70F55" w:rsidP="00A70F55">
      <w:pPr>
        <w:jc w:val="both"/>
      </w:pPr>
    </w:p>
    <w:p w14:paraId="0E4F8999" w14:textId="7E755C97" w:rsidR="00A70F55" w:rsidRPr="009814CE" w:rsidRDefault="00C90A66" w:rsidP="00A70F55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A70F55" w:rsidRPr="009814CE">
        <w:t>a uzavření této smlouvy rozhodlo zastupitelstvo kraje svým usnesením č.</w:t>
      </w:r>
      <w:r w:rsidR="00064086">
        <w:t xml:space="preserve"> </w:t>
      </w:r>
      <w:r w:rsidR="0090323D">
        <w:t>…</w:t>
      </w:r>
      <w:r w:rsidR="00F74F84">
        <w:t>/</w:t>
      </w:r>
      <w:r w:rsidR="0090323D">
        <w:t>….</w:t>
      </w:r>
      <w:r w:rsidR="0090323D" w:rsidRPr="009814CE">
        <w:t xml:space="preserve"> </w:t>
      </w:r>
      <w:r w:rsidR="00A70F55" w:rsidRPr="009814CE">
        <w:t xml:space="preserve">ze dne </w:t>
      </w:r>
      <w:r w:rsidR="00F74F84">
        <w:t>1</w:t>
      </w:r>
      <w:r w:rsidR="0090323D">
        <w:t>7</w:t>
      </w:r>
      <w:r w:rsidR="00F74F84">
        <w:t xml:space="preserve">. </w:t>
      </w:r>
      <w:r w:rsidR="0090323D">
        <w:t xml:space="preserve"> 3</w:t>
      </w:r>
      <w:r w:rsidR="00F74F84">
        <w:t xml:space="preserve">. </w:t>
      </w:r>
      <w:r w:rsidR="0090323D">
        <w:t>2021</w:t>
      </w:r>
      <w:r w:rsidR="00A70F55" w:rsidRPr="009814CE">
        <w:t>.</w:t>
      </w:r>
    </w:p>
    <w:p w14:paraId="1C5E6756" w14:textId="77777777" w:rsidR="00A70F55" w:rsidRPr="009814CE" w:rsidRDefault="00A70F55" w:rsidP="00A70F55">
      <w:pPr>
        <w:jc w:val="both"/>
      </w:pPr>
    </w:p>
    <w:p w14:paraId="6CAEFCEC" w14:textId="77777777" w:rsidR="003B1DFB" w:rsidRDefault="003B1DFB">
      <w:pPr>
        <w:keepNext/>
        <w:keepLines/>
        <w:jc w:val="both"/>
      </w:pPr>
    </w:p>
    <w:p w14:paraId="1029C9CC" w14:textId="77777777" w:rsidR="003B1DFB" w:rsidRDefault="003B1DFB">
      <w:pPr>
        <w:keepNext/>
        <w:keepLines/>
        <w:ind w:left="280" w:hanging="280"/>
      </w:pPr>
    </w:p>
    <w:p w14:paraId="2E2F457E" w14:textId="77777777"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</w:t>
      </w:r>
      <w:proofErr w:type="gramStart"/>
      <w:r>
        <w:t>…….</w:t>
      </w:r>
      <w:proofErr w:type="gramEnd"/>
      <w:r>
        <w:t>.</w:t>
      </w:r>
    </w:p>
    <w:p w14:paraId="6689B6F5" w14:textId="77777777" w:rsidR="003B1DFB" w:rsidRDefault="003B1DFB">
      <w:pPr>
        <w:keepNext/>
        <w:keepLines/>
      </w:pPr>
    </w:p>
    <w:p w14:paraId="4C3CBA15" w14:textId="77777777" w:rsidR="003B1DFB" w:rsidRDefault="003B1DFB">
      <w:pPr>
        <w:keepNext/>
        <w:keepLines/>
      </w:pPr>
    </w:p>
    <w:p w14:paraId="50BB92BE" w14:textId="77777777" w:rsidR="003B1DFB" w:rsidRDefault="003B1DFB">
      <w:pPr>
        <w:keepNext/>
        <w:keepLines/>
      </w:pPr>
    </w:p>
    <w:p w14:paraId="46F95811" w14:textId="77777777" w:rsidR="003B1DFB" w:rsidRDefault="003B1DFB">
      <w:pPr>
        <w:keepNext/>
        <w:keepLines/>
      </w:pPr>
    </w:p>
    <w:p w14:paraId="66B4643B" w14:textId="7F784BA1" w:rsidR="00C90A66" w:rsidRDefault="00C90A66" w:rsidP="00C90A66">
      <w:pPr>
        <w:keepNext/>
        <w:tabs>
          <w:tab w:val="center" w:pos="2160"/>
          <w:tab w:val="center" w:pos="7020"/>
        </w:tabs>
      </w:pPr>
      <w:r>
        <w:t xml:space="preserve">…………………………………….                        </w:t>
      </w:r>
      <w:r w:rsidR="00A6675E">
        <w:tab/>
      </w:r>
      <w:r>
        <w:t>.……………………………….</w:t>
      </w:r>
    </w:p>
    <w:p w14:paraId="31762664" w14:textId="77777777" w:rsidR="00C90A66" w:rsidRPr="001F71CF" w:rsidRDefault="00C90A66" w:rsidP="00C90A66">
      <w:pPr>
        <w:pStyle w:val="Odstavecseseznamem"/>
        <w:ind w:left="283"/>
        <w:jc w:val="both"/>
      </w:pPr>
      <w:r>
        <w:t xml:space="preserve">      za Moravskoslezský kraj</w:t>
      </w:r>
      <w:r>
        <w:tab/>
      </w:r>
      <w:r w:rsidRPr="00BF0B6F">
        <w:t xml:space="preserve">             </w:t>
      </w:r>
      <w:r>
        <w:t xml:space="preserve">                               za příjemce</w:t>
      </w:r>
    </w:p>
    <w:p w14:paraId="1CABA6F1" w14:textId="5D4ED7D9" w:rsidR="00E03EDA" w:rsidRDefault="00E03EDA" w:rsidP="00E03EDA">
      <w:pPr>
        <w:pStyle w:val="Odstavecseseznamem"/>
        <w:ind w:left="283"/>
        <w:jc w:val="both"/>
      </w:pPr>
    </w:p>
    <w:p w14:paraId="34BB7E64" w14:textId="17ECA503" w:rsidR="00A6675E" w:rsidRDefault="00A6675E" w:rsidP="00E03EDA">
      <w:pPr>
        <w:pStyle w:val="Odstavecseseznamem"/>
        <w:ind w:left="283"/>
        <w:jc w:val="both"/>
      </w:pPr>
    </w:p>
    <w:p w14:paraId="6C832008" w14:textId="7D70B8BB" w:rsidR="00A6675E" w:rsidRDefault="00A6675E" w:rsidP="00E03EDA">
      <w:pPr>
        <w:pStyle w:val="Odstavecseseznamem"/>
        <w:ind w:left="283"/>
        <w:jc w:val="both"/>
      </w:pPr>
    </w:p>
    <w:p w14:paraId="686BD870" w14:textId="0C5B404B" w:rsidR="00A6675E" w:rsidRDefault="00A6675E" w:rsidP="00E03EDA">
      <w:pPr>
        <w:pStyle w:val="Odstavecseseznamem"/>
        <w:ind w:left="283"/>
        <w:jc w:val="both"/>
      </w:pPr>
    </w:p>
    <w:p w14:paraId="54886355" w14:textId="70BA41A2" w:rsidR="00A6675E" w:rsidRDefault="00A6675E" w:rsidP="00A6675E">
      <w:pPr>
        <w:keepNext/>
        <w:tabs>
          <w:tab w:val="center" w:pos="2160"/>
          <w:tab w:val="center" w:pos="7020"/>
        </w:tabs>
      </w:pPr>
      <w:r>
        <w:tab/>
        <w:t xml:space="preserve">                        </w:t>
      </w:r>
      <w:r>
        <w:tab/>
        <w:t>.……………………………….</w:t>
      </w:r>
    </w:p>
    <w:p w14:paraId="0F579F1B" w14:textId="5EDD740F" w:rsidR="00A6675E" w:rsidRPr="001F71CF" w:rsidRDefault="00A6675E" w:rsidP="00A6675E">
      <w:pPr>
        <w:pStyle w:val="Odstavecseseznamem"/>
        <w:ind w:left="283"/>
        <w:jc w:val="both"/>
      </w:pPr>
      <w:r>
        <w:t xml:space="preserve">      </w:t>
      </w:r>
      <w:r>
        <w:tab/>
      </w:r>
      <w:r w:rsidRPr="00BF0B6F">
        <w:t xml:space="preserve">             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>za příjemce</w:t>
      </w:r>
    </w:p>
    <w:p w14:paraId="2F7F7F83" w14:textId="77777777" w:rsidR="00A6675E" w:rsidRDefault="00A6675E" w:rsidP="00A6675E">
      <w:pPr>
        <w:pStyle w:val="Odstavecseseznamem"/>
        <w:ind w:left="283"/>
        <w:jc w:val="both"/>
      </w:pPr>
    </w:p>
    <w:p w14:paraId="23BE3D89" w14:textId="44FA69CE" w:rsidR="00A6675E" w:rsidRPr="00E03EDA" w:rsidRDefault="00A6675E" w:rsidP="00E03EDA">
      <w:pPr>
        <w:pStyle w:val="Odstavecseseznamem"/>
        <w:ind w:left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03283" w14:textId="77777777" w:rsidR="00BF0B6F" w:rsidRPr="00E03EDA" w:rsidRDefault="00BF0B6F" w:rsidP="00BF0B6F">
      <w:pPr>
        <w:spacing w:after="80"/>
        <w:jc w:val="both"/>
        <w:rPr>
          <w:bCs/>
        </w:rPr>
      </w:pPr>
    </w:p>
    <w:p w14:paraId="540E7F97" w14:textId="707309B4" w:rsidR="003B1DFB" w:rsidRDefault="00A6675E" w:rsidP="0060077D">
      <w:pPr>
        <w:keepNext/>
        <w:tabs>
          <w:tab w:val="center" w:pos="1980"/>
          <w:tab w:val="center" w:pos="7020"/>
        </w:tabs>
      </w:pPr>
      <w:r>
        <w:tab/>
      </w:r>
    </w:p>
    <w:p w14:paraId="4B419FF2" w14:textId="77777777"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A70F55">
        <w:rPr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14:paraId="2FA1D1D8" w14:textId="77777777"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14:paraId="2D4E772E" w14:textId="35E07A06" w:rsidR="00430163" w:rsidRPr="002A7D8D" w:rsidRDefault="00430163" w:rsidP="00430163">
      <w:pPr>
        <w:pStyle w:val="Odstavecseseznamem"/>
        <w:numPr>
          <w:ilvl w:val="0"/>
          <w:numId w:val="30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2A7D8D">
        <w:rPr>
          <w:bCs/>
        </w:rPr>
        <w:t>Příjemce bude vykonávat činnosti v režimu závazku veřejné služby v rozsahu definovaném v </w:t>
      </w:r>
      <w:r w:rsidR="006C0760" w:rsidRPr="00B6370C">
        <w:rPr>
          <w:b/>
        </w:rPr>
        <w:t>R</w:t>
      </w:r>
      <w:r w:rsidRPr="00B6370C">
        <w:rPr>
          <w:b/>
        </w:rPr>
        <w:t>o</w:t>
      </w:r>
      <w:r w:rsidRPr="002A7D8D">
        <w:rPr>
          <w:b/>
          <w:bCs/>
        </w:rPr>
        <w:t>zhodnutí o registraci</w:t>
      </w:r>
      <w:r w:rsidRPr="002A7D8D">
        <w:rPr>
          <w:bCs/>
        </w:rPr>
        <w:t xml:space="preserve"> </w:t>
      </w:r>
      <w:r w:rsidRPr="002A7D8D">
        <w:rPr>
          <w:b/>
          <w:bCs/>
        </w:rPr>
        <w:t>poskytovatele zdravotních služeb</w:t>
      </w:r>
      <w:r w:rsidR="006C0760">
        <w:rPr>
          <w:b/>
          <w:bCs/>
        </w:rPr>
        <w:t>,</w:t>
      </w:r>
      <w:r w:rsidRPr="002A7D8D">
        <w:rPr>
          <w:b/>
          <w:bCs/>
        </w:rPr>
        <w:t xml:space="preserve"> </w:t>
      </w:r>
      <w:r w:rsidRPr="00FE3BD5">
        <w:t>vydan</w:t>
      </w:r>
      <w:r w:rsidR="00E9754A">
        <w:t>ý</w:t>
      </w:r>
      <w:r w:rsidR="006C0760">
        <w:t>m</w:t>
      </w:r>
      <w:r w:rsidRPr="00FE3BD5">
        <w:t xml:space="preserve"> </w:t>
      </w:r>
      <w:r w:rsidRPr="002A7D8D">
        <w:t xml:space="preserve">Krajským úřadem Moravskoslezského kraje pod číslem jednacím </w:t>
      </w:r>
      <w:r w:rsidR="00A310FB" w:rsidRPr="00A21F31">
        <w:t>MSK 89080/2008</w:t>
      </w:r>
      <w:r w:rsidR="00A310FB">
        <w:t xml:space="preserve"> </w:t>
      </w:r>
      <w:r w:rsidRPr="002A7D8D">
        <w:t xml:space="preserve">dne </w:t>
      </w:r>
      <w:r w:rsidR="00895A69">
        <w:t>18</w:t>
      </w:r>
      <w:r w:rsidRPr="002A7D8D">
        <w:t>. </w:t>
      </w:r>
      <w:r w:rsidR="00895A69">
        <w:t>6</w:t>
      </w:r>
      <w:r w:rsidRPr="002A7D8D">
        <w:t>.</w:t>
      </w:r>
      <w:r w:rsidR="001E5FCD">
        <w:t> </w:t>
      </w:r>
      <w:r w:rsidRPr="002A7D8D">
        <w:t>200</w:t>
      </w:r>
      <w:r w:rsidR="00895A69">
        <w:t>8</w:t>
      </w:r>
      <w:r w:rsidRPr="00FE3BD5">
        <w:t xml:space="preserve">, ve znění následných změn (dále jen „rozhodnutí o </w:t>
      </w:r>
      <w:r>
        <w:t>PZS</w:t>
      </w:r>
      <w:r w:rsidRPr="00FE3BD5">
        <w:t>“)</w:t>
      </w:r>
      <w:r>
        <w:t xml:space="preserve">, </w:t>
      </w:r>
      <w:r w:rsidRPr="00FE3BD5">
        <w:t xml:space="preserve"> </w:t>
      </w:r>
    </w:p>
    <w:p w14:paraId="363EE59F" w14:textId="77777777" w:rsidR="00430163" w:rsidRPr="00FE3BD5" w:rsidRDefault="00430163" w:rsidP="00430163">
      <w:pPr>
        <w:autoSpaceDE w:val="0"/>
        <w:autoSpaceDN w:val="0"/>
        <w:ind w:left="426"/>
        <w:jc w:val="both"/>
        <w:rPr>
          <w:b/>
          <w:bCs/>
        </w:rPr>
      </w:pPr>
      <w:r w:rsidRPr="00FE3BD5">
        <w:rPr>
          <w:b/>
          <w:bCs/>
        </w:rPr>
        <w:t xml:space="preserve">s výjimkou činností </w:t>
      </w:r>
      <w:r>
        <w:rPr>
          <w:b/>
          <w:bCs/>
        </w:rPr>
        <w:t xml:space="preserve">veřejného </w:t>
      </w:r>
      <w:r w:rsidRPr="00FE3BD5">
        <w:rPr>
          <w:b/>
          <w:bCs/>
        </w:rPr>
        <w:t>lékárens</w:t>
      </w:r>
      <w:r>
        <w:rPr>
          <w:b/>
          <w:bCs/>
        </w:rPr>
        <w:t>tví</w:t>
      </w:r>
      <w:r w:rsidRPr="00FE3BD5">
        <w:rPr>
          <w:b/>
          <w:bCs/>
        </w:rPr>
        <w:t>, lékařské pohotovostní služby</w:t>
      </w:r>
      <w:r>
        <w:rPr>
          <w:b/>
          <w:bCs/>
        </w:rPr>
        <w:t>,</w:t>
      </w:r>
      <w:r w:rsidRPr="00FE3BD5">
        <w:rPr>
          <w:b/>
          <w:bCs/>
        </w:rPr>
        <w:t xml:space="preserve"> činností </w:t>
      </w:r>
      <w:r w:rsidRPr="00BA3347">
        <w:rPr>
          <w:b/>
          <w:bCs/>
        </w:rPr>
        <w:t>protialkoholní záchytné stanice</w:t>
      </w:r>
      <w:r>
        <w:rPr>
          <w:b/>
          <w:bCs/>
        </w:rPr>
        <w:t>, prodejny zdravotních pomůcek</w:t>
      </w:r>
      <w:r w:rsidRPr="00BA3347">
        <w:rPr>
          <w:b/>
          <w:bCs/>
        </w:rPr>
        <w:t>, p</w:t>
      </w:r>
      <w:r w:rsidRPr="00FE3BD5">
        <w:rPr>
          <w:b/>
          <w:bCs/>
        </w:rPr>
        <w:t xml:space="preserve">okud tyto činnosti příjemce v souladu s rozhodnutím o </w:t>
      </w:r>
      <w:r>
        <w:rPr>
          <w:b/>
          <w:bCs/>
        </w:rPr>
        <w:t>PZS</w:t>
      </w:r>
      <w:r w:rsidRPr="00FE3BD5">
        <w:rPr>
          <w:b/>
          <w:bCs/>
        </w:rPr>
        <w:t xml:space="preserve"> vykonává.</w:t>
      </w:r>
      <w:r>
        <w:rPr>
          <w:b/>
          <w:bCs/>
        </w:rPr>
        <w:t xml:space="preserve"> </w:t>
      </w:r>
    </w:p>
    <w:p w14:paraId="25FBCA4C" w14:textId="77777777" w:rsidR="00430163" w:rsidRDefault="00430163" w:rsidP="00430163">
      <w:pPr>
        <w:autoSpaceDE w:val="0"/>
        <w:autoSpaceDN w:val="0"/>
        <w:jc w:val="both"/>
        <w:rPr>
          <w:b/>
          <w:bCs/>
        </w:rPr>
      </w:pPr>
    </w:p>
    <w:p w14:paraId="478C8EAA" w14:textId="77777777" w:rsidR="00430163" w:rsidRPr="00D7619B" w:rsidRDefault="00430163" w:rsidP="00430163">
      <w:pPr>
        <w:pStyle w:val="Odstavecseseznamem"/>
        <w:numPr>
          <w:ilvl w:val="0"/>
          <w:numId w:val="30"/>
        </w:numPr>
        <w:tabs>
          <w:tab w:val="center" w:pos="1980"/>
          <w:tab w:val="center" w:pos="7020"/>
        </w:tabs>
        <w:autoSpaceDE w:val="0"/>
        <w:autoSpaceDN w:val="0"/>
        <w:ind w:left="426"/>
        <w:jc w:val="both"/>
        <w:rPr>
          <w:bCs/>
        </w:rPr>
      </w:pPr>
      <w:r w:rsidRPr="00D7619B">
        <w:rPr>
          <w:b/>
          <w:bCs/>
        </w:rPr>
        <w:t>Příjemce bude vykonávat činnosti v režimu závazku veřejné služby</w:t>
      </w:r>
      <w:r w:rsidRPr="00D7619B">
        <w:rPr>
          <w:bCs/>
        </w:rPr>
        <w:t xml:space="preserve"> související s poskytováním zdr</w:t>
      </w:r>
      <w:bookmarkStart w:id="0" w:name="_GoBack"/>
      <w:bookmarkEnd w:id="0"/>
      <w:r w:rsidRPr="00D7619B">
        <w:rPr>
          <w:bCs/>
        </w:rPr>
        <w:t>avotní péče dle rozhodnutí o PZS, zejména zajištění stravování.</w:t>
      </w:r>
    </w:p>
    <w:p w14:paraId="7649ED6A" w14:textId="77777777" w:rsidR="00430163" w:rsidRPr="002523AB" w:rsidRDefault="00430163" w:rsidP="00430163">
      <w:pPr>
        <w:autoSpaceDE w:val="0"/>
        <w:autoSpaceDN w:val="0"/>
        <w:jc w:val="both"/>
        <w:rPr>
          <w:b/>
          <w:bCs/>
          <w:u w:val="single"/>
        </w:rPr>
      </w:pPr>
    </w:p>
    <w:p w14:paraId="4455C6EA" w14:textId="77777777" w:rsidR="00C5020A" w:rsidRPr="00C5020A" w:rsidRDefault="00C5020A" w:rsidP="008E1366">
      <w:pPr>
        <w:spacing w:line="360" w:lineRule="auto"/>
        <w:jc w:val="both"/>
      </w:pPr>
    </w:p>
    <w:p w14:paraId="29BCE8BC" w14:textId="094ADAA9" w:rsidR="003B1DFB" w:rsidRDefault="003B1DFB" w:rsidP="00964ABF">
      <w:pPr>
        <w:spacing w:line="360" w:lineRule="auto"/>
        <w:ind w:left="720"/>
      </w:pPr>
    </w:p>
    <w:p w14:paraId="17B3332E" w14:textId="50BF1E83" w:rsidR="00A70B24" w:rsidRDefault="00A70B24" w:rsidP="00964ABF">
      <w:pPr>
        <w:spacing w:line="360" w:lineRule="auto"/>
        <w:ind w:left="720"/>
      </w:pPr>
    </w:p>
    <w:p w14:paraId="4F026746" w14:textId="2A40C08C" w:rsidR="00A70B24" w:rsidRDefault="00A70B24" w:rsidP="00964ABF">
      <w:pPr>
        <w:spacing w:line="360" w:lineRule="auto"/>
        <w:ind w:left="720"/>
      </w:pPr>
    </w:p>
    <w:p w14:paraId="112785B7" w14:textId="34418291" w:rsidR="00A70B24" w:rsidRDefault="00A70B24" w:rsidP="00964ABF">
      <w:pPr>
        <w:spacing w:line="360" w:lineRule="auto"/>
        <w:ind w:left="720"/>
      </w:pPr>
    </w:p>
    <w:p w14:paraId="503ABA49" w14:textId="7809528A" w:rsidR="00A70B24" w:rsidRDefault="00A70B24" w:rsidP="00964ABF">
      <w:pPr>
        <w:spacing w:line="360" w:lineRule="auto"/>
        <w:ind w:left="720"/>
      </w:pPr>
    </w:p>
    <w:p w14:paraId="18B0780A" w14:textId="44F9CD82" w:rsidR="00A70B24" w:rsidRDefault="00A70B24" w:rsidP="00964ABF">
      <w:pPr>
        <w:spacing w:line="360" w:lineRule="auto"/>
        <w:ind w:left="720"/>
      </w:pPr>
    </w:p>
    <w:p w14:paraId="3E4DBEB5" w14:textId="4799EE5C" w:rsidR="00A70B24" w:rsidRDefault="00A70B24" w:rsidP="00964ABF">
      <w:pPr>
        <w:spacing w:line="360" w:lineRule="auto"/>
        <w:ind w:left="720"/>
      </w:pPr>
    </w:p>
    <w:p w14:paraId="775A19A2" w14:textId="5696505D" w:rsidR="00A70B24" w:rsidRDefault="00A70B24" w:rsidP="00964ABF">
      <w:pPr>
        <w:spacing w:line="360" w:lineRule="auto"/>
        <w:ind w:left="720"/>
      </w:pPr>
    </w:p>
    <w:p w14:paraId="6D1BE60E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0922691A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5153B847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601FA169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27815B66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06C942B1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73CCFD62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14467BBA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38283381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1036BCCE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5B2A600A" w14:textId="77777777" w:rsidR="00504735" w:rsidRDefault="00504735" w:rsidP="00504735">
      <w:pPr>
        <w:pStyle w:val="Zkladntext"/>
        <w:tabs>
          <w:tab w:val="left" w:pos="0"/>
        </w:tabs>
        <w:spacing w:before="240" w:line="280" w:lineRule="exact"/>
      </w:pPr>
    </w:p>
    <w:p w14:paraId="433CDEFF" w14:textId="1EF5EA4D" w:rsidR="001841F4" w:rsidRPr="00A6675E" w:rsidRDefault="00A70B24" w:rsidP="00504735">
      <w:pPr>
        <w:pStyle w:val="Zkladntext"/>
        <w:tabs>
          <w:tab w:val="left" w:pos="0"/>
        </w:tabs>
        <w:spacing w:before="240" w:line="280" w:lineRule="exact"/>
        <w:rPr>
          <w:b/>
          <w:sz w:val="28"/>
          <w:szCs w:val="28"/>
        </w:rPr>
      </w:pPr>
      <w:r w:rsidRPr="00A6675E">
        <w:rPr>
          <w:sz w:val="28"/>
          <w:szCs w:val="28"/>
        </w:rPr>
        <w:lastRenderedPageBreak/>
        <w:t xml:space="preserve">Příloha č. II: </w:t>
      </w:r>
      <w:r w:rsidR="001841F4" w:rsidRPr="00A6675E">
        <w:rPr>
          <w:bCs/>
          <w:sz w:val="28"/>
          <w:szCs w:val="28"/>
        </w:rPr>
        <w:t>Mechanizmus posuzování vyrovnávací platby v rámci závazku veřejné služby dle Rozhodnutí Komise č. 2012/21/EU ze dne 20. prosince 2011</w:t>
      </w:r>
    </w:p>
    <w:p w14:paraId="5F95EB02" w14:textId="78649FE8" w:rsidR="00A70B24" w:rsidRDefault="00A70B24" w:rsidP="002C5A79">
      <w:pPr>
        <w:ind w:left="720"/>
      </w:pPr>
    </w:p>
    <w:p w14:paraId="47577D38" w14:textId="026BA397" w:rsidR="009B628A" w:rsidRDefault="009B628A" w:rsidP="002C5A79">
      <w:pPr>
        <w:ind w:left="720"/>
      </w:pPr>
    </w:p>
    <w:p w14:paraId="30A5A907" w14:textId="77777777" w:rsidR="009B628A" w:rsidRPr="00504735" w:rsidRDefault="009B628A" w:rsidP="00504735">
      <w:pPr>
        <w:pStyle w:val="Textkomente"/>
        <w:spacing w:before="240"/>
        <w:jc w:val="both"/>
        <w:rPr>
          <w:sz w:val="24"/>
          <w:szCs w:val="24"/>
        </w:rPr>
      </w:pPr>
      <w:r w:rsidRPr="00504735">
        <w:rPr>
          <w:sz w:val="24"/>
          <w:szCs w:val="24"/>
        </w:rPr>
        <w:t>Účelem výpočtu a vypořádání vyrovnávací platby je zabezpečení kontinuálního poskytování zdravotních služeb a zároveň zamezení jejich nadměrného financování z veřejných rozpočtů (se zohledněním vícezdrojového financování zdravotních služeb, jak z veřejných, tak i ze soukromých zdrojů). Dle Rozhodnutí Komise č. 2012/21/EU ze dne 20. prosince 2011 výše vyrovnávací platby nesmí přesáhnout rozsah nezbytný k pokrytí čistých nákladů vynaložených při plnění závazků veřejné služby. Bližší postup pro výpočet vyrovnávací platby je uveden v následující části přílohy.</w:t>
      </w:r>
    </w:p>
    <w:p w14:paraId="5E5244C9" w14:textId="77777777" w:rsidR="009B628A" w:rsidRPr="00504735" w:rsidRDefault="009B628A" w:rsidP="006B1BB5">
      <w:pPr>
        <w:pStyle w:val="Odstavecseseznamem"/>
        <w:numPr>
          <w:ilvl w:val="0"/>
          <w:numId w:val="32"/>
        </w:numPr>
        <w:spacing w:before="240"/>
        <w:ind w:left="357" w:hanging="357"/>
        <w:jc w:val="both"/>
        <w:rPr>
          <w:b/>
          <w:u w:val="single"/>
        </w:rPr>
      </w:pPr>
      <w:r w:rsidRPr="00504735">
        <w:rPr>
          <w:b/>
          <w:u w:val="single"/>
        </w:rPr>
        <w:t>Obecná ustanovení</w:t>
      </w:r>
    </w:p>
    <w:p w14:paraId="1525CBA8" w14:textId="77777777" w:rsidR="009B628A" w:rsidRPr="00504735" w:rsidRDefault="009B628A" w:rsidP="00504735">
      <w:pPr>
        <w:pStyle w:val="Odstavecseseznamem"/>
        <w:numPr>
          <w:ilvl w:val="0"/>
          <w:numId w:val="34"/>
        </w:numPr>
        <w:tabs>
          <w:tab w:val="left" w:pos="714"/>
        </w:tabs>
        <w:spacing w:before="60"/>
        <w:ind w:left="714" w:hanging="357"/>
        <w:jc w:val="both"/>
      </w:pPr>
      <w:r w:rsidRPr="00504735">
        <w:t>Vyrovnávací platbu lze poskytnout organizaci jen na ty činnosti, které jsou vymezené v pověření závazkem veřejné služby dle Smlouvy o závazku veřejné služby a vyrovnávací platbě za jeho výkon (dále také „činnosti“).</w:t>
      </w:r>
    </w:p>
    <w:p w14:paraId="6602B070" w14:textId="77777777" w:rsidR="009B628A" w:rsidRPr="00504735" w:rsidRDefault="009B628A" w:rsidP="00504735">
      <w:pPr>
        <w:pStyle w:val="Odstavecseseznamem"/>
        <w:numPr>
          <w:ilvl w:val="0"/>
          <w:numId w:val="34"/>
        </w:numPr>
        <w:tabs>
          <w:tab w:val="left" w:pos="714"/>
        </w:tabs>
        <w:spacing w:before="60"/>
        <w:ind w:left="714" w:hanging="357"/>
        <w:jc w:val="both"/>
      </w:pPr>
      <w:r w:rsidRPr="00504735">
        <w:t>Účetnictví organizace musí být vedeno způsobem, který jednoznačně oddělí náklady a výnosy činností, které zakládají možnost vyrovnávací platby spojené s plněním závazku veřejné služby, od ostatních činností. Na takové činnosti nemůže být vyrovnávací platba vztahována.</w:t>
      </w:r>
    </w:p>
    <w:p w14:paraId="1037B2AD" w14:textId="77777777" w:rsidR="009B628A" w:rsidRPr="00504735" w:rsidRDefault="009B628A" w:rsidP="00504735">
      <w:pPr>
        <w:pStyle w:val="Odstavecseseznamem"/>
        <w:numPr>
          <w:ilvl w:val="0"/>
          <w:numId w:val="34"/>
        </w:numPr>
        <w:tabs>
          <w:tab w:val="left" w:pos="714"/>
        </w:tabs>
        <w:spacing w:before="60"/>
        <w:ind w:left="714" w:hanging="357"/>
        <w:jc w:val="both"/>
      </w:pPr>
      <w:r w:rsidRPr="00504735">
        <w:t xml:space="preserve">Příslušné orgány kraje mohou stanovit na každý rok strop pro vyrovnávací platbu jak </w:t>
      </w:r>
      <w:proofErr w:type="gramStart"/>
      <w:r w:rsidRPr="00504735">
        <w:t>provozního</w:t>
      </w:r>
      <w:proofErr w:type="gramEnd"/>
      <w:r w:rsidRPr="00504735">
        <w:t xml:space="preserve"> tak investičního charakteru, který vyjadřuje skutečnou výši, kterou organizace může obdržet a který může být nižší, než je výše maximální povolené vyrovnávací platby. Při stanovení tohoto stropu vyrovnávací platby vychází kraj z možností rozpočtu. Vyrovnávací platba může být stanovena i v nulové výši.</w:t>
      </w:r>
    </w:p>
    <w:p w14:paraId="43CE3F3C" w14:textId="77777777" w:rsidR="009B628A" w:rsidRPr="00504735" w:rsidRDefault="009B628A" w:rsidP="00504735">
      <w:pPr>
        <w:pStyle w:val="Odstavecseseznamem"/>
        <w:numPr>
          <w:ilvl w:val="0"/>
          <w:numId w:val="34"/>
        </w:numPr>
        <w:tabs>
          <w:tab w:val="left" w:pos="714"/>
        </w:tabs>
        <w:spacing w:before="60"/>
        <w:ind w:left="714" w:hanging="357"/>
        <w:jc w:val="both"/>
      </w:pPr>
      <w:r w:rsidRPr="00504735">
        <w:t>Za každý kalendářní rok bude ze strany zřizovatele prováděna kontrola skutečných nákladů a výnosů u činností, vyplývajících z plnění závazku veřejné služby, a prověřována oprávněnost výše nárokované vyrovnávací platby za daný kalendářní rok.</w:t>
      </w:r>
    </w:p>
    <w:p w14:paraId="5A5CB6F7" w14:textId="77777777" w:rsidR="009B628A" w:rsidRPr="00504735" w:rsidRDefault="009B628A" w:rsidP="00504735">
      <w:pPr>
        <w:pStyle w:val="Odstavecseseznamem"/>
        <w:numPr>
          <w:ilvl w:val="0"/>
          <w:numId w:val="34"/>
        </w:numPr>
        <w:tabs>
          <w:tab w:val="left" w:pos="714"/>
        </w:tabs>
        <w:spacing w:before="60"/>
        <w:ind w:left="714" w:hanging="357"/>
        <w:jc w:val="both"/>
      </w:pPr>
      <w:r w:rsidRPr="00504735">
        <w:t>Vyúčtování vyrovnávací platby bude zřizovateli předloženo nejpozději do 31. 5. následujícího roku.</w:t>
      </w:r>
    </w:p>
    <w:p w14:paraId="31E3F73A" w14:textId="77777777" w:rsidR="009B628A" w:rsidRPr="00504735" w:rsidRDefault="009B628A" w:rsidP="00504735">
      <w:pPr>
        <w:pStyle w:val="Odstavecseseznamem"/>
        <w:numPr>
          <w:ilvl w:val="0"/>
          <w:numId w:val="34"/>
        </w:numPr>
        <w:tabs>
          <w:tab w:val="left" w:pos="714"/>
        </w:tabs>
        <w:spacing w:before="60"/>
        <w:ind w:left="714" w:hanging="357"/>
        <w:jc w:val="both"/>
      </w:pPr>
      <w:r w:rsidRPr="00504735">
        <w:rPr>
          <w:rFonts w:eastAsia="Calibri"/>
        </w:rPr>
        <w:t xml:space="preserve">Rozdíly mezi skutečnými uznatelnými náklady a zdroji jednotlivých služeb jsou následně </w:t>
      </w:r>
      <w:r w:rsidRPr="00504735">
        <w:t>posuzovány</w:t>
      </w:r>
      <w:r w:rsidRPr="00504735">
        <w:rPr>
          <w:rFonts w:eastAsia="Calibri"/>
        </w:rPr>
        <w:t xml:space="preserve"> společně v rámci jednoho pověřovacího aktu (za jednoho poskytovatele). V případě, že je rozdíl mezi náklady a zdroji kladný i v rámci společného posouzení, jedná se o nadměrnou vyrovnávací platbu a poskytovatel je povinen rozdíl vrátit zpět do rozpočtu pověřovatele, tzn. Moravskoslezského kraje.</w:t>
      </w:r>
    </w:p>
    <w:p w14:paraId="11902937" w14:textId="77777777" w:rsidR="009B628A" w:rsidRPr="00504735" w:rsidRDefault="009B628A" w:rsidP="006B1BB5">
      <w:pPr>
        <w:pStyle w:val="Odstavecseseznamem"/>
        <w:numPr>
          <w:ilvl w:val="0"/>
          <w:numId w:val="32"/>
        </w:numPr>
        <w:spacing w:before="240"/>
        <w:ind w:left="357" w:hanging="357"/>
        <w:jc w:val="both"/>
        <w:rPr>
          <w:b/>
          <w:u w:val="single"/>
        </w:rPr>
      </w:pPr>
      <w:r w:rsidRPr="00504735">
        <w:rPr>
          <w:b/>
          <w:u w:val="single"/>
        </w:rPr>
        <w:t xml:space="preserve">Provozní část </w:t>
      </w:r>
    </w:p>
    <w:p w14:paraId="6289DED9" w14:textId="77777777" w:rsidR="009B628A" w:rsidRPr="00504735" w:rsidRDefault="009B628A" w:rsidP="00504735">
      <w:pPr>
        <w:pStyle w:val="Odstavecseseznamem"/>
        <w:numPr>
          <w:ilvl w:val="0"/>
          <w:numId w:val="35"/>
        </w:numPr>
        <w:tabs>
          <w:tab w:val="left" w:pos="714"/>
        </w:tabs>
        <w:spacing w:before="60"/>
        <w:ind w:left="714" w:hanging="357"/>
        <w:jc w:val="both"/>
      </w:pPr>
      <w:r w:rsidRPr="00504735">
        <w:t>Východiskem pro stanovení výše vyrovnávací platby za příslušný kalendářní rok je zpracovaný plán hospodaření nemocnice v rozsahu závazku veřejné služby.</w:t>
      </w:r>
    </w:p>
    <w:p w14:paraId="5E3709B1" w14:textId="77777777" w:rsidR="009B628A" w:rsidRPr="00504735" w:rsidRDefault="009B628A" w:rsidP="00504735">
      <w:pPr>
        <w:pStyle w:val="Odstavecseseznamem"/>
        <w:numPr>
          <w:ilvl w:val="0"/>
          <w:numId w:val="35"/>
        </w:numPr>
        <w:tabs>
          <w:tab w:val="left" w:pos="714"/>
        </w:tabs>
        <w:spacing w:before="60"/>
        <w:ind w:left="714" w:hanging="357"/>
        <w:jc w:val="both"/>
      </w:pPr>
      <w:r w:rsidRPr="00504735">
        <w:t>Kalkulačním podkladem každé organizace je plánovaný Výkaz zisku a ztráty (VZZ) vztažený na plnění závazku veřejné služby.</w:t>
      </w:r>
    </w:p>
    <w:p w14:paraId="007BA37F" w14:textId="77777777" w:rsidR="009B628A" w:rsidRPr="00504735" w:rsidRDefault="009B628A" w:rsidP="00504735">
      <w:pPr>
        <w:pStyle w:val="Odstavecseseznamem"/>
        <w:numPr>
          <w:ilvl w:val="0"/>
          <w:numId w:val="35"/>
        </w:numPr>
        <w:tabs>
          <w:tab w:val="left" w:pos="714"/>
        </w:tabs>
        <w:spacing w:before="60"/>
        <w:ind w:left="714" w:hanging="357"/>
        <w:jc w:val="both"/>
        <w:rPr>
          <w:b/>
        </w:rPr>
      </w:pPr>
      <w:r w:rsidRPr="00504735">
        <w:t>Kalkulační vzorec a náplň položek pro výpočet vyrovnávací platby provozního charakteru:</w:t>
      </w:r>
    </w:p>
    <w:p w14:paraId="223BEA99" w14:textId="77777777" w:rsidR="009B628A" w:rsidRPr="00504735" w:rsidRDefault="009B628A" w:rsidP="006B1BB5">
      <w:pPr>
        <w:spacing w:before="120" w:after="120"/>
        <w:ind w:left="357"/>
        <w:jc w:val="center"/>
        <w:rPr>
          <w:b/>
        </w:rPr>
      </w:pPr>
      <w:r w:rsidRPr="00504735">
        <w:rPr>
          <w:b/>
        </w:rPr>
        <w:t xml:space="preserve">VPP = </w:t>
      </w:r>
      <w:proofErr w:type="gramStart"/>
      <w:r w:rsidRPr="00504735">
        <w:rPr>
          <w:b/>
        </w:rPr>
        <w:t>NČ - VČ</w:t>
      </w:r>
      <w:proofErr w:type="gramEnd"/>
    </w:p>
    <w:p w14:paraId="6FA3B08B" w14:textId="77777777" w:rsidR="009B628A" w:rsidRPr="00504735" w:rsidRDefault="009B628A" w:rsidP="00504735">
      <w:pPr>
        <w:ind w:left="714"/>
        <w:jc w:val="both"/>
      </w:pPr>
      <w:r w:rsidRPr="00504735">
        <w:t>kde:</w:t>
      </w:r>
    </w:p>
    <w:p w14:paraId="75B8BC57" w14:textId="77777777" w:rsidR="009B628A" w:rsidRPr="00504735" w:rsidRDefault="009B628A" w:rsidP="00504735">
      <w:pPr>
        <w:tabs>
          <w:tab w:val="left" w:pos="1701"/>
        </w:tabs>
        <w:spacing w:before="120"/>
        <w:ind w:left="714"/>
        <w:jc w:val="both"/>
      </w:pPr>
      <w:r w:rsidRPr="00504735">
        <w:rPr>
          <w:b/>
        </w:rPr>
        <w:lastRenderedPageBreak/>
        <w:t>VPP</w:t>
      </w:r>
      <w:r w:rsidRPr="00504735">
        <w:tab/>
        <w:t>maximální povolená vyrovnávací platba pro provozní část</w:t>
      </w:r>
    </w:p>
    <w:p w14:paraId="4B1E5728" w14:textId="77777777" w:rsidR="009B628A" w:rsidRPr="00504735" w:rsidRDefault="009B628A" w:rsidP="00504735">
      <w:pPr>
        <w:tabs>
          <w:tab w:val="left" w:pos="1701"/>
        </w:tabs>
        <w:ind w:left="714"/>
        <w:jc w:val="both"/>
      </w:pPr>
      <w:r w:rsidRPr="00504735">
        <w:rPr>
          <w:b/>
        </w:rPr>
        <w:t>NČ</w:t>
      </w:r>
      <w:r w:rsidRPr="00504735">
        <w:tab/>
        <w:t>náklady z činností v rámci závazku veřejné služby</w:t>
      </w:r>
    </w:p>
    <w:p w14:paraId="6602759E" w14:textId="77777777" w:rsidR="009B628A" w:rsidRPr="00504735" w:rsidRDefault="009B628A" w:rsidP="00504735">
      <w:pPr>
        <w:tabs>
          <w:tab w:val="left" w:pos="1701"/>
        </w:tabs>
        <w:ind w:left="714"/>
        <w:jc w:val="both"/>
      </w:pPr>
      <w:r w:rsidRPr="00504735">
        <w:rPr>
          <w:b/>
        </w:rPr>
        <w:t>VČ</w:t>
      </w:r>
      <w:r w:rsidRPr="00504735">
        <w:tab/>
        <w:t>výnosy z činností v rámci závazku veřejné služby</w:t>
      </w:r>
    </w:p>
    <w:p w14:paraId="0767114F" w14:textId="77777777" w:rsidR="009B628A" w:rsidRPr="00504735" w:rsidRDefault="009B628A" w:rsidP="00504735">
      <w:pPr>
        <w:spacing w:before="120"/>
        <w:ind w:left="714"/>
        <w:jc w:val="both"/>
      </w:pPr>
      <w:r w:rsidRPr="00504735">
        <w:t>Náplň výše uvedených položek:</w:t>
      </w:r>
    </w:p>
    <w:p w14:paraId="180FAE30" w14:textId="77777777" w:rsidR="009B628A" w:rsidRPr="00504735" w:rsidRDefault="009B628A" w:rsidP="00504735">
      <w:pPr>
        <w:spacing w:before="120"/>
        <w:ind w:left="714"/>
        <w:jc w:val="both"/>
      </w:pPr>
      <w:r w:rsidRPr="00504735">
        <w:rPr>
          <w:b/>
        </w:rPr>
        <w:t xml:space="preserve">Náklady z činností v rámci závazku veřejné služby. </w:t>
      </w:r>
      <w:r w:rsidRPr="00504735">
        <w:t>Do nákladů činnosti jsou zahrnuty ty nákladové položky, které se vztahují k plnění závazku veřejné služby. Do výpočtu vyrovnávací platby lze zahrnovat pouze náklady vzniklé od okamžiku pověření. Náklady činnosti zahrnují zejména spotřebu materiálu, osobní náklady ad.</w:t>
      </w:r>
    </w:p>
    <w:p w14:paraId="2C9A1A8A" w14:textId="77777777" w:rsidR="009B628A" w:rsidRPr="00504735" w:rsidRDefault="009B628A" w:rsidP="00504735">
      <w:pPr>
        <w:spacing w:before="120"/>
        <w:ind w:left="714"/>
        <w:jc w:val="both"/>
      </w:pPr>
      <w:r w:rsidRPr="00504735">
        <w:rPr>
          <w:b/>
        </w:rPr>
        <w:t>Výnosy z činností v rámci závazku veřejné služby</w:t>
      </w:r>
      <w:r w:rsidRPr="00504735">
        <w:t xml:space="preserve"> se rozumí veškeré výnosy z poskytování služeb v rámci závazku veřejné služby. Zahrnují zejména tržby za vlastní výkony a za zboží, aktivace, ad. Do výnosů se pro účely výpočtu vyrovnávací platby započítává i navýšení základního kapitálu.</w:t>
      </w:r>
    </w:p>
    <w:p w14:paraId="2EF8F554" w14:textId="77777777" w:rsidR="009B628A" w:rsidRPr="00504735" w:rsidRDefault="009B628A" w:rsidP="00504735">
      <w:pPr>
        <w:tabs>
          <w:tab w:val="left" w:pos="714"/>
        </w:tabs>
        <w:spacing w:before="60"/>
        <w:ind w:left="357"/>
        <w:jc w:val="both"/>
      </w:pPr>
    </w:p>
    <w:p w14:paraId="1FE85F26" w14:textId="77777777" w:rsidR="009B628A" w:rsidRPr="00504735" w:rsidRDefault="009B628A" w:rsidP="00504735">
      <w:pPr>
        <w:pStyle w:val="Odstavecseseznamem"/>
        <w:numPr>
          <w:ilvl w:val="0"/>
          <w:numId w:val="35"/>
        </w:numPr>
        <w:tabs>
          <w:tab w:val="left" w:pos="714"/>
        </w:tabs>
        <w:spacing w:before="60"/>
        <w:ind w:left="714" w:hanging="357"/>
        <w:jc w:val="both"/>
      </w:pPr>
      <w:r w:rsidRPr="00504735">
        <w:t>Na základě plánové kalkulace v rozsahu VZZ za příslušný kalendářní rok dle výše uvedeného lze přistoupit k úhradě zálohových plateb v průběhu kalendářního roku.</w:t>
      </w:r>
    </w:p>
    <w:p w14:paraId="30970128" w14:textId="77777777" w:rsidR="009B628A" w:rsidRPr="00504735" w:rsidRDefault="009B628A" w:rsidP="00504735">
      <w:pPr>
        <w:pStyle w:val="Odstavecseseznamem"/>
        <w:numPr>
          <w:ilvl w:val="0"/>
          <w:numId w:val="35"/>
        </w:numPr>
        <w:tabs>
          <w:tab w:val="left" w:pos="714"/>
        </w:tabs>
        <w:spacing w:before="60"/>
        <w:ind w:left="714" w:hanging="357"/>
        <w:jc w:val="both"/>
      </w:pPr>
      <w:r w:rsidRPr="00504735">
        <w:t>K vyúčtování vyrovnávací platby dochází na základě skutečného vyhodnocení hospodaření organizace dle VZZ za příslušný kalendářní rok ve stejné struktuře položek, v jaké byla sestavena kalkulace plánová.</w:t>
      </w:r>
    </w:p>
    <w:p w14:paraId="2C1438E5" w14:textId="77777777" w:rsidR="009B628A" w:rsidRPr="00504735" w:rsidRDefault="009B628A" w:rsidP="00504735">
      <w:pPr>
        <w:pStyle w:val="Odstavecseseznamem"/>
        <w:numPr>
          <w:ilvl w:val="0"/>
          <w:numId w:val="35"/>
        </w:numPr>
        <w:tabs>
          <w:tab w:val="left" w:pos="714"/>
        </w:tabs>
        <w:spacing w:before="60"/>
        <w:ind w:left="714" w:hanging="357"/>
        <w:jc w:val="both"/>
      </w:pPr>
      <w:r w:rsidRPr="00504735">
        <w:t>Příslušné orgány kraje mohou stanovit účel, na který bude vyrovnávací platba provozního charakteru použita.</w:t>
      </w:r>
    </w:p>
    <w:p w14:paraId="1ED7691C" w14:textId="77777777" w:rsidR="009B628A" w:rsidRPr="00504735" w:rsidRDefault="009B628A" w:rsidP="006B1BB5">
      <w:pPr>
        <w:pStyle w:val="Odstavecseseznamem"/>
        <w:numPr>
          <w:ilvl w:val="0"/>
          <w:numId w:val="32"/>
        </w:numPr>
        <w:spacing w:before="240"/>
        <w:ind w:left="357" w:hanging="357"/>
        <w:jc w:val="both"/>
        <w:rPr>
          <w:b/>
          <w:u w:val="single"/>
        </w:rPr>
      </w:pPr>
      <w:r w:rsidRPr="00504735">
        <w:rPr>
          <w:b/>
          <w:u w:val="single"/>
        </w:rPr>
        <w:t xml:space="preserve">Investiční část </w:t>
      </w:r>
    </w:p>
    <w:p w14:paraId="48E80853" w14:textId="77777777" w:rsidR="009B628A" w:rsidRPr="00504735" w:rsidRDefault="009B628A" w:rsidP="00504735">
      <w:pPr>
        <w:pStyle w:val="Odstavecseseznamem"/>
        <w:numPr>
          <w:ilvl w:val="0"/>
          <w:numId w:val="36"/>
        </w:numPr>
        <w:tabs>
          <w:tab w:val="left" w:pos="714"/>
        </w:tabs>
        <w:spacing w:before="120"/>
        <w:ind w:left="714" w:hanging="357"/>
        <w:jc w:val="both"/>
      </w:pPr>
      <w:r w:rsidRPr="00504735">
        <w:t>Finanční podpora investičního charakteru vychází z potřebnosti investic na příslušný kalendářní rok, z finančních plánů organizace pro investiční část.</w:t>
      </w:r>
    </w:p>
    <w:p w14:paraId="089437FD" w14:textId="77777777" w:rsidR="009B628A" w:rsidRPr="00504735" w:rsidRDefault="009B628A" w:rsidP="00504735">
      <w:pPr>
        <w:pStyle w:val="Odstavecseseznamem"/>
        <w:numPr>
          <w:ilvl w:val="0"/>
          <w:numId w:val="36"/>
        </w:numPr>
        <w:tabs>
          <w:tab w:val="left" w:pos="714"/>
        </w:tabs>
        <w:spacing w:before="120"/>
        <w:ind w:left="714" w:hanging="357"/>
        <w:jc w:val="both"/>
      </w:pPr>
      <w:r w:rsidRPr="00504735">
        <w:t>Pro stanovení potřebnosti investic organizace vyhotoví minimálně na každý rok plán investic.</w:t>
      </w:r>
    </w:p>
    <w:p w14:paraId="3934A49A" w14:textId="77777777" w:rsidR="009B628A" w:rsidRPr="00504735" w:rsidRDefault="009B628A" w:rsidP="00504735">
      <w:pPr>
        <w:pStyle w:val="Odstavecseseznamem"/>
        <w:numPr>
          <w:ilvl w:val="0"/>
          <w:numId w:val="36"/>
        </w:numPr>
        <w:tabs>
          <w:tab w:val="left" w:pos="714"/>
        </w:tabs>
        <w:spacing w:before="120"/>
        <w:ind w:left="714" w:hanging="357"/>
        <w:jc w:val="both"/>
      </w:pPr>
      <w:r w:rsidRPr="00504735">
        <w:t>Při stanovení oprávněné podpory investičního charakteru musí být oddělen případný komerční podíl na investici. V případě účelu investice mimo rozsah závazku veřejné služby nárok na podporu nenáleží, tato investice musí být kryta výhradně vlastními zdroji.</w:t>
      </w:r>
    </w:p>
    <w:p w14:paraId="339B6A8F" w14:textId="77777777" w:rsidR="009B628A" w:rsidRPr="00504735" w:rsidRDefault="009B628A" w:rsidP="00504735">
      <w:pPr>
        <w:pStyle w:val="Odstavecseseznamem"/>
        <w:numPr>
          <w:ilvl w:val="0"/>
          <w:numId w:val="36"/>
        </w:numPr>
        <w:tabs>
          <w:tab w:val="left" w:pos="714"/>
        </w:tabs>
        <w:spacing w:before="120"/>
        <w:ind w:left="714" w:hanging="357"/>
        <w:jc w:val="both"/>
      </w:pPr>
      <w:r w:rsidRPr="00504735">
        <w:rPr>
          <w:rFonts w:eastAsia="Calibri"/>
        </w:rPr>
        <w:t>Náklady spojené s investicemi mohou být zohledněny, pokud jsou nezbytné pro provozování služeb obecného hospodářského zájmu.</w:t>
      </w:r>
    </w:p>
    <w:p w14:paraId="6C53B5C8" w14:textId="77777777" w:rsidR="009B628A" w:rsidRPr="00504735" w:rsidRDefault="009B628A" w:rsidP="006B1BB5">
      <w:pPr>
        <w:pStyle w:val="Odstavecseseznamem"/>
        <w:numPr>
          <w:ilvl w:val="0"/>
          <w:numId w:val="32"/>
        </w:numPr>
        <w:spacing w:before="240"/>
        <w:ind w:left="357" w:hanging="357"/>
        <w:jc w:val="both"/>
        <w:rPr>
          <w:b/>
          <w:u w:val="single"/>
        </w:rPr>
      </w:pPr>
      <w:r w:rsidRPr="00504735">
        <w:rPr>
          <w:b/>
          <w:u w:val="single"/>
        </w:rPr>
        <w:t>Nefinanční podpora</w:t>
      </w:r>
    </w:p>
    <w:p w14:paraId="62719E95" w14:textId="77777777" w:rsidR="009B628A" w:rsidRPr="00504735" w:rsidRDefault="009B628A" w:rsidP="00504735">
      <w:pPr>
        <w:pStyle w:val="Odstavecseseznamem"/>
        <w:numPr>
          <w:ilvl w:val="0"/>
          <w:numId w:val="33"/>
        </w:numPr>
        <w:tabs>
          <w:tab w:val="left" w:pos="714"/>
        </w:tabs>
        <w:spacing w:before="120"/>
        <w:ind w:left="714" w:hanging="357"/>
        <w:jc w:val="both"/>
        <w:rPr>
          <w:rFonts w:eastAsia="Calibri"/>
        </w:rPr>
      </w:pPr>
      <w:r w:rsidRPr="00504735">
        <w:rPr>
          <w:rFonts w:eastAsia="Calibri"/>
        </w:rPr>
        <w:t>V rámci vyrovnávací platby musí být posouzeny i poskytnuté podpory nefinanční povahy. Jedná se např. o:</w:t>
      </w:r>
    </w:p>
    <w:p w14:paraId="3BDDADBE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t>Pronájem nemovitosti za symbolický příspěvek (výhoda pro poskytovatele zdravotní služby ve formě nájmu za nižší cenu, než jaká je v tržních podmínkách) či umožnění bezplatného využití,</w:t>
      </w:r>
    </w:p>
    <w:p w14:paraId="425F3647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t>Pronájem movité věci za symbolický příspěvek, či umožnění bezplatného využití (např. automobilu),</w:t>
      </w:r>
    </w:p>
    <w:p w14:paraId="59B21CFB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t>Bezplatné školení či školení za symbolickou částku,</w:t>
      </w:r>
    </w:p>
    <w:p w14:paraId="210EA533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t>Bezúročné návratné finanční výpomoci (půjčky),</w:t>
      </w:r>
    </w:p>
    <w:p w14:paraId="49E44B1A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t>Darování movité či nemovité věci,</w:t>
      </w:r>
    </w:p>
    <w:p w14:paraId="5621F96A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lastRenderedPageBreak/>
        <w:t>Úhrada služeb za poskytovatele zdravotní služby (např. za energie, nájem),</w:t>
      </w:r>
    </w:p>
    <w:p w14:paraId="706A3098" w14:textId="77777777" w:rsidR="009B628A" w:rsidRPr="00504735" w:rsidRDefault="009B628A" w:rsidP="00504735">
      <w:pPr>
        <w:numPr>
          <w:ilvl w:val="0"/>
          <w:numId w:val="31"/>
        </w:numPr>
        <w:tabs>
          <w:tab w:val="left" w:pos="1072"/>
        </w:tabs>
        <w:spacing w:before="60"/>
        <w:ind w:left="1071" w:hanging="357"/>
        <w:jc w:val="both"/>
        <w:rPr>
          <w:rFonts w:eastAsia="Calibri"/>
          <w:color w:val="000000"/>
        </w:rPr>
      </w:pPr>
      <w:r w:rsidRPr="00504735">
        <w:rPr>
          <w:rFonts w:eastAsia="Calibri"/>
          <w:color w:val="000000"/>
        </w:rPr>
        <w:t>Jiné zvýhodnění, zvláštní či výlučná práva přiznaná poskytovateli zdravotních služeb dle Rozhodnutí.</w:t>
      </w:r>
    </w:p>
    <w:p w14:paraId="34D7364C" w14:textId="77777777" w:rsidR="009B628A" w:rsidRPr="00504735" w:rsidRDefault="009B628A" w:rsidP="00504735">
      <w:pPr>
        <w:pStyle w:val="Odstavecseseznamem"/>
        <w:numPr>
          <w:ilvl w:val="0"/>
          <w:numId w:val="33"/>
        </w:numPr>
        <w:tabs>
          <w:tab w:val="left" w:pos="714"/>
        </w:tabs>
        <w:spacing w:before="120"/>
        <w:ind w:left="714" w:hanging="357"/>
        <w:jc w:val="both"/>
        <w:rPr>
          <w:rFonts w:eastAsia="Calibri"/>
        </w:rPr>
      </w:pPr>
      <w:r w:rsidRPr="00504735">
        <w:rPr>
          <w:rFonts w:eastAsia="Calibri"/>
        </w:rPr>
        <w:t xml:space="preserve">Do režimu vyrovnávací platby musí být tato nefinanční podpora </w:t>
      </w:r>
      <w:proofErr w:type="gramStart"/>
      <w:r w:rsidRPr="00504735">
        <w:rPr>
          <w:rFonts w:eastAsia="Calibri"/>
        </w:rPr>
        <w:t>zařazena</w:t>
      </w:r>
      <w:proofErr w:type="gramEnd"/>
      <w:r w:rsidRPr="00504735">
        <w:rPr>
          <w:rFonts w:eastAsia="Calibri"/>
        </w:rPr>
        <w:t xml:space="preserve"> a to ve výši, která odpovídá rozdílu mezi objemem finančních prostředků, který by poskytovatel musel vynaložit za získání předmětné služby (materiálu, nemovitosti atp.) za tržních podmínek v místě a čase obvyklých a objemem finančních prostředků, které vynaložil při poskytované veřejné podpoře (např. symbolická částka, zvýhodněná částka, nebo zcela bezplatně).</w:t>
      </w:r>
    </w:p>
    <w:p w14:paraId="3F4ADDD9" w14:textId="77777777" w:rsidR="009B628A" w:rsidRPr="00504735" w:rsidRDefault="009B628A" w:rsidP="00504735">
      <w:pPr>
        <w:pStyle w:val="Odstavecseseznamem"/>
        <w:numPr>
          <w:ilvl w:val="0"/>
          <w:numId w:val="33"/>
        </w:numPr>
        <w:tabs>
          <w:tab w:val="left" w:pos="714"/>
        </w:tabs>
        <w:spacing w:before="120"/>
        <w:ind w:left="714" w:hanging="357"/>
        <w:jc w:val="both"/>
        <w:rPr>
          <w:rFonts w:eastAsia="Calibri"/>
        </w:rPr>
      </w:pPr>
      <w:r w:rsidRPr="00504735">
        <w:rPr>
          <w:rFonts w:eastAsia="Calibri"/>
        </w:rPr>
        <w:t>Tato nefinanční podpora je považována za oprávněnou, je-li plně využita pro provozování služeb vymezených v pověření. Nesmí být zároveň využita i jiné aktivity poskytovatele (např. nelze považovat za oprávněnou podporu, pokud v části darované nemovitosti je poskytována či využívána ke školení jiných osob, jako konferenční prostory, k provozování jiných aktivit než služby vymezené v pověření).</w:t>
      </w:r>
    </w:p>
    <w:p w14:paraId="362D9850" w14:textId="77777777" w:rsidR="009B628A" w:rsidRPr="00504735" w:rsidRDefault="009B628A" w:rsidP="00504735">
      <w:pPr>
        <w:pStyle w:val="Odstavecseseznamem"/>
        <w:numPr>
          <w:ilvl w:val="0"/>
          <w:numId w:val="33"/>
        </w:numPr>
        <w:tabs>
          <w:tab w:val="left" w:pos="714"/>
        </w:tabs>
        <w:spacing w:before="120"/>
        <w:ind w:left="714" w:hanging="357"/>
        <w:jc w:val="both"/>
      </w:pPr>
      <w:r w:rsidRPr="00504735">
        <w:rPr>
          <w:rFonts w:eastAsia="Calibri"/>
        </w:rPr>
        <w:t xml:space="preserve">Oprávněná nefinanční podpora musí být připojena k výpočtu vyrovnávací platby a vykazována při posouzení vyrovnávací platby. Jedná-li se o nefinanční podporu </w:t>
      </w:r>
      <w:r w:rsidRPr="00504735">
        <w:rPr>
          <w:rFonts w:eastAsia="Calibri"/>
          <w:b/>
        </w:rPr>
        <w:t>investiční povahy</w:t>
      </w:r>
      <w:r w:rsidRPr="00504735">
        <w:rPr>
          <w:rFonts w:eastAsia="Calibri"/>
        </w:rPr>
        <w:t xml:space="preserve">, bude posuzována její oprávněnost obdobně jako u investičních nákladů služby dle bodu 3 této přílohy. Jedná-li se o nefinanční podporu </w:t>
      </w:r>
      <w:r w:rsidRPr="00504735">
        <w:rPr>
          <w:rFonts w:eastAsia="Calibri"/>
          <w:b/>
        </w:rPr>
        <w:t>provozní povahy</w:t>
      </w:r>
      <w:r w:rsidRPr="00504735">
        <w:rPr>
          <w:rFonts w:eastAsia="Calibri"/>
        </w:rPr>
        <w:t>, bude posuzována její oprávněnost obdobně jako u provozních nákladů služby dle bodu 2 této přílohy.</w:t>
      </w:r>
    </w:p>
    <w:p w14:paraId="766F8DF3" w14:textId="77777777" w:rsidR="009B628A" w:rsidRPr="00B83D38" w:rsidRDefault="009B628A" w:rsidP="00504735">
      <w:pPr>
        <w:ind w:left="720"/>
      </w:pPr>
    </w:p>
    <w:sectPr w:rsidR="009B628A" w:rsidRPr="00B83D38" w:rsidSect="003B1DFB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C7A2" w14:textId="77777777" w:rsidR="00055966" w:rsidRDefault="00055966">
      <w:r>
        <w:separator/>
      </w:r>
    </w:p>
  </w:endnote>
  <w:endnote w:type="continuationSeparator" w:id="0">
    <w:p w14:paraId="4632118F" w14:textId="77777777" w:rsidR="00055966" w:rsidRDefault="000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EC25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AF0CF9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BE0A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2B9C">
      <w:rPr>
        <w:rStyle w:val="slostrnky"/>
        <w:noProof/>
      </w:rPr>
      <w:t>5</w:t>
    </w:r>
    <w:r>
      <w:rPr>
        <w:rStyle w:val="slostrnky"/>
      </w:rPr>
      <w:fldChar w:fldCharType="end"/>
    </w:r>
  </w:p>
  <w:p w14:paraId="66283B34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59E6" w14:textId="77777777" w:rsidR="00055966" w:rsidRDefault="00055966">
      <w:r>
        <w:separator/>
      </w:r>
    </w:p>
  </w:footnote>
  <w:footnote w:type="continuationSeparator" w:id="0">
    <w:p w14:paraId="76870120" w14:textId="77777777" w:rsidR="00055966" w:rsidRDefault="0005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9E2937"/>
    <w:multiLevelType w:val="hybridMultilevel"/>
    <w:tmpl w:val="964663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1884DC0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5D6777"/>
    <w:multiLevelType w:val="hybridMultilevel"/>
    <w:tmpl w:val="0C78A3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1884DC0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342AA"/>
    <w:multiLevelType w:val="hybridMultilevel"/>
    <w:tmpl w:val="63146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368A"/>
    <w:multiLevelType w:val="hybridMultilevel"/>
    <w:tmpl w:val="A16071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1884DC0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573C8"/>
    <w:multiLevelType w:val="hybridMultilevel"/>
    <w:tmpl w:val="5F628E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210F4"/>
    <w:multiLevelType w:val="hybridMultilevel"/>
    <w:tmpl w:val="71F2C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04B77F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5"/>
  </w:num>
  <w:num w:numId="4">
    <w:abstractNumId w:val="7"/>
  </w:num>
  <w:num w:numId="5">
    <w:abstractNumId w:val="26"/>
  </w:num>
  <w:num w:numId="6">
    <w:abstractNumId w:val="18"/>
  </w:num>
  <w:num w:numId="7">
    <w:abstractNumId w:val="21"/>
  </w:num>
  <w:num w:numId="8">
    <w:abstractNumId w:val="2"/>
  </w:num>
  <w:num w:numId="9">
    <w:abstractNumId w:val="4"/>
  </w:num>
  <w:num w:numId="10">
    <w:abstractNumId w:val="32"/>
  </w:num>
  <w:num w:numId="11">
    <w:abstractNumId w:val="30"/>
  </w:num>
  <w:num w:numId="12">
    <w:abstractNumId w:val="13"/>
  </w:num>
  <w:num w:numId="13">
    <w:abstractNumId w:val="20"/>
  </w:num>
  <w:num w:numId="14">
    <w:abstractNumId w:val="14"/>
  </w:num>
  <w:num w:numId="15">
    <w:abstractNumId w:val="27"/>
  </w:num>
  <w:num w:numId="16">
    <w:abstractNumId w:val="5"/>
  </w:num>
  <w:num w:numId="17">
    <w:abstractNumId w:val="28"/>
  </w:num>
  <w:num w:numId="18">
    <w:abstractNumId w:val="0"/>
  </w:num>
  <w:num w:numId="19">
    <w:abstractNumId w:val="24"/>
  </w:num>
  <w:num w:numId="20">
    <w:abstractNumId w:val="22"/>
  </w:num>
  <w:num w:numId="21">
    <w:abstractNumId w:val="34"/>
  </w:num>
  <w:num w:numId="22">
    <w:abstractNumId w:val="17"/>
  </w:num>
  <w:num w:numId="23">
    <w:abstractNumId w:val="31"/>
  </w:num>
  <w:num w:numId="2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9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23"/>
  </w:num>
  <w:num w:numId="33">
    <w:abstractNumId w:val="16"/>
  </w:num>
  <w:num w:numId="34">
    <w:abstractNumId w:val="6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15AFB"/>
    <w:rsid w:val="0002595A"/>
    <w:rsid w:val="00034D56"/>
    <w:rsid w:val="00044570"/>
    <w:rsid w:val="000449A0"/>
    <w:rsid w:val="000468A9"/>
    <w:rsid w:val="00055966"/>
    <w:rsid w:val="00064086"/>
    <w:rsid w:val="000679E6"/>
    <w:rsid w:val="00074965"/>
    <w:rsid w:val="00090ECC"/>
    <w:rsid w:val="000918FB"/>
    <w:rsid w:val="000929B0"/>
    <w:rsid w:val="00095050"/>
    <w:rsid w:val="00097A7F"/>
    <w:rsid w:val="000B438F"/>
    <w:rsid w:val="000C42B4"/>
    <w:rsid w:val="000D172C"/>
    <w:rsid w:val="000F044D"/>
    <w:rsid w:val="000F580B"/>
    <w:rsid w:val="000F6143"/>
    <w:rsid w:val="0010636B"/>
    <w:rsid w:val="00112852"/>
    <w:rsid w:val="001208DB"/>
    <w:rsid w:val="00131CC4"/>
    <w:rsid w:val="001373D1"/>
    <w:rsid w:val="001717E6"/>
    <w:rsid w:val="00174C67"/>
    <w:rsid w:val="001841F4"/>
    <w:rsid w:val="001913A5"/>
    <w:rsid w:val="00191538"/>
    <w:rsid w:val="00192BAB"/>
    <w:rsid w:val="00197309"/>
    <w:rsid w:val="001A1421"/>
    <w:rsid w:val="001B6D9A"/>
    <w:rsid w:val="001C22C9"/>
    <w:rsid w:val="001D4787"/>
    <w:rsid w:val="001E5FCD"/>
    <w:rsid w:val="001E7D13"/>
    <w:rsid w:val="001F0041"/>
    <w:rsid w:val="001F71CF"/>
    <w:rsid w:val="00205C64"/>
    <w:rsid w:val="00225517"/>
    <w:rsid w:val="0023229F"/>
    <w:rsid w:val="00237CE9"/>
    <w:rsid w:val="0024574F"/>
    <w:rsid w:val="00275BCF"/>
    <w:rsid w:val="00286662"/>
    <w:rsid w:val="00294433"/>
    <w:rsid w:val="002A272E"/>
    <w:rsid w:val="002A4F1F"/>
    <w:rsid w:val="002C5A79"/>
    <w:rsid w:val="002D4BC6"/>
    <w:rsid w:val="002D591D"/>
    <w:rsid w:val="002E110F"/>
    <w:rsid w:val="002E7A9D"/>
    <w:rsid w:val="00300875"/>
    <w:rsid w:val="00301CD8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2B16"/>
    <w:rsid w:val="003942D6"/>
    <w:rsid w:val="003A08EF"/>
    <w:rsid w:val="003A2B74"/>
    <w:rsid w:val="003B1DFB"/>
    <w:rsid w:val="003B3A56"/>
    <w:rsid w:val="003D20D6"/>
    <w:rsid w:val="003D417D"/>
    <w:rsid w:val="003E541F"/>
    <w:rsid w:val="003F1CB9"/>
    <w:rsid w:val="003F2122"/>
    <w:rsid w:val="00430163"/>
    <w:rsid w:val="0044242A"/>
    <w:rsid w:val="00457080"/>
    <w:rsid w:val="004724F2"/>
    <w:rsid w:val="00480C3E"/>
    <w:rsid w:val="00481CC2"/>
    <w:rsid w:val="00496CF1"/>
    <w:rsid w:val="00497B3F"/>
    <w:rsid w:val="004B15DB"/>
    <w:rsid w:val="004B1FEF"/>
    <w:rsid w:val="004B24AD"/>
    <w:rsid w:val="004D4E5E"/>
    <w:rsid w:val="004D54E9"/>
    <w:rsid w:val="004E2F57"/>
    <w:rsid w:val="00504735"/>
    <w:rsid w:val="005143CE"/>
    <w:rsid w:val="00525769"/>
    <w:rsid w:val="0053369C"/>
    <w:rsid w:val="005365C0"/>
    <w:rsid w:val="00544254"/>
    <w:rsid w:val="00547329"/>
    <w:rsid w:val="00547CC4"/>
    <w:rsid w:val="0058294A"/>
    <w:rsid w:val="0059788D"/>
    <w:rsid w:val="005A66CE"/>
    <w:rsid w:val="005B3CA8"/>
    <w:rsid w:val="005B62A5"/>
    <w:rsid w:val="005D148E"/>
    <w:rsid w:val="005D1ED0"/>
    <w:rsid w:val="005E4B39"/>
    <w:rsid w:val="0060077D"/>
    <w:rsid w:val="00603A2B"/>
    <w:rsid w:val="0060620C"/>
    <w:rsid w:val="00607B6B"/>
    <w:rsid w:val="00621E31"/>
    <w:rsid w:val="00634532"/>
    <w:rsid w:val="00637F5E"/>
    <w:rsid w:val="00647DC0"/>
    <w:rsid w:val="00663D3A"/>
    <w:rsid w:val="006752AF"/>
    <w:rsid w:val="006777EC"/>
    <w:rsid w:val="0068241A"/>
    <w:rsid w:val="006942B4"/>
    <w:rsid w:val="006A1D26"/>
    <w:rsid w:val="006B1BB5"/>
    <w:rsid w:val="006B1C17"/>
    <w:rsid w:val="006C0760"/>
    <w:rsid w:val="006C0933"/>
    <w:rsid w:val="006C1580"/>
    <w:rsid w:val="006C30F5"/>
    <w:rsid w:val="006D29FE"/>
    <w:rsid w:val="006F4A10"/>
    <w:rsid w:val="006F5831"/>
    <w:rsid w:val="006F717F"/>
    <w:rsid w:val="006F78AC"/>
    <w:rsid w:val="00710B2D"/>
    <w:rsid w:val="00721A85"/>
    <w:rsid w:val="00744B63"/>
    <w:rsid w:val="007540A7"/>
    <w:rsid w:val="007744C8"/>
    <w:rsid w:val="00775A1B"/>
    <w:rsid w:val="00781B16"/>
    <w:rsid w:val="007B36A1"/>
    <w:rsid w:val="007C01A0"/>
    <w:rsid w:val="007C3BC1"/>
    <w:rsid w:val="007E6A66"/>
    <w:rsid w:val="007F3D54"/>
    <w:rsid w:val="008018A1"/>
    <w:rsid w:val="00827A74"/>
    <w:rsid w:val="0083179E"/>
    <w:rsid w:val="008364AF"/>
    <w:rsid w:val="00837FCD"/>
    <w:rsid w:val="008505BB"/>
    <w:rsid w:val="008575E0"/>
    <w:rsid w:val="00867694"/>
    <w:rsid w:val="00870BAA"/>
    <w:rsid w:val="00895A69"/>
    <w:rsid w:val="008B4BE9"/>
    <w:rsid w:val="008E1366"/>
    <w:rsid w:val="008F7E22"/>
    <w:rsid w:val="0090323D"/>
    <w:rsid w:val="009205A5"/>
    <w:rsid w:val="00932329"/>
    <w:rsid w:val="00933F20"/>
    <w:rsid w:val="0094669C"/>
    <w:rsid w:val="00964ABF"/>
    <w:rsid w:val="00975FB1"/>
    <w:rsid w:val="00986430"/>
    <w:rsid w:val="009A5B15"/>
    <w:rsid w:val="009B4D95"/>
    <w:rsid w:val="009B513F"/>
    <w:rsid w:val="009B628A"/>
    <w:rsid w:val="009C4C4B"/>
    <w:rsid w:val="009D3B19"/>
    <w:rsid w:val="009D40D6"/>
    <w:rsid w:val="009E7015"/>
    <w:rsid w:val="009F290C"/>
    <w:rsid w:val="009F6116"/>
    <w:rsid w:val="00A04ED3"/>
    <w:rsid w:val="00A06C53"/>
    <w:rsid w:val="00A310FB"/>
    <w:rsid w:val="00A536CA"/>
    <w:rsid w:val="00A563FD"/>
    <w:rsid w:val="00A6255B"/>
    <w:rsid w:val="00A6675E"/>
    <w:rsid w:val="00A70B24"/>
    <w:rsid w:val="00A70F55"/>
    <w:rsid w:val="00A96D22"/>
    <w:rsid w:val="00AA7D2F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6370C"/>
    <w:rsid w:val="00B75E27"/>
    <w:rsid w:val="00B77B21"/>
    <w:rsid w:val="00B83D38"/>
    <w:rsid w:val="00B84DC9"/>
    <w:rsid w:val="00B868FF"/>
    <w:rsid w:val="00B90DFB"/>
    <w:rsid w:val="00B90E59"/>
    <w:rsid w:val="00B95EBE"/>
    <w:rsid w:val="00BA417F"/>
    <w:rsid w:val="00BD354E"/>
    <w:rsid w:val="00BE0912"/>
    <w:rsid w:val="00BE62F2"/>
    <w:rsid w:val="00BF0B6F"/>
    <w:rsid w:val="00C0087B"/>
    <w:rsid w:val="00C01424"/>
    <w:rsid w:val="00C02B9C"/>
    <w:rsid w:val="00C21A6A"/>
    <w:rsid w:val="00C22993"/>
    <w:rsid w:val="00C43D03"/>
    <w:rsid w:val="00C5020A"/>
    <w:rsid w:val="00C57E4A"/>
    <w:rsid w:val="00C71F90"/>
    <w:rsid w:val="00C73BB8"/>
    <w:rsid w:val="00C901A3"/>
    <w:rsid w:val="00C90A66"/>
    <w:rsid w:val="00CB4D4D"/>
    <w:rsid w:val="00CB67F9"/>
    <w:rsid w:val="00CE063D"/>
    <w:rsid w:val="00CE1FD0"/>
    <w:rsid w:val="00CE3E1F"/>
    <w:rsid w:val="00CF44BF"/>
    <w:rsid w:val="00D111C1"/>
    <w:rsid w:val="00D17D43"/>
    <w:rsid w:val="00D226D2"/>
    <w:rsid w:val="00D35EBE"/>
    <w:rsid w:val="00D477D4"/>
    <w:rsid w:val="00D540A1"/>
    <w:rsid w:val="00D6223E"/>
    <w:rsid w:val="00D63402"/>
    <w:rsid w:val="00D64C9F"/>
    <w:rsid w:val="00D65681"/>
    <w:rsid w:val="00D80912"/>
    <w:rsid w:val="00DA659B"/>
    <w:rsid w:val="00DB3B16"/>
    <w:rsid w:val="00DB660D"/>
    <w:rsid w:val="00DC04B5"/>
    <w:rsid w:val="00DC711B"/>
    <w:rsid w:val="00DD2E32"/>
    <w:rsid w:val="00DD3489"/>
    <w:rsid w:val="00DD5A88"/>
    <w:rsid w:val="00DD7BD1"/>
    <w:rsid w:val="00DE361F"/>
    <w:rsid w:val="00E030B1"/>
    <w:rsid w:val="00E03EDA"/>
    <w:rsid w:val="00E05DAA"/>
    <w:rsid w:val="00E07330"/>
    <w:rsid w:val="00E61655"/>
    <w:rsid w:val="00E647A2"/>
    <w:rsid w:val="00E651F1"/>
    <w:rsid w:val="00E763C2"/>
    <w:rsid w:val="00E811B8"/>
    <w:rsid w:val="00E93606"/>
    <w:rsid w:val="00E9754A"/>
    <w:rsid w:val="00EC1DE1"/>
    <w:rsid w:val="00EC2F9B"/>
    <w:rsid w:val="00EC6CD0"/>
    <w:rsid w:val="00EC6E89"/>
    <w:rsid w:val="00EC7837"/>
    <w:rsid w:val="00ED0041"/>
    <w:rsid w:val="00F02348"/>
    <w:rsid w:val="00F052BE"/>
    <w:rsid w:val="00F34352"/>
    <w:rsid w:val="00F542A0"/>
    <w:rsid w:val="00F71111"/>
    <w:rsid w:val="00F74F84"/>
    <w:rsid w:val="00F817AA"/>
    <w:rsid w:val="00F866F8"/>
    <w:rsid w:val="00F92B94"/>
    <w:rsid w:val="00F95900"/>
    <w:rsid w:val="00FA0F12"/>
    <w:rsid w:val="00FC5BE2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C0E4"/>
  <w15:docId w15:val="{3F3C4B35-92B8-45EA-A0D9-257E10B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2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37e100a478af617d77c790562aa3e4bf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db83b8e2aefd3ad2c93ad43b99fd7046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3EBF6-A4F1-42FC-ABCC-04950263A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E8A8C-AF9D-4617-A209-DB626D047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A3A16-2C76-412F-B1D6-05FD8B972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E66F3-CEA3-4567-8F5F-E03A51F2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2434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16764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Bräuerová Daniela</cp:lastModifiedBy>
  <cp:revision>49</cp:revision>
  <cp:lastPrinted>2007-03-01T13:36:00Z</cp:lastPrinted>
  <dcterms:created xsi:type="dcterms:W3CDTF">2021-03-11T06:01:00Z</dcterms:created>
  <dcterms:modified xsi:type="dcterms:W3CDTF">2021-03-14T17:34:00Z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