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AE27" w14:textId="77777777" w:rsidR="004F73BF" w:rsidRPr="00A26DCC" w:rsidRDefault="004F73BF" w:rsidP="003106D2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 w:rsidR="00AE12B4">
        <w:rPr>
          <w:rFonts w:ascii="Tahoma" w:hAnsi="Tahoma" w:cs="Tahoma"/>
          <w:b/>
        </w:rPr>
        <w:t>1</w:t>
      </w:r>
      <w:r w:rsidRPr="00A26DCC">
        <w:rPr>
          <w:rFonts w:ascii="Tahoma" w:hAnsi="Tahoma" w:cs="Tahoma"/>
          <w:b/>
        </w:rPr>
        <w:t xml:space="preserve"> k materiálu </w:t>
      </w:r>
      <w:r w:rsidR="00A66F43">
        <w:rPr>
          <w:rFonts w:ascii="Tahoma" w:hAnsi="Tahoma" w:cs="Tahoma"/>
          <w:b/>
        </w:rPr>
        <w:t xml:space="preserve">Stav přípravy a realizace </w:t>
      </w:r>
    </w:p>
    <w:p w14:paraId="6C8DAE28" w14:textId="0F7814A9" w:rsidR="004F73BF" w:rsidRPr="00CF5F88" w:rsidRDefault="004F73BF" w:rsidP="003106D2">
      <w:pPr>
        <w:pStyle w:val="Zhlav"/>
        <w:rPr>
          <w:rFonts w:ascii="Tahoma" w:hAnsi="Tahoma" w:cs="Tahoma"/>
        </w:rPr>
      </w:pPr>
      <w:r w:rsidRPr="00CF5F88">
        <w:rPr>
          <w:rFonts w:ascii="Tahoma" w:hAnsi="Tahoma" w:cs="Tahoma"/>
        </w:rPr>
        <w:t xml:space="preserve">Počet stran přílohy: </w:t>
      </w:r>
      <w:r w:rsidR="00CF5F88" w:rsidRPr="00CF5F88">
        <w:rPr>
          <w:rFonts w:ascii="Tahoma" w:hAnsi="Tahoma" w:cs="Tahoma"/>
          <w:bCs/>
        </w:rPr>
        <w:fldChar w:fldCharType="begin"/>
      </w:r>
      <w:r w:rsidR="00CF5F88" w:rsidRPr="00CF5F88">
        <w:rPr>
          <w:rFonts w:ascii="Tahoma" w:hAnsi="Tahoma" w:cs="Tahoma"/>
          <w:bCs/>
        </w:rPr>
        <w:instrText>NUMPAGES  \* Arabic  \* MERGEFORMAT</w:instrText>
      </w:r>
      <w:r w:rsidR="00CF5F88" w:rsidRPr="00CF5F88">
        <w:rPr>
          <w:rFonts w:ascii="Tahoma" w:hAnsi="Tahoma" w:cs="Tahoma"/>
          <w:bCs/>
        </w:rPr>
        <w:fldChar w:fldCharType="separate"/>
      </w:r>
      <w:r w:rsidR="00CF5F88" w:rsidRPr="00CF5F88">
        <w:rPr>
          <w:rFonts w:ascii="Tahoma" w:hAnsi="Tahoma" w:cs="Tahoma"/>
          <w:bCs/>
          <w:noProof/>
        </w:rPr>
        <w:t>6</w:t>
      </w:r>
      <w:r w:rsidR="00CF5F88" w:rsidRPr="00CF5F88">
        <w:rPr>
          <w:rFonts w:ascii="Tahoma" w:hAnsi="Tahoma" w:cs="Tahoma"/>
          <w:bCs/>
        </w:rPr>
        <w:fldChar w:fldCharType="end"/>
      </w:r>
    </w:p>
    <w:p w14:paraId="6C8DAE29" w14:textId="2F3AECFA" w:rsidR="00B35801" w:rsidRDefault="00226582" w:rsidP="00B35801">
      <w:pPr>
        <w:pStyle w:val="Zkladntext"/>
        <w:keepNext/>
      </w:pPr>
      <w:r>
        <w:rPr>
          <w:noProof/>
        </w:rPr>
        <w:drawing>
          <wp:inline distT="0" distB="0" distL="0" distR="0" wp14:anchorId="15D5ECBD" wp14:editId="4E4E5C62">
            <wp:extent cx="3931920" cy="3048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AE2A" w14:textId="7F9A36EA" w:rsidR="004F73BF" w:rsidRPr="008F1628" w:rsidRDefault="00B35801" w:rsidP="00B35801">
      <w:pPr>
        <w:pStyle w:val="Titulek"/>
        <w:jc w:val="both"/>
        <w:rPr>
          <w:rFonts w:ascii="Tahoma" w:hAnsi="Tahoma" w:cs="Tahoma"/>
          <w:b/>
          <w:bCs/>
          <w:snapToGrid w:val="0"/>
          <w:szCs w:val="24"/>
        </w:rPr>
      </w:pPr>
      <w:r>
        <w:t xml:space="preserve">Obrázek </w:t>
      </w:r>
      <w:r w:rsidR="00F6767F">
        <w:rPr>
          <w:noProof/>
        </w:rPr>
        <w:fldChar w:fldCharType="begin"/>
      </w:r>
      <w:r w:rsidR="00F6767F">
        <w:rPr>
          <w:noProof/>
        </w:rPr>
        <w:instrText xml:space="preserve"> SEQ Obrázek \* ARABIC </w:instrText>
      </w:r>
      <w:r w:rsidR="00F6767F">
        <w:rPr>
          <w:noProof/>
        </w:rPr>
        <w:fldChar w:fldCharType="separate"/>
      </w:r>
      <w:r w:rsidR="006C6CA0">
        <w:rPr>
          <w:noProof/>
        </w:rPr>
        <w:t>1</w:t>
      </w:r>
      <w:r w:rsidR="00F6767F">
        <w:rPr>
          <w:noProof/>
        </w:rPr>
        <w:fldChar w:fldCharType="end"/>
      </w:r>
      <w:r>
        <w:t>: Přehled staveb</w:t>
      </w:r>
      <w:r w:rsidR="00960FFB">
        <w:t xml:space="preserve"> na území kraje</w:t>
      </w:r>
      <w:r>
        <w:t xml:space="preserve"> (zdroj ŘSD)</w:t>
      </w:r>
    </w:p>
    <w:p w14:paraId="6C8DAE2B" w14:textId="42F82DAC" w:rsidR="00AE12B4" w:rsidRDefault="00AE12B4" w:rsidP="00781CF2">
      <w:pPr>
        <w:pStyle w:val="Zkladntext"/>
        <w:jc w:val="center"/>
        <w:rPr>
          <w:rFonts w:ascii="Tahoma" w:hAnsi="Tahoma" w:cs="Tahoma"/>
          <w:b/>
          <w:bCs/>
          <w:snapToGrid w:val="0"/>
          <w:szCs w:val="24"/>
        </w:rPr>
      </w:pPr>
      <w:r w:rsidRPr="006F615D">
        <w:rPr>
          <w:rFonts w:ascii="Tahoma" w:hAnsi="Tahoma" w:cs="Tahoma"/>
          <w:b/>
          <w:bCs/>
          <w:snapToGrid w:val="0"/>
          <w:szCs w:val="24"/>
        </w:rPr>
        <w:t>STAV PŘÍPRAVY A REALIZACE STAVEB SLEZSK</w:t>
      </w:r>
      <w:r w:rsidR="008642B1">
        <w:rPr>
          <w:rFonts w:ascii="Tahoma" w:hAnsi="Tahoma" w:cs="Tahoma"/>
          <w:b/>
          <w:bCs/>
          <w:snapToGrid w:val="0"/>
          <w:szCs w:val="24"/>
        </w:rPr>
        <w:t>ÉHO</w:t>
      </w:r>
      <w:r w:rsidRPr="006F615D">
        <w:rPr>
          <w:rFonts w:ascii="Tahoma" w:hAnsi="Tahoma" w:cs="Tahoma"/>
          <w:b/>
          <w:bCs/>
          <w:snapToGrid w:val="0"/>
          <w:szCs w:val="24"/>
        </w:rPr>
        <w:t xml:space="preserve"> KŘÍŽ</w:t>
      </w:r>
      <w:r w:rsidR="008642B1">
        <w:rPr>
          <w:rFonts w:ascii="Tahoma" w:hAnsi="Tahoma" w:cs="Tahoma"/>
          <w:b/>
          <w:bCs/>
          <w:snapToGrid w:val="0"/>
          <w:szCs w:val="24"/>
        </w:rPr>
        <w:t>E</w:t>
      </w:r>
    </w:p>
    <w:p w14:paraId="6C8DAE2C" w14:textId="3BC57112" w:rsidR="00C54427" w:rsidRDefault="006C6CA0" w:rsidP="006C6CA0">
      <w:pPr>
        <w:pStyle w:val="Zkladntext"/>
        <w:rPr>
          <w:rFonts w:ascii="Tahoma" w:hAnsi="Tahoma" w:cs="Tahoma"/>
          <w:bCs/>
          <w:noProof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Z</w:t>
      </w:r>
      <w:r w:rsidRPr="006C6CA0">
        <w:rPr>
          <w:rFonts w:ascii="Tahoma" w:hAnsi="Tahoma" w:cs="Tahoma"/>
          <w:bCs/>
          <w:snapToGrid w:val="0"/>
          <w:szCs w:val="24"/>
        </w:rPr>
        <w:t xml:space="preserve">astupitelstvo </w:t>
      </w:r>
      <w:r>
        <w:rPr>
          <w:rFonts w:ascii="Tahoma" w:hAnsi="Tahoma" w:cs="Tahoma"/>
          <w:bCs/>
          <w:snapToGrid w:val="0"/>
          <w:szCs w:val="24"/>
        </w:rPr>
        <w:t xml:space="preserve">Moravskoslezského kraje </w:t>
      </w:r>
      <w:r w:rsidRPr="006C6CA0">
        <w:rPr>
          <w:rFonts w:ascii="Tahoma" w:hAnsi="Tahoma" w:cs="Tahoma"/>
          <w:bCs/>
          <w:snapToGrid w:val="0"/>
          <w:szCs w:val="24"/>
        </w:rPr>
        <w:t>svým usne</w:t>
      </w:r>
      <w:r>
        <w:rPr>
          <w:rFonts w:ascii="Tahoma" w:hAnsi="Tahoma" w:cs="Tahoma"/>
          <w:bCs/>
          <w:snapToGrid w:val="0"/>
          <w:szCs w:val="24"/>
        </w:rPr>
        <w:t>sením č. 11/197/3 ze dne 20. 6. </w:t>
      </w:r>
      <w:r w:rsidRPr="006C6CA0">
        <w:rPr>
          <w:rFonts w:ascii="Tahoma" w:hAnsi="Tahoma" w:cs="Tahoma"/>
          <w:bCs/>
          <w:snapToGrid w:val="0"/>
          <w:szCs w:val="24"/>
        </w:rPr>
        <w:t xml:space="preserve">2002 vymezilo </w:t>
      </w:r>
      <w:r>
        <w:rPr>
          <w:rFonts w:ascii="Tahoma" w:hAnsi="Tahoma" w:cs="Tahoma"/>
          <w:bCs/>
          <w:snapToGrid w:val="0"/>
          <w:szCs w:val="24"/>
        </w:rPr>
        <w:t>p</w:t>
      </w:r>
      <w:r w:rsidRPr="006C6CA0">
        <w:rPr>
          <w:rFonts w:ascii="Tahoma" w:hAnsi="Tahoma" w:cs="Tahoma"/>
          <w:bCs/>
          <w:snapToGrid w:val="0"/>
          <w:szCs w:val="24"/>
        </w:rPr>
        <w:t>áteřní síť dálkových a mezistátních pozemních komunikací</w:t>
      </w:r>
      <w:r>
        <w:rPr>
          <w:rFonts w:ascii="Tahoma" w:hAnsi="Tahoma" w:cs="Tahoma"/>
          <w:bCs/>
          <w:snapToGrid w:val="0"/>
          <w:szCs w:val="24"/>
        </w:rPr>
        <w:t xml:space="preserve"> sledovanou pod so</w:t>
      </w:r>
      <w:r w:rsidR="00C54427">
        <w:rPr>
          <w:rFonts w:ascii="Tahoma" w:hAnsi="Tahoma" w:cs="Tahoma"/>
          <w:bCs/>
          <w:snapToGrid w:val="0"/>
          <w:szCs w:val="24"/>
        </w:rPr>
        <w:t>uhrnným označením Slezský kříž.</w:t>
      </w:r>
    </w:p>
    <w:p w14:paraId="6C8DAE2D" w14:textId="77777777" w:rsidR="00C54427" w:rsidRDefault="00C54427" w:rsidP="006C6CA0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noProof/>
          <w:snapToGrid w:val="0"/>
          <w:szCs w:val="24"/>
        </w:rPr>
        <w:drawing>
          <wp:inline distT="0" distB="0" distL="0" distR="0" wp14:anchorId="6C8DAE6D" wp14:editId="6C8DAE6E">
            <wp:extent cx="5247684" cy="3431177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68" cy="363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AE2E" w14:textId="77777777" w:rsidR="00C54427" w:rsidRPr="006C6CA0" w:rsidRDefault="00C54427" w:rsidP="00C54427">
      <w:pPr>
        <w:pStyle w:val="Titulek"/>
        <w:jc w:val="both"/>
        <w:rPr>
          <w:rFonts w:ascii="Tahoma" w:hAnsi="Tahoma" w:cs="Tahoma"/>
          <w:bCs/>
          <w:snapToGrid w:val="0"/>
          <w:szCs w:val="24"/>
        </w:rPr>
      </w:pPr>
      <w:r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Slezský kříž</w:t>
      </w:r>
    </w:p>
    <w:p w14:paraId="6C8DAE2F" w14:textId="77777777" w:rsidR="006C6CA0" w:rsidRDefault="006C6CA0" w:rsidP="006C6CA0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Slezský kříž v severojižním směru je vymezen tahem dálnice D1 a D48. Tyto dvě komunikace pak křižuje tah silnice I/11 s návaznou trasou silnice I/57 ve směru Bartultovice. Motiv Slezského kříže bude kompletován realizací staveb, které jsou zahrnuty v </w:t>
      </w:r>
      <w:r w:rsidRPr="006C6CA0">
        <w:rPr>
          <w:rFonts w:ascii="Tahoma" w:hAnsi="Tahoma" w:cs="Tahoma"/>
          <w:bCs/>
          <w:snapToGrid w:val="0"/>
          <w:szCs w:val="24"/>
        </w:rPr>
        <w:t xml:space="preserve">přiloženém materiálu. Na území kraje se jedná o unikátní rozsah výstavby kapacitních pozemních komunikací i </w:t>
      </w:r>
      <w:r w:rsidR="0027757F">
        <w:rPr>
          <w:rFonts w:ascii="Tahoma" w:hAnsi="Tahoma" w:cs="Tahoma"/>
          <w:bCs/>
          <w:snapToGrid w:val="0"/>
          <w:szCs w:val="24"/>
        </w:rPr>
        <w:t>z </w:t>
      </w:r>
      <w:r w:rsidRPr="006C6CA0">
        <w:rPr>
          <w:rFonts w:ascii="Tahoma" w:hAnsi="Tahoma" w:cs="Tahoma"/>
          <w:bCs/>
          <w:snapToGrid w:val="0"/>
          <w:szCs w:val="24"/>
        </w:rPr>
        <w:t>hlediska České republiky.</w:t>
      </w:r>
    </w:p>
    <w:p w14:paraId="6C8DAE30" w14:textId="77777777" w:rsidR="007432BB" w:rsidRPr="001626A2" w:rsidRDefault="00781CF2" w:rsidP="006C6CA0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KORIDOR SLEZSKÝ KŘÍŽ SEVER-JIH</w:t>
      </w:r>
    </w:p>
    <w:p w14:paraId="6C8DAE31" w14:textId="77777777" w:rsidR="00781CF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D1 (hlavní síť TEN-T)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na území Moravskoslezského kraje zprovozněna v celé trase včetně přivaděčů, zajišťuje kapacitní n</w:t>
      </w:r>
      <w:r w:rsidR="001626A2">
        <w:rPr>
          <w:rFonts w:ascii="Tahoma" w:hAnsi="Tahoma" w:cs="Tahoma"/>
          <w:bCs/>
          <w:snapToGrid w:val="0"/>
          <w:szCs w:val="24"/>
        </w:rPr>
        <w:t>apojení regionu na polskou A4 u </w:t>
      </w:r>
      <w:r w:rsidRPr="001626A2">
        <w:rPr>
          <w:rFonts w:ascii="Tahoma" w:hAnsi="Tahoma" w:cs="Tahoma"/>
          <w:bCs/>
          <w:snapToGrid w:val="0"/>
          <w:szCs w:val="24"/>
        </w:rPr>
        <w:t xml:space="preserve">města Gliwice, </w:t>
      </w:r>
    </w:p>
    <w:p w14:paraId="6C8DAE32" w14:textId="7E139790" w:rsidR="001626A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D48 (globální síť TEN-T</w:t>
      </w:r>
      <w:r w:rsidR="000A4566">
        <w:rPr>
          <w:rFonts w:ascii="Tahoma" w:hAnsi="Tahoma" w:cs="Tahoma"/>
          <w:b/>
          <w:bCs/>
          <w:snapToGrid w:val="0"/>
          <w:szCs w:val="24"/>
        </w:rPr>
        <w:t>, evropský tah E462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</w:t>
      </w:r>
      <w:r w:rsidRPr="00781CF2">
        <w:rPr>
          <w:rFonts w:ascii="Tahoma" w:hAnsi="Tahoma" w:cs="Tahoma"/>
          <w:bCs/>
          <w:snapToGrid w:val="0"/>
          <w:szCs w:val="24"/>
        </w:rPr>
        <w:t>trasa zprovozněna od Frýdku-Místku ke státní hranici s Polskem a ve vybraných úsecích ve směru napojení na D1 v</w:t>
      </w:r>
      <w:r w:rsidR="009C2D79">
        <w:rPr>
          <w:rFonts w:ascii="Tahoma" w:hAnsi="Tahoma" w:cs="Tahoma"/>
          <w:bCs/>
          <w:snapToGrid w:val="0"/>
          <w:szCs w:val="24"/>
        </w:rPr>
        <w:t> </w:t>
      </w:r>
      <w:r w:rsidRPr="00781CF2">
        <w:rPr>
          <w:rFonts w:ascii="Tahoma" w:hAnsi="Tahoma" w:cs="Tahoma"/>
          <w:bCs/>
          <w:snapToGrid w:val="0"/>
          <w:szCs w:val="24"/>
        </w:rPr>
        <w:t>Bělotíně</w:t>
      </w:r>
      <w:r w:rsidR="009C2D79">
        <w:rPr>
          <w:rFonts w:ascii="Tahoma" w:hAnsi="Tahoma" w:cs="Tahoma"/>
          <w:bCs/>
          <w:snapToGrid w:val="0"/>
          <w:szCs w:val="24"/>
        </w:rPr>
        <w:t xml:space="preserve">, </w:t>
      </w:r>
      <w:r w:rsidR="00F46154">
        <w:rPr>
          <w:rFonts w:ascii="Tahoma" w:hAnsi="Tahoma" w:cs="Tahoma"/>
          <w:bCs/>
          <w:snapToGrid w:val="0"/>
          <w:szCs w:val="24"/>
        </w:rPr>
        <w:t>v</w:t>
      </w:r>
      <w:r w:rsidR="009A77B7">
        <w:rPr>
          <w:rFonts w:ascii="Tahoma" w:hAnsi="Tahoma" w:cs="Tahoma"/>
          <w:bCs/>
          <w:snapToGrid w:val="0"/>
          <w:szCs w:val="24"/>
        </w:rPr>
        <w:t> </w:t>
      </w:r>
      <w:r w:rsidR="00F46154">
        <w:rPr>
          <w:rFonts w:ascii="Tahoma" w:hAnsi="Tahoma" w:cs="Tahoma"/>
          <w:bCs/>
          <w:snapToGrid w:val="0"/>
          <w:szCs w:val="24"/>
        </w:rPr>
        <w:t>leto</w:t>
      </w:r>
      <w:r w:rsidR="009A77B7">
        <w:rPr>
          <w:rFonts w:ascii="Tahoma" w:hAnsi="Tahoma" w:cs="Tahoma"/>
          <w:bCs/>
          <w:snapToGrid w:val="0"/>
          <w:szCs w:val="24"/>
        </w:rPr>
        <w:t>šním roce bude pokračovat</w:t>
      </w:r>
      <w:r w:rsidR="009C2D79">
        <w:rPr>
          <w:rFonts w:ascii="Tahoma" w:hAnsi="Tahoma" w:cs="Tahoma"/>
          <w:bCs/>
          <w:snapToGrid w:val="0"/>
          <w:szCs w:val="24"/>
        </w:rPr>
        <w:t xml:space="preserve"> modernizace v úseku </w:t>
      </w:r>
      <w:r w:rsidR="009A77B7">
        <w:rPr>
          <w:rFonts w:ascii="Tahoma" w:hAnsi="Tahoma" w:cs="Tahoma"/>
          <w:bCs/>
          <w:snapToGrid w:val="0"/>
          <w:szCs w:val="24"/>
        </w:rPr>
        <w:t xml:space="preserve">Bělotín – </w:t>
      </w:r>
      <w:r w:rsidR="009C2D79">
        <w:rPr>
          <w:rFonts w:ascii="Tahoma" w:hAnsi="Tahoma" w:cs="Tahoma"/>
          <w:bCs/>
          <w:snapToGrid w:val="0"/>
          <w:szCs w:val="24"/>
        </w:rPr>
        <w:t>Rybí</w:t>
      </w:r>
      <w:r w:rsidR="009A77B7">
        <w:rPr>
          <w:rFonts w:ascii="Tahoma" w:hAnsi="Tahoma" w:cs="Tahoma"/>
          <w:bCs/>
          <w:snapToGrid w:val="0"/>
          <w:szCs w:val="24"/>
        </w:rPr>
        <w:t>.</w:t>
      </w:r>
    </w:p>
    <w:p w14:paraId="6C8DAE33" w14:textId="77777777" w:rsidR="001626A2" w:rsidRPr="001626A2" w:rsidRDefault="001626A2" w:rsidP="001626A2">
      <w:pPr>
        <w:pStyle w:val="Zkladntext"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VÝCHOD</w:t>
      </w:r>
    </w:p>
    <w:p w14:paraId="6C8DAE34" w14:textId="0688656F" w:rsidR="00781CF2" w:rsidRDefault="000A4566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P</w:t>
      </w:r>
      <w:r w:rsidR="001626A2" w:rsidRPr="001626A2">
        <w:rPr>
          <w:rFonts w:ascii="Tahoma" w:hAnsi="Tahoma" w:cs="Tahoma"/>
          <w:b/>
          <w:bCs/>
          <w:snapToGrid w:val="0"/>
          <w:szCs w:val="24"/>
        </w:rPr>
        <w:t>ropojení D48 a hranice ČR/SR</w:t>
      </w:r>
      <w:r>
        <w:rPr>
          <w:rFonts w:ascii="Tahoma" w:hAnsi="Tahoma" w:cs="Tahoma"/>
          <w:b/>
          <w:bCs/>
          <w:snapToGrid w:val="0"/>
          <w:szCs w:val="24"/>
        </w:rPr>
        <w:t xml:space="preserve"> (g</w:t>
      </w:r>
      <w:r w:rsidRPr="001626A2">
        <w:rPr>
          <w:rFonts w:ascii="Tahoma" w:hAnsi="Tahoma" w:cs="Tahoma"/>
          <w:b/>
          <w:bCs/>
          <w:snapToGrid w:val="0"/>
          <w:szCs w:val="24"/>
        </w:rPr>
        <w:t>lobální síť TEN-T</w:t>
      </w:r>
      <w:r>
        <w:rPr>
          <w:rFonts w:ascii="Tahoma" w:hAnsi="Tahoma" w:cs="Tahoma"/>
          <w:b/>
          <w:bCs/>
          <w:snapToGrid w:val="0"/>
          <w:szCs w:val="24"/>
        </w:rPr>
        <w:t>, evropský tah E75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="001626A2" w:rsidRPr="001626A2">
        <w:rPr>
          <w:rFonts w:ascii="Tahoma" w:hAnsi="Tahoma" w:cs="Tahoma"/>
          <w:bCs/>
          <w:snapToGrid w:val="0"/>
          <w:szCs w:val="24"/>
        </w:rPr>
        <w:t xml:space="preserve"> souborem staveb silnice I/11 (I/68) Třanovice – Bystřice</w:t>
      </w:r>
      <w:r w:rsidR="00803024">
        <w:rPr>
          <w:rFonts w:ascii="Tahoma" w:hAnsi="Tahoma" w:cs="Tahoma"/>
          <w:bCs/>
          <w:snapToGrid w:val="0"/>
          <w:szCs w:val="24"/>
        </w:rPr>
        <w:t>.</w:t>
      </w:r>
    </w:p>
    <w:p w14:paraId="6C8DAE35" w14:textId="77777777" w:rsidR="001626A2" w:rsidRDefault="001626A2" w:rsidP="00B35801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ZÁPAD</w:t>
      </w:r>
    </w:p>
    <w:p w14:paraId="6C8DAE36" w14:textId="39A8188F" w:rsidR="007432BB" w:rsidRPr="000A4566" w:rsidRDefault="001626A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Propoje</w:t>
      </w:r>
      <w:r>
        <w:rPr>
          <w:rFonts w:ascii="Tahoma" w:hAnsi="Tahoma" w:cs="Tahoma"/>
          <w:b/>
          <w:bCs/>
          <w:snapToGrid w:val="0"/>
          <w:szCs w:val="24"/>
        </w:rPr>
        <w:t>ní významných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regionální</w:t>
      </w:r>
      <w:r w:rsidR="000A4566">
        <w:rPr>
          <w:rFonts w:ascii="Tahoma" w:hAnsi="Tahoma" w:cs="Tahoma"/>
          <w:b/>
          <w:bCs/>
          <w:snapToGrid w:val="0"/>
          <w:szCs w:val="24"/>
        </w:rPr>
        <w:t>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cent</w:t>
      </w:r>
      <w:r w:rsidR="000A4566">
        <w:rPr>
          <w:rFonts w:ascii="Tahoma" w:hAnsi="Tahoma" w:cs="Tahoma"/>
          <w:b/>
          <w:bCs/>
          <w:snapToGrid w:val="0"/>
          <w:szCs w:val="24"/>
        </w:rPr>
        <w:t>e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r </w:t>
      </w:r>
      <w:r w:rsidRPr="000A4566">
        <w:rPr>
          <w:rFonts w:ascii="Tahoma" w:hAnsi="Tahoma" w:cs="Tahoma"/>
          <w:bCs/>
          <w:snapToGrid w:val="0"/>
          <w:szCs w:val="24"/>
        </w:rPr>
        <w:t>Opolského vojvodství a Moravskoslezského kraje</w:t>
      </w:r>
      <w:r w:rsidR="000A4566">
        <w:rPr>
          <w:rFonts w:ascii="Tahoma" w:hAnsi="Tahoma" w:cs="Tahoma"/>
          <w:bCs/>
          <w:snapToGrid w:val="0"/>
          <w:szCs w:val="24"/>
        </w:rPr>
        <w:t xml:space="preserve"> tahem silnic I/11 a I/57</w:t>
      </w:r>
      <w:r w:rsidR="00803024">
        <w:rPr>
          <w:rFonts w:ascii="Tahoma" w:hAnsi="Tahoma" w:cs="Tahoma"/>
          <w:bCs/>
          <w:snapToGrid w:val="0"/>
          <w:szCs w:val="24"/>
        </w:rPr>
        <w:t>.</w:t>
      </w:r>
    </w:p>
    <w:p w14:paraId="6C8DAE37" w14:textId="77777777" w:rsidR="00B35801" w:rsidRDefault="00B35801" w:rsidP="00B35801">
      <w:pPr>
        <w:pStyle w:val="Zkladntext"/>
        <w:keepNext/>
        <w:spacing w:before="240"/>
      </w:pPr>
    </w:p>
    <w:p w14:paraId="6C8DAE38" w14:textId="77777777" w:rsidR="00AE12B4" w:rsidRPr="00413E6D" w:rsidRDefault="005524D2" w:rsidP="00413E6D">
      <w:pPr>
        <w:pStyle w:val="Zkladntext"/>
        <w:keepNext/>
        <w:spacing w:before="240" w:after="120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 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VČETNĚ PŘIVADĚČŮ</w:t>
      </w:r>
    </w:p>
    <w:p w14:paraId="6C8DAE39" w14:textId="39D90540" w:rsidR="00960FFB" w:rsidRDefault="00AE12B4" w:rsidP="00141B2C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Tato </w:t>
      </w:r>
      <w:r w:rsidR="005524D2">
        <w:rPr>
          <w:rFonts w:ascii="Tahoma" w:hAnsi="Tahoma" w:cs="Tahoma"/>
          <w:bCs/>
          <w:snapToGrid w:val="0"/>
          <w:szCs w:val="24"/>
        </w:rPr>
        <w:t>dálnice</w:t>
      </w:r>
      <w:r w:rsidRPr="00AE12B4">
        <w:rPr>
          <w:rFonts w:ascii="Tahoma" w:hAnsi="Tahoma" w:cs="Tahoma"/>
          <w:bCs/>
          <w:snapToGrid w:val="0"/>
          <w:szCs w:val="24"/>
        </w:rPr>
        <w:t xml:space="preserve"> v nahradí stávající silnici I/48, která je významným spojením zejména pro dálkovou dopravu (do Polska přes hraniční přechod Chotěbuz) – jedná se o vedení evropského tahu E462 územím Moravskoslezského kraje. Současně je </w:t>
      </w:r>
      <w:r w:rsidR="00617827">
        <w:rPr>
          <w:rFonts w:ascii="Tahoma" w:hAnsi="Tahoma" w:cs="Tahoma"/>
          <w:bCs/>
          <w:snapToGrid w:val="0"/>
          <w:szCs w:val="24"/>
        </w:rPr>
        <w:t xml:space="preserve">dálnice </w:t>
      </w:r>
      <w:r w:rsidR="00760125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</w:t>
      </w:r>
      <w:r w:rsidR="00960FFB">
        <w:rPr>
          <w:rFonts w:ascii="Tahoma" w:hAnsi="Tahoma" w:cs="Tahoma"/>
          <w:bCs/>
          <w:snapToGrid w:val="0"/>
          <w:szCs w:val="24"/>
        </w:rPr>
        <w:t>tahem globální sítě TEN-T v Baltsko-jadranském koridoru.</w:t>
      </w:r>
    </w:p>
    <w:p w14:paraId="6C8DAE3B" w14:textId="59D45852" w:rsidR="00AE12B4" w:rsidRPr="00B80CA0" w:rsidRDefault="00AE12B4" w:rsidP="00B80CA0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Technický stav a šířkové parametry stávající silnice I/48 jsou pro </w:t>
      </w:r>
      <w:r w:rsidR="009C2D79">
        <w:rPr>
          <w:rFonts w:ascii="Tahoma" w:hAnsi="Tahoma" w:cs="Tahoma"/>
          <w:bCs/>
          <w:snapToGrid w:val="0"/>
          <w:szCs w:val="24"/>
        </w:rPr>
        <w:t>současné</w:t>
      </w:r>
      <w:r w:rsidRPr="00AE12B4">
        <w:rPr>
          <w:rFonts w:ascii="Tahoma" w:hAnsi="Tahoma" w:cs="Tahoma"/>
          <w:bCs/>
          <w:snapToGrid w:val="0"/>
          <w:szCs w:val="24"/>
        </w:rPr>
        <w:t xml:space="preserve"> dopravní požadavky již nevyhovující, a to především z hlediska vysokého nárůstu intenzity na této komunikaci. Silnice je proto postupně rekonstruována na </w:t>
      </w:r>
      <w:proofErr w:type="spellStart"/>
      <w:r w:rsidR="00B416DE"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 w:rsidR="00B416DE">
        <w:rPr>
          <w:rFonts w:ascii="Tahoma" w:hAnsi="Tahoma" w:cs="Tahoma"/>
          <w:bCs/>
          <w:snapToGrid w:val="0"/>
          <w:szCs w:val="24"/>
        </w:rPr>
        <w:t xml:space="preserve"> směrově rozdělenou komunikaci výhradně s mimoúrovňovými křižovatkami</w:t>
      </w:r>
      <w:r w:rsidR="00020524">
        <w:rPr>
          <w:rFonts w:ascii="Tahoma" w:hAnsi="Tahoma" w:cs="Tahoma"/>
          <w:bCs/>
          <w:snapToGrid w:val="0"/>
          <w:szCs w:val="24"/>
        </w:rPr>
        <w:t xml:space="preserve"> - </w:t>
      </w:r>
      <w:r w:rsidRPr="00B80CA0">
        <w:rPr>
          <w:rFonts w:ascii="Tahoma" w:hAnsi="Tahoma" w:cs="Tahoma"/>
          <w:bCs/>
          <w:snapToGrid w:val="0"/>
          <w:szCs w:val="24"/>
        </w:rPr>
        <w:t>část tahu v úseku R</w:t>
      </w:r>
      <w:r w:rsidR="00562C2A" w:rsidRPr="00B80CA0">
        <w:rPr>
          <w:rFonts w:ascii="Tahoma" w:hAnsi="Tahoma" w:cs="Tahoma"/>
          <w:bCs/>
          <w:snapToGrid w:val="0"/>
          <w:szCs w:val="24"/>
        </w:rPr>
        <w:t>ybí</w:t>
      </w:r>
      <w:r w:rsidRPr="00B80CA0">
        <w:rPr>
          <w:rFonts w:ascii="Tahoma" w:hAnsi="Tahoma" w:cs="Tahoma"/>
          <w:bCs/>
          <w:snapToGrid w:val="0"/>
          <w:szCs w:val="24"/>
        </w:rPr>
        <w:t xml:space="preserve"> – Frýdek-Místek - Český Těšín - hranice s Polskem (mimo průtah městem Frýdek-Místek) je již zprovozněna </w:t>
      </w:r>
      <w:r w:rsidR="00B416DE" w:rsidRPr="00B80CA0">
        <w:rPr>
          <w:rFonts w:ascii="Tahoma" w:hAnsi="Tahoma" w:cs="Tahoma"/>
          <w:bCs/>
          <w:snapToGrid w:val="0"/>
          <w:szCs w:val="24"/>
        </w:rPr>
        <w:t xml:space="preserve">a aktuálně zařazena jako dálnice II. třídy do tahu dálnice </w:t>
      </w:r>
      <w:r w:rsidR="005524D2" w:rsidRPr="00B80CA0">
        <w:rPr>
          <w:rFonts w:ascii="Tahoma" w:hAnsi="Tahoma" w:cs="Tahoma"/>
          <w:bCs/>
          <w:snapToGrid w:val="0"/>
          <w:szCs w:val="24"/>
        </w:rPr>
        <w:t>D</w:t>
      </w:r>
      <w:r w:rsidRPr="00B80CA0">
        <w:rPr>
          <w:rFonts w:ascii="Tahoma" w:hAnsi="Tahoma" w:cs="Tahoma"/>
          <w:bCs/>
          <w:snapToGrid w:val="0"/>
          <w:szCs w:val="24"/>
        </w:rPr>
        <w:t>48. Část od Bělotína po</w:t>
      </w:r>
      <w:r w:rsidR="00B80CA0" w:rsidRPr="00B80CA0">
        <w:rPr>
          <w:rFonts w:ascii="Tahoma" w:hAnsi="Tahoma" w:cs="Tahoma"/>
          <w:bCs/>
          <w:snapToGrid w:val="0"/>
          <w:szCs w:val="24"/>
        </w:rPr>
        <w:t xml:space="preserve"> </w:t>
      </w:r>
      <w:r w:rsidR="00562C2A" w:rsidRPr="00B80CA0">
        <w:rPr>
          <w:rFonts w:ascii="Tahoma" w:hAnsi="Tahoma" w:cs="Tahoma"/>
          <w:bCs/>
          <w:snapToGrid w:val="0"/>
          <w:szCs w:val="24"/>
        </w:rPr>
        <w:t xml:space="preserve">Rybí </w:t>
      </w:r>
      <w:r w:rsidRPr="00B80CA0">
        <w:rPr>
          <w:rFonts w:ascii="Tahoma" w:hAnsi="Tahoma" w:cs="Tahoma"/>
          <w:bCs/>
          <w:snapToGrid w:val="0"/>
          <w:szCs w:val="24"/>
        </w:rPr>
        <w:t xml:space="preserve">zůstává v parametru </w:t>
      </w:r>
      <w:proofErr w:type="spellStart"/>
      <w:r w:rsidRPr="00B80CA0">
        <w:rPr>
          <w:rFonts w:ascii="Tahoma" w:hAnsi="Tahoma" w:cs="Tahoma"/>
          <w:bCs/>
          <w:snapToGrid w:val="0"/>
          <w:szCs w:val="24"/>
        </w:rPr>
        <w:t>čtyřpruhové</w:t>
      </w:r>
      <w:proofErr w:type="spellEnd"/>
      <w:r w:rsidRPr="00B80CA0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>komunikace bez středního dělicího pásu (historická silni</w:t>
      </w:r>
      <w:r w:rsidR="005D0AC3">
        <w:rPr>
          <w:rFonts w:ascii="Tahoma" w:hAnsi="Tahoma" w:cs="Tahoma"/>
          <w:bCs/>
          <w:snapToGrid w:val="0"/>
          <w:szCs w:val="24"/>
        </w:rPr>
        <w:t>ční kategorie S16)</w:t>
      </w:r>
      <w:r w:rsidR="004E6EDB">
        <w:rPr>
          <w:rFonts w:ascii="Tahoma" w:hAnsi="Tahoma" w:cs="Tahoma"/>
          <w:bCs/>
          <w:snapToGrid w:val="0"/>
          <w:szCs w:val="24"/>
        </w:rPr>
        <w:t>. S</w:t>
      </w:r>
      <w:bookmarkStart w:id="0" w:name="_GoBack"/>
      <w:bookmarkEnd w:id="0"/>
      <w:r w:rsidR="008F69AD">
        <w:rPr>
          <w:rFonts w:ascii="Tahoma" w:hAnsi="Tahoma" w:cs="Tahoma"/>
          <w:bCs/>
          <w:snapToGrid w:val="0"/>
          <w:szCs w:val="24"/>
        </w:rPr>
        <w:t>t</w:t>
      </w:r>
      <w:r w:rsidR="001E7865" w:rsidRPr="00B80CA0">
        <w:rPr>
          <w:rFonts w:ascii="Tahoma" w:hAnsi="Tahoma" w:cs="Tahoma"/>
          <w:bCs/>
          <w:snapToGrid w:val="0"/>
          <w:szCs w:val="24"/>
        </w:rPr>
        <w:t>av</w:t>
      </w:r>
      <w:r w:rsidRPr="00B80CA0">
        <w:rPr>
          <w:rFonts w:ascii="Tahoma" w:hAnsi="Tahoma" w:cs="Tahoma"/>
          <w:bCs/>
          <w:snapToGrid w:val="0"/>
          <w:szCs w:val="24"/>
        </w:rPr>
        <w:t xml:space="preserve"> přípravy staveb n</w:t>
      </w:r>
      <w:r w:rsidR="008F69AD">
        <w:rPr>
          <w:rFonts w:ascii="Tahoma" w:hAnsi="Tahoma" w:cs="Tahoma"/>
          <w:bCs/>
          <w:snapToGrid w:val="0"/>
          <w:szCs w:val="24"/>
        </w:rPr>
        <w:t xml:space="preserve">a </w:t>
      </w:r>
      <w:r w:rsidR="004E6EDB">
        <w:rPr>
          <w:rFonts w:ascii="Tahoma" w:hAnsi="Tahoma" w:cs="Tahoma"/>
          <w:bCs/>
          <w:snapToGrid w:val="0"/>
          <w:szCs w:val="24"/>
        </w:rPr>
        <w:t>zbývajících úsecích</w:t>
      </w:r>
      <w:r w:rsidR="008F69AD">
        <w:rPr>
          <w:rFonts w:ascii="Tahoma" w:hAnsi="Tahoma" w:cs="Tahoma"/>
          <w:bCs/>
          <w:snapToGrid w:val="0"/>
          <w:szCs w:val="24"/>
        </w:rPr>
        <w:t xml:space="preserve"> </w:t>
      </w:r>
      <w:r w:rsidR="001F7124">
        <w:rPr>
          <w:rFonts w:ascii="Tahoma" w:hAnsi="Tahoma" w:cs="Tahoma"/>
          <w:bCs/>
          <w:snapToGrid w:val="0"/>
          <w:szCs w:val="24"/>
        </w:rPr>
        <w:t>n</w:t>
      </w:r>
      <w:r w:rsidRPr="00B80CA0">
        <w:rPr>
          <w:rFonts w:ascii="Tahoma" w:hAnsi="Tahoma" w:cs="Tahoma"/>
          <w:bCs/>
          <w:snapToGrid w:val="0"/>
          <w:szCs w:val="24"/>
        </w:rPr>
        <w:t>íž</w:t>
      </w:r>
      <w:r w:rsidR="00A72D1F">
        <w:rPr>
          <w:rFonts w:ascii="Tahoma" w:hAnsi="Tahoma" w:cs="Tahoma"/>
          <w:bCs/>
          <w:snapToGrid w:val="0"/>
          <w:szCs w:val="24"/>
        </w:rPr>
        <w:t>e v textu</w:t>
      </w:r>
      <w:r w:rsidR="00B80CA0" w:rsidRPr="00B80CA0">
        <w:rPr>
          <w:rFonts w:ascii="Tahoma" w:hAnsi="Tahoma" w:cs="Tahoma"/>
          <w:bCs/>
          <w:snapToGrid w:val="0"/>
          <w:szCs w:val="24"/>
        </w:rPr>
        <w:t>.</w:t>
      </w:r>
    </w:p>
    <w:p w14:paraId="6C8DAE3C" w14:textId="77777777" w:rsidR="00AE12B4" w:rsidRPr="00413E6D" w:rsidRDefault="005524D2" w:rsidP="00A75AE6">
      <w:pPr>
        <w:pStyle w:val="Zkladntext"/>
        <w:keepNext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MÚK Bělotín – Rybí</w:t>
      </w:r>
    </w:p>
    <w:p w14:paraId="79D1BA0A" w14:textId="77777777" w:rsidR="00A1596A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</w:t>
      </w:r>
      <w:r w:rsidR="00E85B85" w:rsidRPr="003E4286">
        <w:rPr>
          <w:rFonts w:ascii="Tahoma" w:hAnsi="Tahoma" w:cs="Tahoma"/>
          <w:bCs/>
          <w:snapToGrid w:val="0"/>
          <w:szCs w:val="24"/>
        </w:rPr>
        <w:t>představuje rekonstrukci stávající</w:t>
      </w:r>
      <w:r w:rsidR="00E85B85" w:rsidRPr="00AE12B4">
        <w:rPr>
          <w:rFonts w:ascii="Tahoma" w:hAnsi="Tahoma" w:cs="Tahoma"/>
          <w:bCs/>
          <w:snapToGrid w:val="0"/>
          <w:szCs w:val="24"/>
        </w:rPr>
        <w:t xml:space="preserve"> směrově nedělené komunikace</w:t>
      </w:r>
      <w:r w:rsidR="00E85B85">
        <w:rPr>
          <w:rFonts w:ascii="Tahoma" w:hAnsi="Tahoma" w:cs="Tahoma"/>
          <w:bCs/>
          <w:snapToGrid w:val="0"/>
          <w:szCs w:val="24"/>
        </w:rPr>
        <w:t>,</w:t>
      </w:r>
      <w:r w:rsidR="00E85B85" w:rsidRPr="00AE12B4">
        <w:rPr>
          <w:rFonts w:ascii="Tahoma" w:hAnsi="Tahoma" w:cs="Tahoma"/>
          <w:bCs/>
          <w:snapToGrid w:val="0"/>
          <w:szCs w:val="24"/>
        </w:rPr>
        <w:t xml:space="preserve"> silnice I/48 kategorie S16/100, která nevyhovuje p</w:t>
      </w:r>
      <w:r w:rsidR="00E85B85">
        <w:rPr>
          <w:rFonts w:ascii="Tahoma" w:hAnsi="Tahoma" w:cs="Tahoma"/>
          <w:bCs/>
          <w:snapToGrid w:val="0"/>
          <w:szCs w:val="24"/>
        </w:rPr>
        <w:t>ožadovaným p</w:t>
      </w:r>
      <w:r w:rsidR="00E85B85" w:rsidRPr="00AE12B4">
        <w:rPr>
          <w:rFonts w:ascii="Tahoma" w:hAnsi="Tahoma" w:cs="Tahoma"/>
          <w:bCs/>
          <w:snapToGrid w:val="0"/>
          <w:szCs w:val="24"/>
        </w:rPr>
        <w:t>arametrům</w:t>
      </w:r>
      <w:r w:rsidR="00E85B85">
        <w:rPr>
          <w:rFonts w:ascii="Tahoma" w:hAnsi="Tahoma" w:cs="Tahoma"/>
          <w:bCs/>
          <w:snapToGrid w:val="0"/>
          <w:szCs w:val="24"/>
        </w:rPr>
        <w:t xml:space="preserve">, </w:t>
      </w:r>
      <w:r w:rsidR="00E85B85" w:rsidRPr="00AE12B4">
        <w:rPr>
          <w:rFonts w:ascii="Tahoma" w:hAnsi="Tahoma" w:cs="Tahoma"/>
          <w:bCs/>
          <w:snapToGrid w:val="0"/>
          <w:szCs w:val="24"/>
        </w:rPr>
        <w:t xml:space="preserve">na </w:t>
      </w:r>
      <w:proofErr w:type="spellStart"/>
      <w:r w:rsidR="00E85B85" w:rsidRPr="00AE12B4"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 w:rsidR="00E85B85" w:rsidRPr="00AE12B4">
        <w:rPr>
          <w:rFonts w:ascii="Tahoma" w:hAnsi="Tahoma" w:cs="Tahoma"/>
          <w:bCs/>
          <w:snapToGrid w:val="0"/>
          <w:szCs w:val="24"/>
        </w:rPr>
        <w:t xml:space="preserve"> komunikaci v kategorii </w:t>
      </w:r>
      <w:r w:rsidR="00E85B85">
        <w:rPr>
          <w:rFonts w:ascii="Tahoma" w:hAnsi="Tahoma" w:cs="Tahoma"/>
          <w:bCs/>
          <w:snapToGrid w:val="0"/>
          <w:szCs w:val="24"/>
        </w:rPr>
        <w:t>D</w:t>
      </w:r>
      <w:r w:rsidR="00E85B85" w:rsidRPr="00AE12B4">
        <w:rPr>
          <w:rFonts w:ascii="Tahoma" w:hAnsi="Tahoma" w:cs="Tahoma"/>
          <w:bCs/>
          <w:snapToGrid w:val="0"/>
          <w:szCs w:val="24"/>
        </w:rPr>
        <w:t>25,5/120</w:t>
      </w:r>
      <w:r w:rsidR="00A1596A">
        <w:rPr>
          <w:rFonts w:ascii="Tahoma" w:hAnsi="Tahoma" w:cs="Tahoma"/>
          <w:bCs/>
          <w:snapToGrid w:val="0"/>
          <w:szCs w:val="24"/>
        </w:rPr>
        <w:t>. Stavba je rozdělena na 2 etapy.</w:t>
      </w:r>
    </w:p>
    <w:p w14:paraId="1E7691DE" w14:textId="7EE88ECD" w:rsidR="000023F2" w:rsidRDefault="007C4DDB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</w:t>
      </w:r>
      <w:r w:rsidR="00AE12B4" w:rsidRPr="001F7124">
        <w:rPr>
          <w:rFonts w:ascii="Tahoma" w:hAnsi="Tahoma" w:cs="Tahoma"/>
          <w:bCs/>
          <w:snapToGrid w:val="0"/>
          <w:szCs w:val="24"/>
          <w:u w:val="single"/>
        </w:rPr>
        <w:t xml:space="preserve">MÚK Bělotín </w:t>
      </w:r>
      <w:r w:rsidR="00F2042D" w:rsidRPr="001F7124">
        <w:rPr>
          <w:rFonts w:ascii="Tahoma" w:hAnsi="Tahoma" w:cs="Tahoma"/>
          <w:bCs/>
          <w:snapToGrid w:val="0"/>
          <w:szCs w:val="24"/>
          <w:u w:val="single"/>
        </w:rPr>
        <w:t>–</w:t>
      </w:r>
      <w:r w:rsidR="00AE12B4" w:rsidRPr="001F7124">
        <w:rPr>
          <w:rFonts w:ascii="Tahoma" w:hAnsi="Tahoma" w:cs="Tahoma"/>
          <w:bCs/>
          <w:snapToGrid w:val="0"/>
          <w:szCs w:val="24"/>
          <w:u w:val="single"/>
        </w:rPr>
        <w:t xml:space="preserve"> Rybí</w:t>
      </w:r>
      <w:r w:rsidR="00F2042D" w:rsidRPr="001F7124">
        <w:rPr>
          <w:rFonts w:ascii="Tahoma" w:hAnsi="Tahoma" w:cs="Tahoma"/>
          <w:bCs/>
          <w:snapToGrid w:val="0"/>
          <w:szCs w:val="24"/>
          <w:u w:val="single"/>
        </w:rPr>
        <w:t>, I. etapa</w:t>
      </w:r>
      <w:r w:rsidR="00AE12B4" w:rsidRPr="003E4286">
        <w:rPr>
          <w:rFonts w:ascii="Tahoma" w:hAnsi="Tahoma" w:cs="Tahoma"/>
          <w:bCs/>
          <w:snapToGrid w:val="0"/>
          <w:szCs w:val="24"/>
        </w:rPr>
        <w:t xml:space="preserve"> </w:t>
      </w:r>
      <w:r w:rsidR="005B7CFC" w:rsidRPr="003E4286">
        <w:rPr>
          <w:rFonts w:ascii="Tahoma" w:hAnsi="Tahoma" w:cs="Tahoma"/>
          <w:bCs/>
          <w:snapToGrid w:val="0"/>
          <w:szCs w:val="24"/>
        </w:rPr>
        <w:t>(T7</w:t>
      </w:r>
      <w:r w:rsidR="00B87FB1">
        <w:rPr>
          <w:rFonts w:ascii="Tahoma" w:hAnsi="Tahoma" w:cs="Tahoma"/>
          <w:bCs/>
          <w:snapToGrid w:val="0"/>
          <w:szCs w:val="24"/>
        </w:rPr>
        <w:t>a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) </w:t>
      </w:r>
      <w:r w:rsidR="00AE12B4" w:rsidRPr="003E4286">
        <w:rPr>
          <w:rFonts w:ascii="Tahoma" w:hAnsi="Tahoma" w:cs="Tahoma"/>
          <w:bCs/>
          <w:snapToGrid w:val="0"/>
          <w:szCs w:val="24"/>
        </w:rPr>
        <w:t xml:space="preserve">o délce </w:t>
      </w:r>
      <w:r w:rsidR="00F2042D">
        <w:rPr>
          <w:rFonts w:ascii="Tahoma" w:hAnsi="Tahoma" w:cs="Tahoma"/>
          <w:bCs/>
          <w:snapToGrid w:val="0"/>
          <w:szCs w:val="24"/>
        </w:rPr>
        <w:t>13,</w:t>
      </w:r>
      <w:r w:rsidR="000C165E">
        <w:rPr>
          <w:rFonts w:ascii="Tahoma" w:hAnsi="Tahoma" w:cs="Tahoma"/>
          <w:bCs/>
          <w:snapToGrid w:val="0"/>
          <w:szCs w:val="24"/>
        </w:rPr>
        <w:t>2</w:t>
      </w:r>
      <w:r w:rsidR="00AE12B4" w:rsidRPr="003E4286">
        <w:rPr>
          <w:rFonts w:ascii="Tahoma" w:hAnsi="Tahoma" w:cs="Tahoma"/>
          <w:bCs/>
          <w:snapToGrid w:val="0"/>
          <w:szCs w:val="24"/>
        </w:rPr>
        <w:t xml:space="preserve"> km</w:t>
      </w:r>
      <w:r w:rsidR="003F0448">
        <w:rPr>
          <w:rFonts w:ascii="Tahoma" w:hAnsi="Tahoma" w:cs="Tahoma"/>
          <w:bCs/>
          <w:snapToGrid w:val="0"/>
          <w:szCs w:val="24"/>
        </w:rPr>
        <w:t xml:space="preserve"> má dva úseky, </w:t>
      </w:r>
      <w:r w:rsidR="0011005E">
        <w:rPr>
          <w:rFonts w:ascii="Tahoma" w:hAnsi="Tahoma" w:cs="Tahoma"/>
          <w:bCs/>
          <w:snapToGrid w:val="0"/>
          <w:szCs w:val="24"/>
        </w:rPr>
        <w:t xml:space="preserve">přerušena je </w:t>
      </w:r>
      <w:r w:rsidR="005B52FC">
        <w:rPr>
          <w:rFonts w:ascii="Tahoma" w:hAnsi="Tahoma" w:cs="Tahoma"/>
          <w:bCs/>
          <w:snapToGrid w:val="0"/>
          <w:szCs w:val="24"/>
        </w:rPr>
        <w:t>v</w:t>
      </w:r>
      <w:r w:rsidR="0095686E">
        <w:rPr>
          <w:rFonts w:ascii="Tahoma" w:hAnsi="Tahoma" w:cs="Tahoma"/>
          <w:bCs/>
          <w:snapToGrid w:val="0"/>
          <w:szCs w:val="24"/>
        </w:rPr>
        <w:t> </w:t>
      </w:r>
      <w:r w:rsidR="005B52FC">
        <w:rPr>
          <w:rFonts w:ascii="Tahoma" w:hAnsi="Tahoma" w:cs="Tahoma"/>
          <w:bCs/>
          <w:snapToGrid w:val="0"/>
          <w:szCs w:val="24"/>
        </w:rPr>
        <w:t>pros</w:t>
      </w:r>
      <w:r w:rsidR="0095686E">
        <w:rPr>
          <w:rFonts w:ascii="Tahoma" w:hAnsi="Tahoma" w:cs="Tahoma"/>
          <w:bCs/>
          <w:snapToGrid w:val="0"/>
          <w:szCs w:val="24"/>
        </w:rPr>
        <w:t>toru obce Palačov</w:t>
      </w:r>
      <w:r w:rsidR="0011005E">
        <w:rPr>
          <w:rFonts w:ascii="Tahoma" w:hAnsi="Tahoma" w:cs="Tahoma"/>
          <w:bCs/>
          <w:snapToGrid w:val="0"/>
          <w:szCs w:val="24"/>
        </w:rPr>
        <w:t xml:space="preserve">, kde v rámci stavby </w:t>
      </w:r>
      <w:r w:rsidR="00BE6624">
        <w:rPr>
          <w:rFonts w:ascii="Tahoma" w:hAnsi="Tahoma" w:cs="Tahoma"/>
          <w:bCs/>
          <w:snapToGrid w:val="0"/>
          <w:szCs w:val="24"/>
        </w:rPr>
        <w:t xml:space="preserve">„Silnice </w:t>
      </w:r>
      <w:r w:rsidR="00BE6624" w:rsidRPr="00BE6624">
        <w:rPr>
          <w:rFonts w:ascii="Tahoma" w:hAnsi="Tahoma" w:cs="Tahoma"/>
          <w:bCs/>
          <w:snapToGrid w:val="0"/>
          <w:szCs w:val="24"/>
        </w:rPr>
        <w:t>I/35 Lešná</w:t>
      </w:r>
      <w:r w:rsidR="00BE6624">
        <w:rPr>
          <w:rFonts w:ascii="Tahoma" w:hAnsi="Tahoma" w:cs="Tahoma"/>
          <w:bCs/>
          <w:snapToGrid w:val="0"/>
          <w:szCs w:val="24"/>
        </w:rPr>
        <w:t xml:space="preserve"> – </w:t>
      </w:r>
      <w:r w:rsidR="00BE6624" w:rsidRPr="00BE6624">
        <w:rPr>
          <w:rFonts w:ascii="Tahoma" w:hAnsi="Tahoma" w:cs="Tahoma"/>
          <w:bCs/>
          <w:snapToGrid w:val="0"/>
          <w:szCs w:val="24"/>
        </w:rPr>
        <w:t>Palačov</w:t>
      </w:r>
      <w:r w:rsidR="00BE6624">
        <w:rPr>
          <w:rFonts w:ascii="Tahoma" w:hAnsi="Tahoma" w:cs="Tahoma"/>
          <w:bCs/>
          <w:snapToGrid w:val="0"/>
          <w:szCs w:val="24"/>
        </w:rPr>
        <w:t>“</w:t>
      </w:r>
      <w:r w:rsidR="0095686E">
        <w:rPr>
          <w:rFonts w:ascii="Tahoma" w:hAnsi="Tahoma" w:cs="Tahoma"/>
          <w:bCs/>
          <w:snapToGrid w:val="0"/>
          <w:szCs w:val="24"/>
        </w:rPr>
        <w:t xml:space="preserve"> je plánována </w:t>
      </w:r>
      <w:r w:rsidR="00AE12B4" w:rsidRPr="00AE12B4">
        <w:rPr>
          <w:rFonts w:ascii="Tahoma" w:hAnsi="Tahoma" w:cs="Tahoma"/>
          <w:bCs/>
          <w:snapToGrid w:val="0"/>
          <w:szCs w:val="24"/>
        </w:rPr>
        <w:t>MÚK Palačov</w:t>
      </w:r>
      <w:r w:rsidR="00BE6624">
        <w:rPr>
          <w:rFonts w:ascii="Tahoma" w:hAnsi="Tahoma" w:cs="Tahoma"/>
          <w:bCs/>
          <w:snapToGrid w:val="0"/>
          <w:szCs w:val="24"/>
        </w:rPr>
        <w:t>.</w:t>
      </w:r>
      <w:r w:rsidR="003F0448">
        <w:rPr>
          <w:rFonts w:ascii="Tahoma" w:hAnsi="Tahoma" w:cs="Tahoma"/>
          <w:bCs/>
          <w:snapToGrid w:val="0"/>
          <w:szCs w:val="24"/>
        </w:rPr>
        <w:t xml:space="preserve"> </w:t>
      </w:r>
      <w:r w:rsidR="000D2819" w:rsidRPr="000023F2">
        <w:rPr>
          <w:rFonts w:ascii="Tahoma" w:hAnsi="Tahoma" w:cs="Tahoma"/>
          <w:b/>
          <w:snapToGrid w:val="0"/>
          <w:szCs w:val="24"/>
        </w:rPr>
        <w:t xml:space="preserve">Stavba má vybraného zhotovitele, </w:t>
      </w:r>
      <w:r w:rsidR="00C778AC" w:rsidRPr="000023F2">
        <w:rPr>
          <w:rFonts w:ascii="Tahoma" w:hAnsi="Tahoma" w:cs="Tahoma"/>
          <w:b/>
          <w:snapToGrid w:val="0"/>
          <w:szCs w:val="24"/>
        </w:rPr>
        <w:t xml:space="preserve">předpoklad zahájení stavby </w:t>
      </w:r>
      <w:r w:rsidR="00EF788D">
        <w:rPr>
          <w:rFonts w:ascii="Tahoma" w:hAnsi="Tahoma" w:cs="Tahoma"/>
          <w:b/>
          <w:snapToGrid w:val="0"/>
          <w:szCs w:val="24"/>
        </w:rPr>
        <w:t>v počátku stavební sezóny</w:t>
      </w:r>
      <w:r w:rsidR="000023F2" w:rsidRPr="000023F2">
        <w:rPr>
          <w:rFonts w:ascii="Tahoma" w:hAnsi="Tahoma" w:cs="Tahoma"/>
          <w:b/>
          <w:snapToGrid w:val="0"/>
          <w:szCs w:val="24"/>
        </w:rPr>
        <w:t xml:space="preserve"> 2021</w:t>
      </w:r>
      <w:r w:rsidR="000023F2">
        <w:rPr>
          <w:rFonts w:ascii="Tahoma" w:hAnsi="Tahoma" w:cs="Tahoma"/>
          <w:bCs/>
          <w:snapToGrid w:val="0"/>
          <w:szCs w:val="24"/>
        </w:rPr>
        <w:t>.</w:t>
      </w:r>
    </w:p>
    <w:p w14:paraId="23D4F39E" w14:textId="51E5374B" w:rsidR="007B34F5" w:rsidRDefault="00EC10C1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Stavb</w:t>
      </w:r>
      <w:r w:rsidR="009B2279">
        <w:rPr>
          <w:rFonts w:ascii="Tahoma" w:hAnsi="Tahoma" w:cs="Tahoma"/>
          <w:bCs/>
          <w:snapToGrid w:val="0"/>
          <w:szCs w:val="24"/>
        </w:rPr>
        <w:t>ou</w:t>
      </w:r>
      <w:r w:rsidRPr="003E4286">
        <w:rPr>
          <w:rFonts w:ascii="Tahoma" w:hAnsi="Tahoma" w:cs="Tahoma"/>
          <w:bCs/>
          <w:snapToGrid w:val="0"/>
          <w:szCs w:val="24"/>
        </w:rPr>
        <w:t xml:space="preserve"> </w:t>
      </w:r>
      <w:r w:rsidRPr="001F7124">
        <w:rPr>
          <w:rFonts w:ascii="Tahoma" w:hAnsi="Tahoma" w:cs="Tahoma"/>
          <w:bCs/>
          <w:snapToGrid w:val="0"/>
          <w:szCs w:val="24"/>
          <w:u w:val="single"/>
        </w:rPr>
        <w:t>MÚK Bělotín – Rybí, II. etapa</w:t>
      </w:r>
      <w:r w:rsidRPr="003E4286">
        <w:rPr>
          <w:rFonts w:ascii="Tahoma" w:hAnsi="Tahoma" w:cs="Tahoma"/>
          <w:bCs/>
          <w:snapToGrid w:val="0"/>
          <w:szCs w:val="24"/>
        </w:rPr>
        <w:t xml:space="preserve"> (T7</w:t>
      </w:r>
      <w:r>
        <w:rPr>
          <w:rFonts w:ascii="Tahoma" w:hAnsi="Tahoma" w:cs="Tahoma"/>
          <w:bCs/>
          <w:snapToGrid w:val="0"/>
          <w:szCs w:val="24"/>
        </w:rPr>
        <w:t>b</w:t>
      </w:r>
      <w:r w:rsidRPr="003E4286">
        <w:rPr>
          <w:rFonts w:ascii="Tahoma" w:hAnsi="Tahoma" w:cs="Tahoma"/>
          <w:bCs/>
          <w:snapToGrid w:val="0"/>
          <w:szCs w:val="24"/>
        </w:rPr>
        <w:t>)</w:t>
      </w:r>
      <w:r>
        <w:rPr>
          <w:rFonts w:ascii="Tahoma" w:hAnsi="Tahoma" w:cs="Tahoma"/>
          <w:bCs/>
          <w:snapToGrid w:val="0"/>
          <w:szCs w:val="24"/>
        </w:rPr>
        <w:t xml:space="preserve"> o délce </w:t>
      </w:r>
      <w:r w:rsidR="00823FF5">
        <w:rPr>
          <w:rFonts w:ascii="Tahoma" w:hAnsi="Tahoma" w:cs="Tahoma"/>
          <w:bCs/>
          <w:snapToGrid w:val="0"/>
          <w:szCs w:val="24"/>
        </w:rPr>
        <w:t>3,8 km</w:t>
      </w:r>
      <w:r w:rsidR="009B2279">
        <w:rPr>
          <w:rFonts w:ascii="Tahoma" w:hAnsi="Tahoma" w:cs="Tahoma"/>
          <w:bCs/>
          <w:snapToGrid w:val="0"/>
          <w:szCs w:val="24"/>
        </w:rPr>
        <w:t xml:space="preserve"> by měla být kompletována rekonstrukce </w:t>
      </w:r>
      <w:r w:rsidR="00584F8F">
        <w:rPr>
          <w:rFonts w:ascii="Tahoma" w:hAnsi="Tahoma" w:cs="Tahoma"/>
          <w:bCs/>
          <w:snapToGrid w:val="0"/>
          <w:szCs w:val="24"/>
        </w:rPr>
        <w:t>stávající silnice I/48 na dálnic</w:t>
      </w:r>
      <w:r w:rsidR="00EF788D">
        <w:rPr>
          <w:rFonts w:ascii="Tahoma" w:hAnsi="Tahoma" w:cs="Tahoma"/>
          <w:bCs/>
          <w:snapToGrid w:val="0"/>
          <w:szCs w:val="24"/>
        </w:rPr>
        <w:t>i</w:t>
      </w:r>
      <w:r w:rsidR="00584F8F">
        <w:rPr>
          <w:rFonts w:ascii="Tahoma" w:hAnsi="Tahoma" w:cs="Tahoma"/>
          <w:bCs/>
          <w:snapToGrid w:val="0"/>
          <w:szCs w:val="24"/>
        </w:rPr>
        <w:t xml:space="preserve"> D48</w:t>
      </w:r>
      <w:r w:rsidR="00FC2697">
        <w:rPr>
          <w:rFonts w:ascii="Tahoma" w:hAnsi="Tahoma" w:cs="Tahoma"/>
          <w:bCs/>
          <w:snapToGrid w:val="0"/>
          <w:szCs w:val="24"/>
        </w:rPr>
        <w:t>, v</w:t>
      </w:r>
      <w:r w:rsidR="00741DAF">
        <w:rPr>
          <w:rFonts w:ascii="Tahoma" w:hAnsi="Tahoma" w:cs="Tahoma"/>
          <w:bCs/>
          <w:snapToGrid w:val="0"/>
          <w:szCs w:val="24"/>
        </w:rPr>
        <w:t> </w:t>
      </w:r>
      <w:r w:rsidR="00FC2697">
        <w:rPr>
          <w:rFonts w:ascii="Tahoma" w:hAnsi="Tahoma" w:cs="Tahoma"/>
          <w:bCs/>
          <w:snapToGrid w:val="0"/>
          <w:szCs w:val="24"/>
        </w:rPr>
        <w:t>km </w:t>
      </w:r>
      <w:r w:rsidR="00741DAF">
        <w:rPr>
          <w:rFonts w:ascii="Tahoma" w:hAnsi="Tahoma" w:cs="Tahoma"/>
          <w:bCs/>
          <w:snapToGrid w:val="0"/>
          <w:szCs w:val="24"/>
        </w:rPr>
        <w:t>18,1</w:t>
      </w:r>
      <w:r w:rsidR="00FC2697">
        <w:rPr>
          <w:rFonts w:ascii="Tahoma" w:hAnsi="Tahoma" w:cs="Tahoma"/>
          <w:bCs/>
          <w:snapToGrid w:val="0"/>
          <w:szCs w:val="24"/>
        </w:rPr>
        <w:t> </w:t>
      </w:r>
      <w:r w:rsidR="00FC2697">
        <w:rPr>
          <w:rFonts w:ascii="Tahoma" w:hAnsi="Tahoma" w:cs="Tahoma"/>
          <w:bCs/>
          <w:snapToGrid w:val="0"/>
          <w:szCs w:val="24"/>
        </w:rPr>
        <w:softHyphen/>
      </w:r>
      <w:r w:rsidR="00FC2697">
        <w:rPr>
          <w:rFonts w:ascii="Tahoma" w:hAnsi="Tahoma" w:cs="Tahoma"/>
          <w:bCs/>
          <w:snapToGrid w:val="0"/>
          <w:szCs w:val="24"/>
        </w:rPr>
        <w:noBreakHyphen/>
        <w:t> 2</w:t>
      </w:r>
      <w:r w:rsidR="00741DAF">
        <w:rPr>
          <w:rFonts w:ascii="Tahoma" w:hAnsi="Tahoma" w:cs="Tahoma"/>
          <w:bCs/>
          <w:snapToGrid w:val="0"/>
          <w:szCs w:val="24"/>
        </w:rPr>
        <w:t xml:space="preserve">0,3 </w:t>
      </w:r>
      <w:r w:rsidR="007B34F5">
        <w:rPr>
          <w:rFonts w:ascii="Tahoma" w:hAnsi="Tahoma" w:cs="Tahoma"/>
          <w:bCs/>
          <w:snapToGrid w:val="0"/>
          <w:szCs w:val="24"/>
        </w:rPr>
        <w:t xml:space="preserve">se přepracovává dokumentace pro </w:t>
      </w:r>
      <w:r w:rsidR="00AC7B78">
        <w:rPr>
          <w:rFonts w:ascii="Tahoma" w:hAnsi="Tahoma" w:cs="Tahoma"/>
          <w:bCs/>
          <w:snapToGrid w:val="0"/>
          <w:szCs w:val="24"/>
        </w:rPr>
        <w:t xml:space="preserve">změnu </w:t>
      </w:r>
      <w:r w:rsidR="007B34F5">
        <w:rPr>
          <w:rFonts w:ascii="Tahoma" w:hAnsi="Tahoma" w:cs="Tahoma"/>
          <w:bCs/>
          <w:snapToGrid w:val="0"/>
          <w:szCs w:val="24"/>
        </w:rPr>
        <w:t>územní</w:t>
      </w:r>
      <w:r w:rsidR="00AC7B78">
        <w:rPr>
          <w:rFonts w:ascii="Tahoma" w:hAnsi="Tahoma" w:cs="Tahoma"/>
          <w:bCs/>
          <w:snapToGrid w:val="0"/>
          <w:szCs w:val="24"/>
        </w:rPr>
        <w:t>ho</w:t>
      </w:r>
      <w:r w:rsidR="007B34F5">
        <w:rPr>
          <w:rFonts w:ascii="Tahoma" w:hAnsi="Tahoma" w:cs="Tahoma"/>
          <w:bCs/>
          <w:snapToGrid w:val="0"/>
          <w:szCs w:val="24"/>
        </w:rPr>
        <w:t xml:space="preserve"> rozhodnutí, termín odevzdání 3/2021.</w:t>
      </w:r>
    </w:p>
    <w:p w14:paraId="6C8DAE42" w14:textId="77777777" w:rsidR="00AE12B4" w:rsidRPr="00413E6D" w:rsidRDefault="005524D2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56 Frýdek-Místek – připojení na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</w:t>
      </w:r>
      <w:r w:rsidR="00960FFB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</w:p>
    <w:p w14:paraId="6C8DAE43" w14:textId="77777777"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Stavb</w:t>
      </w:r>
      <w:r w:rsidR="00141B2C" w:rsidRPr="003E4286">
        <w:rPr>
          <w:rFonts w:ascii="Tahoma" w:hAnsi="Tahoma" w:cs="Tahoma"/>
          <w:bCs/>
          <w:snapToGrid w:val="0"/>
          <w:szCs w:val="24"/>
        </w:rPr>
        <w:t>a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 (T11)</w:t>
      </w:r>
      <w:r w:rsidR="00141B2C" w:rsidRPr="003E4286">
        <w:rPr>
          <w:rFonts w:ascii="Tahoma" w:hAnsi="Tahoma" w:cs="Tahoma"/>
          <w:bCs/>
          <w:snapToGrid w:val="0"/>
          <w:szCs w:val="24"/>
        </w:rPr>
        <w:t xml:space="preserve"> je projektována v kategorii R</w:t>
      </w:r>
      <w:r w:rsidRPr="003E4286">
        <w:rPr>
          <w:rFonts w:ascii="Tahoma" w:hAnsi="Tahoma" w:cs="Tahoma"/>
          <w:bCs/>
          <w:snapToGrid w:val="0"/>
          <w:szCs w:val="24"/>
        </w:rPr>
        <w:t>25,5/120, délka stavby činí 2,306 km. Jedná</w:t>
      </w:r>
      <w:r w:rsidRPr="00AE12B4">
        <w:rPr>
          <w:rFonts w:ascii="Tahoma" w:hAnsi="Tahoma" w:cs="Tahoma"/>
          <w:bCs/>
          <w:snapToGrid w:val="0"/>
          <w:szCs w:val="24"/>
        </w:rPr>
        <w:t xml:space="preserve"> se o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propojení </w:t>
      </w:r>
      <w:r w:rsidR="005C0961">
        <w:rPr>
          <w:rFonts w:ascii="Tahoma" w:hAnsi="Tahoma" w:cs="Tahoma"/>
          <w:bCs/>
          <w:snapToGrid w:val="0"/>
          <w:szCs w:val="24"/>
        </w:rPr>
        <w:t>dálnice II. třídy</w:t>
      </w:r>
      <w:r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56 od Ostravy severozápadním obchvatem od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Sviadnova do prostoru MÚK Olešná. Stavba obsahuje mimoúrovňové napojení rychlostního přivaděče na stávající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56 severně Frýdku-Místku, přemostění silnice I/48 (ul. Příborská), přemostění silnice II/473 a mimoúrovňové napojení rychlostního přivaděče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ve směru na Příbor. Řešená stavba </w:t>
      </w:r>
      <w:r w:rsidR="00141B2C">
        <w:rPr>
          <w:rFonts w:ascii="Tahoma" w:hAnsi="Tahoma" w:cs="Tahoma"/>
          <w:bCs/>
          <w:snapToGrid w:val="0"/>
          <w:szCs w:val="24"/>
        </w:rPr>
        <w:t>navazuje na stavbu „</w:t>
      </w:r>
      <w:r w:rsidR="005C0961">
        <w:rPr>
          <w:rFonts w:ascii="Tahoma" w:hAnsi="Tahoma" w:cs="Tahoma"/>
          <w:bCs/>
          <w:snapToGrid w:val="0"/>
          <w:szCs w:val="24"/>
        </w:rPr>
        <w:t>D</w:t>
      </w:r>
      <w:r w:rsidR="00141B2C">
        <w:rPr>
          <w:rFonts w:ascii="Tahoma" w:hAnsi="Tahoma" w:cs="Tahoma"/>
          <w:bCs/>
          <w:snapToGrid w:val="0"/>
          <w:szCs w:val="24"/>
        </w:rPr>
        <w:t>48 </w:t>
      </w:r>
      <w:r w:rsidRPr="00AE12B4">
        <w:rPr>
          <w:rFonts w:ascii="Tahoma" w:hAnsi="Tahoma" w:cs="Tahoma"/>
          <w:bCs/>
          <w:snapToGrid w:val="0"/>
          <w:szCs w:val="24"/>
        </w:rPr>
        <w:t xml:space="preserve">Frýdek-Místek, obchvat“. </w:t>
      </w:r>
    </w:p>
    <w:p w14:paraId="6C8DAE44" w14:textId="77777777" w:rsidR="00AE12B4" w:rsidRPr="00413E6D" w:rsidRDefault="00150F90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 xml:space="preserve">V 05/2018 byla zahájena realizace </w:t>
      </w:r>
      <w:r w:rsidR="00960FFB">
        <w:rPr>
          <w:rFonts w:ascii="Tahoma" w:hAnsi="Tahoma" w:cs="Tahoma"/>
          <w:b/>
          <w:bCs/>
          <w:snapToGrid w:val="0"/>
          <w:szCs w:val="24"/>
        </w:rPr>
        <w:t>stavby</w:t>
      </w:r>
      <w:r w:rsidR="0049238A">
        <w:rPr>
          <w:rFonts w:ascii="Tahoma" w:hAnsi="Tahoma" w:cs="Tahoma"/>
          <w:b/>
          <w:bCs/>
          <w:snapToGrid w:val="0"/>
          <w:szCs w:val="24"/>
        </w:rPr>
        <w:t>.</w:t>
      </w:r>
    </w:p>
    <w:p w14:paraId="6C8DAE45" w14:textId="77777777"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Frýdek</w:t>
      </w:r>
      <w:r w:rsidR="00020524">
        <w:rPr>
          <w:rFonts w:ascii="Tahoma" w:hAnsi="Tahoma" w:cs="Tahoma"/>
          <w:b/>
          <w:bCs/>
          <w:snapToGrid w:val="0"/>
          <w:szCs w:val="24"/>
          <w:u w:val="single"/>
        </w:rPr>
        <w:t>-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Místek – obchvat</w:t>
      </w:r>
    </w:p>
    <w:p w14:paraId="6C8DAE46" w14:textId="77777777" w:rsidR="00AE12B4" w:rsidRPr="00AE12B4" w:rsidRDefault="00AE12B4" w:rsidP="009E088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Předmětem stavby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(T10) </w:t>
      </w:r>
      <w:r w:rsidRPr="003E4286">
        <w:rPr>
          <w:rFonts w:ascii="Tahoma" w:hAnsi="Tahoma" w:cs="Tahoma"/>
          <w:bCs/>
          <w:snapToGrid w:val="0"/>
          <w:szCs w:val="24"/>
        </w:rPr>
        <w:t>je jižní silniční obchvat Frýdku-Místku, který je součástí</w:t>
      </w:r>
      <w:r w:rsidRPr="00AE12B4">
        <w:rPr>
          <w:rFonts w:ascii="Tahoma" w:hAnsi="Tahoma" w:cs="Tahoma"/>
          <w:bCs/>
          <w:snapToGrid w:val="0"/>
          <w:szCs w:val="24"/>
        </w:rPr>
        <w:t xml:space="preserve"> souboru staveb </w:t>
      </w:r>
      <w:r w:rsidR="00C1520D">
        <w:rPr>
          <w:rFonts w:ascii="Tahoma" w:hAnsi="Tahoma" w:cs="Tahoma"/>
          <w:bCs/>
          <w:snapToGrid w:val="0"/>
          <w:szCs w:val="24"/>
        </w:rPr>
        <w:t xml:space="preserve">původní </w:t>
      </w:r>
      <w:r w:rsidRPr="00AE12B4">
        <w:rPr>
          <w:rFonts w:ascii="Tahoma" w:hAnsi="Tahoma" w:cs="Tahoma"/>
          <w:bCs/>
          <w:snapToGrid w:val="0"/>
          <w:szCs w:val="24"/>
        </w:rPr>
        <w:t>silnice I/48. Silniční obchvat je novostavba</w:t>
      </w:r>
      <w:r w:rsidR="00141B2C">
        <w:rPr>
          <w:rFonts w:ascii="Tahoma" w:hAnsi="Tahoma" w:cs="Tahoma"/>
          <w:bCs/>
          <w:snapToGrid w:val="0"/>
          <w:szCs w:val="24"/>
        </w:rPr>
        <w:t xml:space="preserve"> navržená v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="00141B2C">
        <w:rPr>
          <w:rFonts w:ascii="Tahoma" w:hAnsi="Tahoma" w:cs="Tahoma"/>
          <w:bCs/>
          <w:snapToGrid w:val="0"/>
          <w:szCs w:val="24"/>
        </w:rPr>
        <w:t>kategorii R</w:t>
      </w:r>
      <w:r w:rsidRPr="00AE12B4">
        <w:rPr>
          <w:rFonts w:ascii="Tahoma" w:hAnsi="Tahoma" w:cs="Tahoma"/>
          <w:bCs/>
          <w:snapToGrid w:val="0"/>
          <w:szCs w:val="24"/>
        </w:rPr>
        <w:t>25,5/120 v délce 8,566 km, který navazuje na předchozí úsek „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Rychaltice - Frýdek-Místek“ a napojuje se na provozovanou stavbu „Silnice I/48 Frýdek-Místek - Dobrá, obchvat</w:t>
      </w:r>
      <w:r w:rsidR="009E0886">
        <w:rPr>
          <w:rFonts w:ascii="Tahoma" w:hAnsi="Tahoma" w:cs="Tahoma"/>
          <w:bCs/>
          <w:snapToGrid w:val="0"/>
          <w:szCs w:val="24"/>
        </w:rPr>
        <w:t xml:space="preserve">“. </w:t>
      </w:r>
      <w:r w:rsidR="009E0886" w:rsidRPr="009E0886">
        <w:rPr>
          <w:rFonts w:ascii="Tahoma" w:hAnsi="Tahoma" w:cs="Tahoma"/>
          <w:bCs/>
          <w:snapToGrid w:val="0"/>
          <w:szCs w:val="24"/>
        </w:rPr>
        <w:t xml:space="preserve">Převedením provozu na novou kapacitní </w:t>
      </w:r>
      <w:r w:rsidR="00AA22D6">
        <w:rPr>
          <w:rFonts w:ascii="Tahoma" w:hAnsi="Tahoma" w:cs="Tahoma"/>
          <w:bCs/>
          <w:snapToGrid w:val="0"/>
          <w:szCs w:val="24"/>
        </w:rPr>
        <w:t xml:space="preserve">komunikaci </w:t>
      </w:r>
      <w:r w:rsidR="009E0886" w:rsidRPr="009E0886">
        <w:rPr>
          <w:rFonts w:ascii="Tahoma" w:hAnsi="Tahoma" w:cs="Tahoma"/>
          <w:bCs/>
          <w:snapToGrid w:val="0"/>
          <w:szCs w:val="24"/>
        </w:rPr>
        <w:t>dojde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k zásadnímu zklidnění bývalého průjezdného úseku silnice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I/48 se světelně řízenými křižovatkami, a tím ke zvýšení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bezpečnosti provozu i ke zlepšení životního prostředí</w:t>
      </w:r>
      <w:r w:rsidRPr="00AE12B4">
        <w:rPr>
          <w:rFonts w:ascii="Tahoma" w:hAnsi="Tahoma" w:cs="Tahoma"/>
          <w:bCs/>
          <w:snapToGrid w:val="0"/>
          <w:szCs w:val="24"/>
        </w:rPr>
        <w:t xml:space="preserve">. </w:t>
      </w:r>
    </w:p>
    <w:p w14:paraId="6C8DAE47" w14:textId="38318F3E" w:rsidR="005A1F1E" w:rsidRDefault="00AE12B4" w:rsidP="00150F90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13E6D">
        <w:rPr>
          <w:rFonts w:ascii="Tahoma" w:hAnsi="Tahoma" w:cs="Tahoma"/>
          <w:b/>
          <w:bCs/>
          <w:snapToGrid w:val="0"/>
          <w:szCs w:val="24"/>
        </w:rPr>
        <w:t>V</w:t>
      </w:r>
      <w:r w:rsidR="00150F90">
        <w:rPr>
          <w:rFonts w:ascii="Tahoma" w:hAnsi="Tahoma" w:cs="Tahoma"/>
          <w:b/>
          <w:bCs/>
          <w:snapToGrid w:val="0"/>
          <w:szCs w:val="24"/>
        </w:rPr>
        <w:t> 05/2018 byla zahájena realizace I. etapy stavby, II. etap</w:t>
      </w:r>
      <w:r w:rsidR="002B242B">
        <w:rPr>
          <w:rFonts w:ascii="Tahoma" w:hAnsi="Tahoma" w:cs="Tahoma"/>
          <w:b/>
          <w:bCs/>
          <w:snapToGrid w:val="0"/>
          <w:szCs w:val="24"/>
        </w:rPr>
        <w:t xml:space="preserve">a byla zahájena </w:t>
      </w:r>
      <w:r w:rsidR="002A1B40">
        <w:rPr>
          <w:rFonts w:ascii="Tahoma" w:hAnsi="Tahoma" w:cs="Tahoma"/>
          <w:b/>
          <w:bCs/>
          <w:snapToGrid w:val="0"/>
          <w:szCs w:val="24"/>
        </w:rPr>
        <w:t>v 09/2019</w:t>
      </w:r>
      <w:r w:rsidR="009C2D79">
        <w:rPr>
          <w:rFonts w:ascii="Tahoma" w:hAnsi="Tahoma" w:cs="Tahoma"/>
          <w:b/>
          <w:bCs/>
          <w:snapToGrid w:val="0"/>
          <w:szCs w:val="24"/>
        </w:rPr>
        <w:t>.</w:t>
      </w:r>
      <w:r w:rsidR="005A1F1E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14:paraId="6C8DAE48" w14:textId="77777777"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– MÚK Nošovice</w:t>
      </w:r>
    </w:p>
    <w:p w14:paraId="6C8DAE49" w14:textId="571FA0E8" w:rsidR="00AE12B4" w:rsidRPr="00AE12B4" w:rsidRDefault="00AE12B4" w:rsidP="0052677E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(T20) </w:t>
      </w:r>
      <w:r w:rsidRPr="003E4286">
        <w:rPr>
          <w:rFonts w:ascii="Tahoma" w:hAnsi="Tahoma" w:cs="Tahoma"/>
          <w:bCs/>
          <w:snapToGrid w:val="0"/>
          <w:szCs w:val="24"/>
        </w:rPr>
        <w:t xml:space="preserve">obsahuje všesměrnou mimoúrovňovou křižovatku na </w:t>
      </w:r>
      <w:r w:rsidR="00AA22D6" w:rsidRPr="003E4286">
        <w:rPr>
          <w:rFonts w:ascii="Tahoma" w:hAnsi="Tahoma" w:cs="Tahoma"/>
          <w:bCs/>
          <w:snapToGrid w:val="0"/>
          <w:szCs w:val="24"/>
        </w:rPr>
        <w:t>dálnici D48</w:t>
      </w:r>
      <w:r w:rsidRPr="003E4286">
        <w:rPr>
          <w:rFonts w:ascii="Tahoma" w:hAnsi="Tahoma" w:cs="Tahoma"/>
          <w:bCs/>
          <w:snapToGrid w:val="0"/>
          <w:szCs w:val="24"/>
        </w:rPr>
        <w:t>, která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svým návrhem atypická a kvůli stísněným místním podmínkám vyžaduje realizaci čtyř mostních objektů, z nichž jeden je navrhován jako mostní estakáda. Kromě základního mimoúrovňového křížení s </w:t>
      </w:r>
      <w:r w:rsidR="00CD28EB">
        <w:rPr>
          <w:rFonts w:ascii="Tahoma" w:hAnsi="Tahoma" w:cs="Tahoma"/>
          <w:bCs/>
          <w:snapToGrid w:val="0"/>
          <w:szCs w:val="24"/>
        </w:rPr>
        <w:t>dálnicí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třeba mimoúrovňově křížit i jednokolejovou železniční trať a vodní tok. Jedná se o napojení silnice III/4775 (Nižní Lhoty –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48), která </w:t>
      </w:r>
      <w:r w:rsidR="00BF53F0">
        <w:rPr>
          <w:rFonts w:ascii="Tahoma" w:hAnsi="Tahoma" w:cs="Tahoma"/>
          <w:bCs/>
          <w:snapToGrid w:val="0"/>
          <w:szCs w:val="24"/>
        </w:rPr>
        <w:t>byla</w:t>
      </w:r>
      <w:r w:rsidR="00BF53F0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realizována Moravskoslezským krajem v rámci souboru staveb PZ Nošovice. </w:t>
      </w:r>
      <w:r w:rsidR="00BF53F0">
        <w:rPr>
          <w:rFonts w:ascii="Tahoma" w:hAnsi="Tahoma" w:cs="Tahoma"/>
          <w:bCs/>
          <w:snapToGrid w:val="0"/>
          <w:szCs w:val="24"/>
        </w:rPr>
        <w:t>Realizací MÚK Nošovice bude zajištěno přímé napojení stávající silnice č.</w:t>
      </w:r>
      <w:r w:rsidR="007D6A59">
        <w:rPr>
          <w:rFonts w:ascii="Tahoma" w:hAnsi="Tahoma" w:cs="Tahoma"/>
          <w:bCs/>
          <w:snapToGrid w:val="0"/>
          <w:szCs w:val="24"/>
        </w:rPr>
        <w:t> </w:t>
      </w:r>
      <w:r w:rsidR="00BF53F0">
        <w:rPr>
          <w:rFonts w:ascii="Tahoma" w:hAnsi="Tahoma" w:cs="Tahoma"/>
          <w:bCs/>
          <w:snapToGrid w:val="0"/>
          <w:szCs w:val="24"/>
        </w:rPr>
        <w:t xml:space="preserve">III/4775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="00BF53F0">
        <w:rPr>
          <w:rFonts w:ascii="Tahoma" w:hAnsi="Tahoma" w:cs="Tahoma"/>
          <w:bCs/>
          <w:snapToGrid w:val="0"/>
          <w:szCs w:val="24"/>
        </w:rPr>
        <w:t>48, vznikne tak obchvat Nošovic pro pozemní dopravu z údolí Morávky včetně para</w:t>
      </w:r>
      <w:r w:rsidR="00FC1097">
        <w:rPr>
          <w:rFonts w:ascii="Tahoma" w:hAnsi="Tahoma" w:cs="Tahoma"/>
          <w:bCs/>
          <w:snapToGrid w:val="0"/>
          <w:szCs w:val="24"/>
        </w:rPr>
        <w:t>l</w:t>
      </w:r>
      <w:r w:rsidR="00BF53F0">
        <w:rPr>
          <w:rFonts w:ascii="Tahoma" w:hAnsi="Tahoma" w:cs="Tahoma"/>
          <w:bCs/>
          <w:snapToGrid w:val="0"/>
          <w:szCs w:val="24"/>
        </w:rPr>
        <w:t xml:space="preserve">elního napojení PZ Nošovice.  </w:t>
      </w:r>
    </w:p>
    <w:p w14:paraId="6C8DAE4A" w14:textId="19EC24B4" w:rsidR="00960FFB" w:rsidRPr="00130793" w:rsidRDefault="005D0AC3" w:rsidP="001307D9">
      <w:pPr>
        <w:pStyle w:val="Zkladntext"/>
        <w:spacing w:after="120"/>
        <w:rPr>
          <w:rFonts w:ascii="Tahoma" w:hAnsi="Tahoma" w:cs="Tahoma"/>
          <w:b/>
          <w:bCs/>
          <w:snapToGrid w:val="0"/>
          <w:color w:val="FF0000"/>
          <w:szCs w:val="24"/>
        </w:rPr>
      </w:pPr>
      <w:r w:rsidRPr="005D0AC3">
        <w:rPr>
          <w:rFonts w:ascii="Tahoma" w:hAnsi="Tahoma" w:cs="Tahoma"/>
          <w:b/>
          <w:bCs/>
          <w:snapToGrid w:val="0"/>
          <w:szCs w:val="24"/>
        </w:rPr>
        <w:t>Od r. 2009 probíhá územní řízení, dochází k opakovanému napadání územního rozhodnutí</w:t>
      </w:r>
      <w:r w:rsidR="00B80CA0">
        <w:rPr>
          <w:rFonts w:ascii="Tahoma" w:hAnsi="Tahoma" w:cs="Tahoma"/>
          <w:b/>
          <w:bCs/>
          <w:snapToGrid w:val="0"/>
          <w:szCs w:val="24"/>
        </w:rPr>
        <w:t>.</w:t>
      </w:r>
    </w:p>
    <w:p w14:paraId="6C8DAE4B" w14:textId="77777777" w:rsidR="00960FFB" w:rsidRPr="00960FFB" w:rsidRDefault="00960FFB" w:rsidP="00960FFB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mallCaps/>
          <w:snapToGrid w:val="0"/>
          <w:szCs w:val="24"/>
          <w:u w:val="single"/>
        </w:rPr>
      </w:pPr>
      <w:r w:rsidRPr="00960FFB">
        <w:rPr>
          <w:rFonts w:ascii="Tahoma" w:hAnsi="Tahoma" w:cs="Tahoma"/>
          <w:b/>
          <w:bCs/>
          <w:smallCaps/>
          <w:snapToGrid w:val="0"/>
          <w:szCs w:val="24"/>
          <w:u w:val="single"/>
        </w:rPr>
        <w:t>SLEZSKÝ KŘÍŽ ZÁPAD (OSTRAVA - BARTULTOVICE)</w:t>
      </w:r>
    </w:p>
    <w:p w14:paraId="6C8DAE52" w14:textId="496DBC17" w:rsidR="00535B42" w:rsidRPr="00DD10A6" w:rsidRDefault="00960FFB" w:rsidP="00715CBA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Dopravní tah přes území kraje, který propojuje významná regionální centra Opolského vojvodství a Moravskoslezského kraje s ostravskou aglomerací, zejména se jedná o propojení příhraničních regionů Opavska a Krnovska s polskými celky na úrovni NUTS III (</w:t>
      </w:r>
      <w:proofErr w:type="spellStart"/>
      <w:r>
        <w:rPr>
          <w:rFonts w:ascii="Tahoma" w:hAnsi="Tahoma" w:cs="Tahoma"/>
          <w:bCs/>
          <w:snapToGrid w:val="0"/>
          <w:szCs w:val="24"/>
        </w:rPr>
        <w:t>nyski</w:t>
      </w:r>
      <w:proofErr w:type="spellEnd"/>
      <w:r>
        <w:rPr>
          <w:rFonts w:ascii="Tahoma" w:hAnsi="Tahoma" w:cs="Tahoma"/>
          <w:bCs/>
          <w:snapToGrid w:val="0"/>
          <w:szCs w:val="24"/>
        </w:rPr>
        <w:t xml:space="preserve"> a </w:t>
      </w:r>
      <w:proofErr w:type="spellStart"/>
      <w:r>
        <w:rPr>
          <w:rFonts w:ascii="Tahoma" w:hAnsi="Tahoma" w:cs="Tahoma"/>
          <w:bCs/>
          <w:snapToGrid w:val="0"/>
          <w:szCs w:val="24"/>
        </w:rPr>
        <w:t>opolski</w:t>
      </w:r>
      <w:proofErr w:type="spellEnd"/>
      <w:r>
        <w:rPr>
          <w:rFonts w:ascii="Tahoma" w:hAnsi="Tahoma" w:cs="Tahoma"/>
          <w:bCs/>
          <w:snapToGrid w:val="0"/>
          <w:szCs w:val="24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szCs w:val="24"/>
        </w:rPr>
        <w:t>subregion</w:t>
      </w:r>
      <w:proofErr w:type="spellEnd"/>
      <w:r>
        <w:rPr>
          <w:rFonts w:ascii="Tahoma" w:hAnsi="Tahoma" w:cs="Tahoma"/>
          <w:bCs/>
          <w:snapToGrid w:val="0"/>
          <w:szCs w:val="24"/>
        </w:rPr>
        <w:t>).</w:t>
      </w:r>
    </w:p>
    <w:p w14:paraId="36296DF0" w14:textId="77777777" w:rsidR="00E71971" w:rsidRDefault="00E85A22" w:rsidP="00B547FD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Obchvat Opavy</w:t>
      </w:r>
    </w:p>
    <w:p w14:paraId="52FBF144" w14:textId="3047ED10" w:rsidR="001D6C2A" w:rsidRDefault="00E71971" w:rsidP="00B547FD">
      <w:pPr>
        <w:pStyle w:val="Zkladntext"/>
        <w:keepNext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Součástí obchvatu Opavy jsou </w:t>
      </w:r>
      <w:r w:rsidR="004221AC">
        <w:rPr>
          <w:rFonts w:ascii="Tahoma" w:hAnsi="Tahoma" w:cs="Tahoma"/>
          <w:bCs/>
          <w:snapToGrid w:val="0"/>
          <w:szCs w:val="24"/>
        </w:rPr>
        <w:t xml:space="preserve">již zprovozněné </w:t>
      </w:r>
      <w:r>
        <w:rPr>
          <w:rFonts w:ascii="Tahoma" w:hAnsi="Tahoma" w:cs="Tahoma"/>
          <w:bCs/>
          <w:snapToGrid w:val="0"/>
          <w:szCs w:val="24"/>
        </w:rPr>
        <w:t>stavby s</w:t>
      </w:r>
      <w:r w:rsidR="004221AC">
        <w:rPr>
          <w:rFonts w:ascii="Tahoma" w:hAnsi="Tahoma" w:cs="Tahoma"/>
          <w:bCs/>
          <w:snapToGrid w:val="0"/>
          <w:szCs w:val="24"/>
        </w:rPr>
        <w:t>everního obchvatu - s</w:t>
      </w:r>
      <w:r>
        <w:rPr>
          <w:rFonts w:ascii="Tahoma" w:hAnsi="Tahoma" w:cs="Tahoma"/>
          <w:bCs/>
          <w:snapToGrid w:val="0"/>
          <w:szCs w:val="24"/>
        </w:rPr>
        <w:t xml:space="preserve">pojka S1 (Propojení silnic I/11 a I/56, spojka S1 v Opavě) zprovozněná v 12/2009 jako 1. etapa obchvatu </w:t>
      </w:r>
      <w:r w:rsidR="004221AC">
        <w:rPr>
          <w:rFonts w:ascii="Tahoma" w:hAnsi="Tahoma" w:cs="Tahoma"/>
          <w:bCs/>
          <w:snapToGrid w:val="0"/>
          <w:szCs w:val="24"/>
        </w:rPr>
        <w:t xml:space="preserve">a </w:t>
      </w:r>
      <w:r w:rsidR="008547B1" w:rsidRPr="008547B1">
        <w:rPr>
          <w:rFonts w:ascii="Tahoma" w:hAnsi="Tahoma" w:cs="Tahoma"/>
          <w:bCs/>
          <w:snapToGrid w:val="0"/>
          <w:szCs w:val="24"/>
        </w:rPr>
        <w:t xml:space="preserve">Silnice I/11 Opava – severní obchvat, </w:t>
      </w:r>
      <w:r w:rsidR="004C17F0">
        <w:rPr>
          <w:rFonts w:ascii="Tahoma" w:hAnsi="Tahoma" w:cs="Tahoma"/>
          <w:bCs/>
          <w:snapToGrid w:val="0"/>
          <w:szCs w:val="24"/>
        </w:rPr>
        <w:t>východní</w:t>
      </w:r>
      <w:r w:rsidR="008547B1" w:rsidRPr="008547B1">
        <w:rPr>
          <w:rFonts w:ascii="Tahoma" w:hAnsi="Tahoma" w:cs="Tahoma"/>
          <w:bCs/>
          <w:snapToGrid w:val="0"/>
          <w:szCs w:val="24"/>
        </w:rPr>
        <w:t xml:space="preserve"> část</w:t>
      </w:r>
      <w:r w:rsidR="008547B1">
        <w:rPr>
          <w:rFonts w:ascii="Tahoma" w:hAnsi="Tahoma" w:cs="Tahoma"/>
          <w:bCs/>
          <w:snapToGrid w:val="0"/>
          <w:szCs w:val="24"/>
        </w:rPr>
        <w:t>, zprovozněná v</w:t>
      </w:r>
      <w:r w:rsidR="001508BE">
        <w:rPr>
          <w:rFonts w:ascii="Tahoma" w:hAnsi="Tahoma" w:cs="Tahoma"/>
          <w:bCs/>
          <w:snapToGrid w:val="0"/>
          <w:szCs w:val="24"/>
        </w:rPr>
        <w:t> 10/2019</w:t>
      </w:r>
      <w:r w:rsidR="001D6C2A">
        <w:rPr>
          <w:rFonts w:ascii="Tahoma" w:hAnsi="Tahoma" w:cs="Tahoma"/>
          <w:bCs/>
          <w:snapToGrid w:val="0"/>
          <w:szCs w:val="24"/>
        </w:rPr>
        <w:t xml:space="preserve">. Jižní obchvat Opavy je </w:t>
      </w:r>
      <w:r w:rsidR="0057155E">
        <w:rPr>
          <w:rFonts w:ascii="Tahoma" w:hAnsi="Tahoma" w:cs="Tahoma"/>
          <w:bCs/>
          <w:snapToGrid w:val="0"/>
          <w:szCs w:val="24"/>
        </w:rPr>
        <w:t>zprovozněn</w:t>
      </w:r>
      <w:r w:rsidR="001D6C2A">
        <w:rPr>
          <w:rFonts w:ascii="Tahoma" w:hAnsi="Tahoma" w:cs="Tahoma"/>
          <w:bCs/>
          <w:snapToGrid w:val="0"/>
          <w:szCs w:val="24"/>
        </w:rPr>
        <w:t xml:space="preserve"> </w:t>
      </w:r>
      <w:r w:rsidR="00571A1E">
        <w:rPr>
          <w:rFonts w:ascii="Tahoma" w:hAnsi="Tahoma" w:cs="Tahoma"/>
          <w:bCs/>
          <w:snapToGrid w:val="0"/>
          <w:szCs w:val="24"/>
        </w:rPr>
        <w:t xml:space="preserve">v úseku mezi silnicemi I/11 a I/57 </w:t>
      </w:r>
      <w:r w:rsidR="001D6C2A">
        <w:rPr>
          <w:rFonts w:ascii="Tahoma" w:hAnsi="Tahoma" w:cs="Tahoma"/>
          <w:bCs/>
          <w:snapToGrid w:val="0"/>
          <w:szCs w:val="24"/>
        </w:rPr>
        <w:t xml:space="preserve">jako </w:t>
      </w:r>
      <w:r w:rsidR="002C5D10">
        <w:rPr>
          <w:rFonts w:ascii="Tahoma" w:hAnsi="Tahoma" w:cs="Tahoma"/>
          <w:bCs/>
          <w:snapToGrid w:val="0"/>
          <w:szCs w:val="24"/>
        </w:rPr>
        <w:t>„</w:t>
      </w:r>
      <w:r w:rsidR="002C5D10" w:rsidRPr="002C5D10">
        <w:rPr>
          <w:rFonts w:ascii="Tahoma" w:hAnsi="Tahoma" w:cs="Tahoma"/>
          <w:bCs/>
          <w:snapToGrid w:val="0"/>
          <w:szCs w:val="24"/>
        </w:rPr>
        <w:t>P</w:t>
      </w:r>
      <w:r w:rsidR="002C5D10">
        <w:rPr>
          <w:rFonts w:ascii="Tahoma" w:hAnsi="Tahoma" w:cs="Tahoma"/>
          <w:bCs/>
          <w:snapToGrid w:val="0"/>
          <w:szCs w:val="24"/>
        </w:rPr>
        <w:t>ř</w:t>
      </w:r>
      <w:r w:rsidR="002C5D10" w:rsidRPr="002C5D10">
        <w:rPr>
          <w:rFonts w:ascii="Tahoma" w:hAnsi="Tahoma" w:cs="Tahoma"/>
          <w:bCs/>
          <w:snapToGrid w:val="0"/>
          <w:szCs w:val="24"/>
        </w:rPr>
        <w:t>eložka silnice II/461 v Opav</w:t>
      </w:r>
      <w:r w:rsidR="002C5D10">
        <w:rPr>
          <w:rFonts w:ascii="Tahoma" w:hAnsi="Tahoma" w:cs="Tahoma"/>
          <w:bCs/>
          <w:snapToGrid w:val="0"/>
          <w:szCs w:val="24"/>
        </w:rPr>
        <w:t>ě</w:t>
      </w:r>
      <w:r w:rsidR="002C5D10" w:rsidRPr="002C5D10">
        <w:rPr>
          <w:rFonts w:ascii="Tahoma" w:hAnsi="Tahoma" w:cs="Tahoma"/>
          <w:bCs/>
          <w:snapToGrid w:val="0"/>
          <w:szCs w:val="24"/>
        </w:rPr>
        <w:t xml:space="preserve"> – jižní obchvat</w:t>
      </w:r>
      <w:r w:rsidR="002C5D10">
        <w:rPr>
          <w:rFonts w:ascii="Tahoma" w:hAnsi="Tahoma" w:cs="Tahoma"/>
          <w:bCs/>
          <w:snapToGrid w:val="0"/>
          <w:szCs w:val="24"/>
        </w:rPr>
        <w:t>“</w:t>
      </w:r>
      <w:r w:rsidR="0057155E">
        <w:rPr>
          <w:rFonts w:ascii="Tahoma" w:hAnsi="Tahoma" w:cs="Tahoma"/>
          <w:bCs/>
          <w:snapToGrid w:val="0"/>
          <w:szCs w:val="24"/>
        </w:rPr>
        <w:t xml:space="preserve"> s výhledovým převedením do </w:t>
      </w:r>
      <w:r w:rsidR="0057155E">
        <w:rPr>
          <w:rFonts w:ascii="Tahoma" w:hAnsi="Tahoma" w:cs="Tahoma"/>
          <w:bCs/>
          <w:snapToGrid w:val="0"/>
          <w:szCs w:val="24"/>
        </w:rPr>
        <w:lastRenderedPageBreak/>
        <w:t xml:space="preserve">kategorie silnice </w:t>
      </w:r>
      <w:r w:rsidR="00020380">
        <w:rPr>
          <w:rFonts w:ascii="Tahoma" w:hAnsi="Tahoma" w:cs="Tahoma"/>
          <w:bCs/>
          <w:snapToGrid w:val="0"/>
          <w:szCs w:val="24"/>
        </w:rPr>
        <w:t>I</w:t>
      </w:r>
      <w:r w:rsidR="0057155E">
        <w:rPr>
          <w:rFonts w:ascii="Tahoma" w:hAnsi="Tahoma" w:cs="Tahoma"/>
          <w:bCs/>
          <w:snapToGrid w:val="0"/>
          <w:szCs w:val="24"/>
        </w:rPr>
        <w:t xml:space="preserve">. </w:t>
      </w:r>
      <w:r w:rsidR="00020380">
        <w:rPr>
          <w:rFonts w:ascii="Tahoma" w:hAnsi="Tahoma" w:cs="Tahoma"/>
          <w:bCs/>
          <w:snapToGrid w:val="0"/>
          <w:szCs w:val="24"/>
        </w:rPr>
        <w:t>t</w:t>
      </w:r>
      <w:r w:rsidR="0057155E">
        <w:rPr>
          <w:rFonts w:ascii="Tahoma" w:hAnsi="Tahoma" w:cs="Tahoma"/>
          <w:bCs/>
          <w:snapToGrid w:val="0"/>
          <w:szCs w:val="24"/>
        </w:rPr>
        <w:t xml:space="preserve">řídy a pokračováním </w:t>
      </w:r>
      <w:r w:rsidR="00020380">
        <w:rPr>
          <w:rFonts w:ascii="Tahoma" w:hAnsi="Tahoma" w:cs="Tahoma"/>
          <w:bCs/>
          <w:snapToGrid w:val="0"/>
          <w:szCs w:val="24"/>
        </w:rPr>
        <w:t>jako jižní obchvat propojující silnice I/57, I46 a I/11</w:t>
      </w:r>
      <w:r w:rsidR="00425411">
        <w:rPr>
          <w:rFonts w:ascii="Tahoma" w:hAnsi="Tahoma" w:cs="Tahoma"/>
          <w:bCs/>
          <w:snapToGrid w:val="0"/>
          <w:szCs w:val="24"/>
        </w:rPr>
        <w:t>.</w:t>
      </w:r>
    </w:p>
    <w:p w14:paraId="7977CF8D" w14:textId="4036839D" w:rsidR="004221AC" w:rsidRDefault="00E71971" w:rsidP="00B547FD">
      <w:pPr>
        <w:pStyle w:val="Zkladntext"/>
        <w:keepNext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V souvislosti s realizací obchvatu Opavy je připravena optimalizace sítě pozemních komunikací spočívající v majetkových převodech vybraných komunikací mezi Moravskoslezským krajem, Ředitelstvím silnic a dálnic ČR a Statutárním městem Opava s následným přesměrováním tranzitních dopravních proudů na obchvatové komunikace</w:t>
      </w:r>
    </w:p>
    <w:p w14:paraId="6C8DAE53" w14:textId="02EDD7AE" w:rsidR="00960FFB" w:rsidRPr="00E71971" w:rsidRDefault="00960FFB" w:rsidP="00B547FD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  <w:u w:val="single"/>
        </w:rPr>
      </w:pPr>
      <w:r w:rsidRPr="00E71971">
        <w:rPr>
          <w:rFonts w:ascii="Tahoma" w:hAnsi="Tahoma" w:cs="Tahoma"/>
          <w:snapToGrid w:val="0"/>
          <w:szCs w:val="24"/>
          <w:u w:val="single"/>
        </w:rPr>
        <w:t>Silnice I/11 Opava – severní obchvat, západní část</w:t>
      </w:r>
    </w:p>
    <w:p w14:paraId="6C8DAE55" w14:textId="3F4736C9" w:rsidR="002B242B" w:rsidRDefault="00960FFB" w:rsidP="00960FFB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Severní obchvat Opavy</w:t>
      </w:r>
      <w:r w:rsidR="00797418" w:rsidRPr="003E4286">
        <w:rPr>
          <w:rFonts w:ascii="Tahoma" w:hAnsi="Tahoma" w:cs="Tahoma"/>
          <w:bCs/>
          <w:snapToGrid w:val="0"/>
          <w:szCs w:val="24"/>
        </w:rPr>
        <w:t xml:space="preserve"> (T74)</w:t>
      </w:r>
      <w:r w:rsidRPr="003E4286">
        <w:rPr>
          <w:rFonts w:ascii="Tahoma" w:hAnsi="Tahoma" w:cs="Tahoma"/>
          <w:bCs/>
          <w:snapToGrid w:val="0"/>
          <w:szCs w:val="24"/>
        </w:rPr>
        <w:t xml:space="preserve"> převádí dopravu ze stávajícího průtahu městem, zejména</w:t>
      </w:r>
      <w:r>
        <w:rPr>
          <w:rFonts w:ascii="Tahoma" w:hAnsi="Tahoma" w:cs="Tahoma"/>
          <w:bCs/>
          <w:snapToGrid w:val="0"/>
          <w:szCs w:val="24"/>
        </w:rPr>
        <w:t xml:space="preserve"> ze silnice I/11, dvoupruhová směrově nerozd</w:t>
      </w:r>
      <w:r w:rsidR="00A60AAB">
        <w:rPr>
          <w:rFonts w:ascii="Tahoma" w:hAnsi="Tahoma" w:cs="Tahoma"/>
          <w:bCs/>
          <w:snapToGrid w:val="0"/>
          <w:szCs w:val="24"/>
        </w:rPr>
        <w:t>ělená komunikace v uspořádání S </w:t>
      </w:r>
      <w:r>
        <w:rPr>
          <w:rFonts w:ascii="Tahoma" w:hAnsi="Tahoma" w:cs="Tahoma"/>
          <w:bCs/>
          <w:snapToGrid w:val="0"/>
          <w:szCs w:val="24"/>
        </w:rPr>
        <w:t>11,5/</w:t>
      </w:r>
      <w:r w:rsidR="00A60AAB">
        <w:rPr>
          <w:rFonts w:ascii="Tahoma" w:hAnsi="Tahoma" w:cs="Tahoma"/>
          <w:bCs/>
          <w:snapToGrid w:val="0"/>
          <w:szCs w:val="24"/>
        </w:rPr>
        <w:t>8</w:t>
      </w:r>
      <w:r>
        <w:rPr>
          <w:rFonts w:ascii="Tahoma" w:hAnsi="Tahoma" w:cs="Tahoma"/>
          <w:bCs/>
          <w:snapToGrid w:val="0"/>
          <w:szCs w:val="24"/>
        </w:rPr>
        <w:t>0.</w:t>
      </w:r>
      <w:r w:rsidR="002447CF">
        <w:rPr>
          <w:rFonts w:ascii="Tahoma" w:hAnsi="Tahoma" w:cs="Tahoma"/>
          <w:bCs/>
          <w:snapToGrid w:val="0"/>
          <w:szCs w:val="24"/>
        </w:rPr>
        <w:t xml:space="preserve"> </w:t>
      </w:r>
      <w:r w:rsidR="00722896">
        <w:rPr>
          <w:rFonts w:ascii="Tahoma" w:hAnsi="Tahoma" w:cs="Tahoma"/>
          <w:b/>
          <w:bCs/>
          <w:snapToGrid w:val="0"/>
          <w:szCs w:val="24"/>
        </w:rPr>
        <w:t xml:space="preserve">Stavba byla </w:t>
      </w:r>
      <w:r w:rsidR="00355955">
        <w:rPr>
          <w:rFonts w:ascii="Tahoma" w:hAnsi="Tahoma" w:cs="Tahoma"/>
          <w:b/>
          <w:bCs/>
          <w:snapToGrid w:val="0"/>
          <w:szCs w:val="24"/>
        </w:rPr>
        <w:t xml:space="preserve">zahájena </w:t>
      </w:r>
      <w:r w:rsidR="00F744F3">
        <w:rPr>
          <w:rFonts w:ascii="Tahoma" w:hAnsi="Tahoma" w:cs="Tahoma"/>
          <w:b/>
          <w:bCs/>
          <w:snapToGrid w:val="0"/>
          <w:szCs w:val="24"/>
        </w:rPr>
        <w:t>30. 9. 2020</w:t>
      </w:r>
      <w:r w:rsidR="004020BC">
        <w:rPr>
          <w:rFonts w:ascii="Tahoma" w:hAnsi="Tahoma" w:cs="Tahoma"/>
          <w:b/>
          <w:bCs/>
          <w:snapToGrid w:val="0"/>
          <w:szCs w:val="24"/>
        </w:rPr>
        <w:t>.</w:t>
      </w:r>
    </w:p>
    <w:p w14:paraId="4B8133C9" w14:textId="7E9BC1C3" w:rsidR="004630BF" w:rsidRDefault="00AA2A16" w:rsidP="00AA2A16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AA2A16">
        <w:rPr>
          <w:rFonts w:ascii="Tahoma" w:hAnsi="Tahoma" w:cs="Tahoma"/>
          <w:snapToGrid w:val="0"/>
          <w:szCs w:val="24"/>
          <w:u w:val="single"/>
        </w:rPr>
        <w:t>I/46 Opava, jižní obchvat – napojení na I/11</w:t>
      </w:r>
      <w:r>
        <w:rPr>
          <w:rFonts w:ascii="Tahoma" w:hAnsi="Tahoma" w:cs="Tahoma"/>
          <w:snapToGrid w:val="0"/>
          <w:szCs w:val="24"/>
        </w:rPr>
        <w:t xml:space="preserve"> – přeložka napojení stávající silnice II/461 na </w:t>
      </w:r>
      <w:r w:rsidR="00F95ACC">
        <w:rPr>
          <w:rFonts w:ascii="Tahoma" w:hAnsi="Tahoma" w:cs="Tahoma"/>
          <w:snapToGrid w:val="0"/>
          <w:szCs w:val="24"/>
        </w:rPr>
        <w:t xml:space="preserve">I/11 mezi Komárovem a Opavou, stavba v realizaci, předpoklad zprovoznění </w:t>
      </w:r>
      <w:r w:rsidR="00ED586F">
        <w:rPr>
          <w:rFonts w:ascii="Tahoma" w:hAnsi="Tahoma" w:cs="Tahoma"/>
          <w:snapToGrid w:val="0"/>
          <w:szCs w:val="24"/>
        </w:rPr>
        <w:t>06/2021.</w:t>
      </w:r>
    </w:p>
    <w:p w14:paraId="73C78346" w14:textId="635A685F" w:rsidR="005936E7" w:rsidRPr="005936E7" w:rsidRDefault="005936E7" w:rsidP="005936E7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B03DF1">
        <w:rPr>
          <w:rFonts w:ascii="Tahoma" w:hAnsi="Tahoma" w:cs="Tahoma"/>
          <w:snapToGrid w:val="0"/>
          <w:szCs w:val="24"/>
          <w:u w:val="single"/>
        </w:rPr>
        <w:t>I/57, Opava, jižní obchvat, Hradecká – Olomoucká</w:t>
      </w:r>
      <w:r w:rsidRPr="005936E7">
        <w:rPr>
          <w:rFonts w:ascii="Tahoma" w:hAnsi="Tahoma" w:cs="Tahoma"/>
          <w:snapToGrid w:val="0"/>
          <w:szCs w:val="24"/>
        </w:rPr>
        <w:t>; ÚR, DÚSP, Dopravoprojekt 2020</w:t>
      </w:r>
    </w:p>
    <w:p w14:paraId="6C8DAE56" w14:textId="4DFC84D9" w:rsidR="00960FFB" w:rsidRDefault="005936E7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B03DF1">
        <w:rPr>
          <w:rFonts w:ascii="Tahoma" w:hAnsi="Tahoma" w:cs="Tahoma"/>
          <w:snapToGrid w:val="0"/>
          <w:szCs w:val="24"/>
          <w:u w:val="single"/>
        </w:rPr>
        <w:t xml:space="preserve">I/46, Opava, jižní obchvat, Olomoucká </w:t>
      </w:r>
      <w:r w:rsidR="00B03DF1" w:rsidRPr="00B03DF1">
        <w:rPr>
          <w:rFonts w:ascii="Tahoma" w:hAnsi="Tahoma" w:cs="Tahoma"/>
          <w:snapToGrid w:val="0"/>
          <w:szCs w:val="24"/>
          <w:u w:val="single"/>
        </w:rPr>
        <w:t xml:space="preserve">- </w:t>
      </w:r>
      <w:r w:rsidRPr="00B03DF1">
        <w:rPr>
          <w:rFonts w:ascii="Tahoma" w:hAnsi="Tahoma" w:cs="Tahoma"/>
          <w:snapToGrid w:val="0"/>
          <w:szCs w:val="24"/>
          <w:u w:val="single"/>
        </w:rPr>
        <w:t>Bruntálská</w:t>
      </w:r>
      <w:r w:rsidRPr="005936E7">
        <w:rPr>
          <w:rFonts w:ascii="Tahoma" w:hAnsi="Tahoma" w:cs="Tahoma"/>
          <w:snapToGrid w:val="0"/>
          <w:szCs w:val="24"/>
        </w:rPr>
        <w:t>; studie 2020</w:t>
      </w:r>
    </w:p>
    <w:p w14:paraId="6B8157EA" w14:textId="5C16991A" w:rsidR="00462F14" w:rsidRDefault="00462F14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</w:p>
    <w:p w14:paraId="69FC6644" w14:textId="696E8988" w:rsidR="00462F14" w:rsidRPr="00462F14" w:rsidRDefault="00462F14" w:rsidP="00B03DF1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462F14">
        <w:rPr>
          <w:rFonts w:ascii="Tahoma" w:hAnsi="Tahoma" w:cs="Tahoma"/>
          <w:b/>
          <w:bCs/>
          <w:snapToGrid w:val="0"/>
          <w:szCs w:val="24"/>
          <w:u w:val="single"/>
        </w:rPr>
        <w:t>Silnice I/11</w:t>
      </w:r>
    </w:p>
    <w:p w14:paraId="58E8ED1B" w14:textId="69F11B69" w:rsidR="00DF6F90" w:rsidRPr="00130793" w:rsidRDefault="00F31C51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color w:val="262626" w:themeColor="text1" w:themeTint="D9"/>
          <w:szCs w:val="24"/>
        </w:rPr>
      </w:pPr>
      <w:r w:rsidRPr="008A0751">
        <w:rPr>
          <w:rFonts w:ascii="Tahoma" w:hAnsi="Tahoma" w:cs="Tahoma"/>
          <w:snapToGrid w:val="0"/>
          <w:szCs w:val="24"/>
          <w:u w:val="single"/>
        </w:rPr>
        <w:t>I/11 Opava Komárov, jižní obchvat</w:t>
      </w:r>
      <w:r w:rsidR="00D15513">
        <w:rPr>
          <w:rFonts w:ascii="Tahoma" w:hAnsi="Tahoma" w:cs="Tahoma"/>
          <w:snapToGrid w:val="0"/>
          <w:szCs w:val="24"/>
        </w:rPr>
        <w:t xml:space="preserve"> </w:t>
      </w:r>
      <w:r w:rsidR="00E66D76">
        <w:rPr>
          <w:rFonts w:ascii="Tahoma" w:hAnsi="Tahoma" w:cs="Tahoma"/>
          <w:snapToGrid w:val="0"/>
          <w:szCs w:val="24"/>
        </w:rPr>
        <w:t>–</w:t>
      </w:r>
      <w:r w:rsidR="00D15513">
        <w:rPr>
          <w:rFonts w:ascii="Tahoma" w:hAnsi="Tahoma" w:cs="Tahoma"/>
          <w:snapToGrid w:val="0"/>
          <w:szCs w:val="24"/>
        </w:rPr>
        <w:t xml:space="preserve"> </w:t>
      </w:r>
      <w:r w:rsidR="00E66D76">
        <w:rPr>
          <w:rFonts w:ascii="Tahoma" w:hAnsi="Tahoma" w:cs="Tahoma"/>
          <w:snapToGrid w:val="0"/>
          <w:szCs w:val="24"/>
        </w:rPr>
        <w:t xml:space="preserve">vyvedení tranzitní dopravy </w:t>
      </w:r>
      <w:r w:rsidR="003E46C2">
        <w:rPr>
          <w:rFonts w:ascii="Tahoma" w:hAnsi="Tahoma" w:cs="Tahoma"/>
          <w:snapToGrid w:val="0"/>
          <w:szCs w:val="24"/>
        </w:rPr>
        <w:t>mimo zastavěnou oblast Komárova, napojení na S1 v</w:t>
      </w:r>
      <w:r w:rsidR="00743C41">
        <w:rPr>
          <w:rFonts w:ascii="Tahoma" w:hAnsi="Tahoma" w:cs="Tahoma"/>
          <w:snapToGrid w:val="0"/>
          <w:szCs w:val="24"/>
        </w:rPr>
        <w:t> </w:t>
      </w:r>
      <w:r w:rsidR="003E46C2">
        <w:rPr>
          <w:rFonts w:ascii="Tahoma" w:hAnsi="Tahoma" w:cs="Tahoma"/>
          <w:snapToGrid w:val="0"/>
          <w:szCs w:val="24"/>
        </w:rPr>
        <w:t>Opavě</w:t>
      </w:r>
      <w:r w:rsidR="00743C41">
        <w:rPr>
          <w:rFonts w:ascii="Tahoma" w:hAnsi="Tahoma" w:cs="Tahoma"/>
          <w:snapToGrid w:val="0"/>
          <w:szCs w:val="24"/>
        </w:rPr>
        <w:t xml:space="preserve"> a obchvat Nových Sedlic, </w:t>
      </w:r>
      <w:r w:rsidR="00F00DA1">
        <w:rPr>
          <w:rFonts w:ascii="Tahoma" w:hAnsi="Tahoma" w:cs="Tahoma"/>
          <w:snapToGrid w:val="0"/>
          <w:szCs w:val="24"/>
        </w:rPr>
        <w:t xml:space="preserve">dokumentace pro územní rozhodnutí, </w:t>
      </w:r>
      <w:r w:rsidR="00F00DA1" w:rsidRPr="00130793">
        <w:rPr>
          <w:rFonts w:ascii="Tahoma" w:hAnsi="Tahoma" w:cs="Tahoma"/>
          <w:snapToGrid w:val="0"/>
          <w:color w:val="262626" w:themeColor="text1" w:themeTint="D9"/>
          <w:szCs w:val="24"/>
        </w:rPr>
        <w:t>předpoklad 4/202</w:t>
      </w:r>
    </w:p>
    <w:p w14:paraId="428FC411" w14:textId="29481CD4" w:rsidR="00DF6F90" w:rsidRDefault="009B6DE8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8A0751">
        <w:rPr>
          <w:rFonts w:ascii="Tahoma" w:hAnsi="Tahoma" w:cs="Tahoma"/>
          <w:snapToGrid w:val="0"/>
          <w:szCs w:val="24"/>
          <w:u w:val="single"/>
        </w:rPr>
        <w:t xml:space="preserve">Silnice I/11 Nové Sedlice </w:t>
      </w:r>
      <w:r w:rsidR="00D15513" w:rsidRPr="008A0751">
        <w:rPr>
          <w:rFonts w:ascii="Tahoma" w:hAnsi="Tahoma" w:cs="Tahoma"/>
          <w:snapToGrid w:val="0"/>
          <w:szCs w:val="24"/>
          <w:u w:val="single"/>
        </w:rPr>
        <w:t>-</w:t>
      </w:r>
      <w:r w:rsidRPr="008A0751">
        <w:rPr>
          <w:rFonts w:ascii="Tahoma" w:hAnsi="Tahoma" w:cs="Tahoma"/>
          <w:snapToGrid w:val="0"/>
          <w:szCs w:val="24"/>
          <w:u w:val="single"/>
        </w:rPr>
        <w:t xml:space="preserve"> severní obchvat</w:t>
      </w:r>
      <w:r>
        <w:rPr>
          <w:rFonts w:ascii="Tahoma" w:hAnsi="Tahoma" w:cs="Tahoma"/>
          <w:snapToGrid w:val="0"/>
          <w:szCs w:val="24"/>
        </w:rPr>
        <w:t xml:space="preserve"> </w:t>
      </w:r>
      <w:r w:rsidR="00447CC4">
        <w:rPr>
          <w:rFonts w:ascii="Tahoma" w:hAnsi="Tahoma" w:cs="Tahoma"/>
          <w:snapToGrid w:val="0"/>
          <w:szCs w:val="24"/>
        </w:rPr>
        <w:t>–</w:t>
      </w:r>
      <w:r>
        <w:rPr>
          <w:rFonts w:ascii="Tahoma" w:hAnsi="Tahoma" w:cs="Tahoma"/>
          <w:snapToGrid w:val="0"/>
          <w:szCs w:val="24"/>
        </w:rPr>
        <w:t xml:space="preserve"> </w:t>
      </w:r>
      <w:r w:rsidR="00D51A16">
        <w:rPr>
          <w:rFonts w:ascii="Tahoma" w:hAnsi="Tahoma" w:cs="Tahoma"/>
          <w:snapToGrid w:val="0"/>
          <w:szCs w:val="24"/>
        </w:rPr>
        <w:t>vyvedení tranzitní dopravy mimo zastavěnou oblast Novýc</w:t>
      </w:r>
      <w:r w:rsidR="00DF6F90">
        <w:rPr>
          <w:rFonts w:ascii="Tahoma" w:hAnsi="Tahoma" w:cs="Tahoma"/>
          <w:snapToGrid w:val="0"/>
          <w:szCs w:val="24"/>
        </w:rPr>
        <w:t>h</w:t>
      </w:r>
      <w:r w:rsidR="00D51A16">
        <w:rPr>
          <w:rFonts w:ascii="Tahoma" w:hAnsi="Tahoma" w:cs="Tahoma"/>
          <w:snapToGrid w:val="0"/>
          <w:szCs w:val="24"/>
        </w:rPr>
        <w:t xml:space="preserve"> Sedlic</w:t>
      </w:r>
      <w:r w:rsidR="00F00DA1">
        <w:rPr>
          <w:rFonts w:ascii="Tahoma" w:hAnsi="Tahoma" w:cs="Tahoma"/>
          <w:snapToGrid w:val="0"/>
          <w:szCs w:val="24"/>
        </w:rPr>
        <w:t xml:space="preserve">, navazuje na obchvat Komárova a </w:t>
      </w:r>
      <w:r w:rsidR="00A33D0B">
        <w:rPr>
          <w:rFonts w:ascii="Tahoma" w:hAnsi="Tahoma" w:cs="Tahoma"/>
          <w:snapToGrid w:val="0"/>
          <w:szCs w:val="24"/>
        </w:rPr>
        <w:t>již realizovanou stavbu u Mokrých Lazců</w:t>
      </w:r>
      <w:r w:rsidR="00715C60">
        <w:rPr>
          <w:rFonts w:ascii="Tahoma" w:hAnsi="Tahoma" w:cs="Tahoma"/>
          <w:snapToGrid w:val="0"/>
          <w:szCs w:val="24"/>
        </w:rPr>
        <w:t>, dokumentace pro územní rozhodnutí, předpoklad 4/2021.</w:t>
      </w:r>
    </w:p>
    <w:p w14:paraId="509F2868" w14:textId="42B8B1F4" w:rsidR="00462F14" w:rsidRPr="00B03DF1" w:rsidRDefault="00447CC4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>
        <w:rPr>
          <w:rFonts w:ascii="Tahoma" w:hAnsi="Tahoma" w:cs="Tahoma"/>
          <w:snapToGrid w:val="0"/>
          <w:szCs w:val="24"/>
        </w:rPr>
        <w:t xml:space="preserve"> </w:t>
      </w:r>
    </w:p>
    <w:p w14:paraId="36595656" w14:textId="77777777" w:rsidR="00D72E2A" w:rsidRDefault="00D72E2A" w:rsidP="00BD2582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Obchvat Krnova</w:t>
      </w:r>
    </w:p>
    <w:p w14:paraId="6C8DAE57" w14:textId="10916EEE" w:rsidR="00797418" w:rsidRPr="00D72E2A" w:rsidRDefault="00797418" w:rsidP="00BD2582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  <w:u w:val="single"/>
        </w:rPr>
      </w:pPr>
      <w:r w:rsidRPr="00D72E2A">
        <w:rPr>
          <w:rFonts w:ascii="Tahoma" w:hAnsi="Tahoma" w:cs="Tahoma"/>
          <w:snapToGrid w:val="0"/>
          <w:szCs w:val="24"/>
          <w:u w:val="single"/>
        </w:rPr>
        <w:t>Silnice I/57 Krnov – severovýchodní obchvat</w:t>
      </w:r>
    </w:p>
    <w:p w14:paraId="6C8DAE58" w14:textId="77777777" w:rsidR="00797418" w:rsidRPr="00797418" w:rsidRDefault="00797418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Severovýchodní obchvat Krnova (T84) je nově navrhovanou komunikací, která</w:t>
      </w:r>
      <w:r w:rsidRPr="00797418">
        <w:rPr>
          <w:rFonts w:ascii="Tahoma" w:hAnsi="Tahoma" w:cs="Tahoma"/>
          <w:bCs/>
          <w:snapToGrid w:val="0"/>
          <w:szCs w:val="24"/>
        </w:rPr>
        <w:t xml:space="preserve"> zahrnuje přeložky stávající silnice I/57 (Opava - Krnov - Bartultovice) mimo centrum města Krnova s cílem vymístit tranzitní dopravu z centrální části města.</w:t>
      </w:r>
    </w:p>
    <w:p w14:paraId="6C8DAE59" w14:textId="7A761955" w:rsidR="00797418" w:rsidRPr="00797418" w:rsidRDefault="00797418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797418">
        <w:rPr>
          <w:rFonts w:ascii="Tahoma" w:hAnsi="Tahoma" w:cs="Tahoma"/>
          <w:bCs/>
          <w:snapToGrid w:val="0"/>
          <w:szCs w:val="24"/>
        </w:rPr>
        <w:t>Komunikace je navržena v kategorii S 11,5/80, celková délka trasy činí 7,862 km; součástí stavby je</w:t>
      </w:r>
      <w:r w:rsidR="00F744F3">
        <w:rPr>
          <w:rFonts w:ascii="Tahoma" w:hAnsi="Tahoma" w:cs="Tahoma"/>
          <w:bCs/>
          <w:snapToGrid w:val="0"/>
          <w:szCs w:val="24"/>
        </w:rPr>
        <w:t xml:space="preserve">. </w:t>
      </w:r>
      <w:r w:rsidRPr="00797418">
        <w:rPr>
          <w:rFonts w:ascii="Tahoma" w:hAnsi="Tahoma" w:cs="Tahoma"/>
          <w:bCs/>
          <w:snapToGrid w:val="0"/>
          <w:szCs w:val="24"/>
        </w:rPr>
        <w:t xml:space="preserve"> také úrovňové napojení části stávající silnice I/57, která bude převedena do sítě komunikací III. třídy a místních komunikací. </w:t>
      </w:r>
    </w:p>
    <w:p w14:paraId="60C92B2E" w14:textId="77777777" w:rsidR="00030C0B" w:rsidRDefault="00797418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797418">
        <w:rPr>
          <w:rFonts w:ascii="Tahoma" w:hAnsi="Tahoma" w:cs="Tahoma"/>
          <w:bCs/>
          <w:snapToGrid w:val="0"/>
          <w:szCs w:val="24"/>
        </w:rPr>
        <w:t xml:space="preserve">Trasa obchvatu Krnova je navržena tak, aby </w:t>
      </w:r>
      <w:r w:rsidR="0027757F">
        <w:rPr>
          <w:rFonts w:ascii="Tahoma" w:hAnsi="Tahoma" w:cs="Tahoma"/>
          <w:bCs/>
          <w:snapToGrid w:val="0"/>
          <w:szCs w:val="24"/>
        </w:rPr>
        <w:t xml:space="preserve">současně </w:t>
      </w:r>
      <w:r w:rsidRPr="00797418">
        <w:rPr>
          <w:rFonts w:ascii="Tahoma" w:hAnsi="Tahoma" w:cs="Tahoma"/>
          <w:bCs/>
          <w:snapToGrid w:val="0"/>
          <w:szCs w:val="24"/>
        </w:rPr>
        <w:t xml:space="preserve">plnila funkci protipovodňového opatření. </w:t>
      </w:r>
      <w:r w:rsidRPr="00797418">
        <w:rPr>
          <w:rFonts w:ascii="Tahoma" w:hAnsi="Tahoma" w:cs="Tahoma"/>
          <w:b/>
          <w:bCs/>
          <w:snapToGrid w:val="0"/>
          <w:szCs w:val="24"/>
        </w:rPr>
        <w:t>Stav</w:t>
      </w:r>
      <w:r w:rsidR="00DD10A6">
        <w:rPr>
          <w:rFonts w:ascii="Tahoma" w:hAnsi="Tahoma" w:cs="Tahoma"/>
          <w:b/>
          <w:bCs/>
          <w:snapToGrid w:val="0"/>
          <w:szCs w:val="24"/>
        </w:rPr>
        <w:t>ba byla dne 9. srpna 2017 zahájena</w:t>
      </w:r>
      <w:r w:rsidR="00427A2C">
        <w:rPr>
          <w:rFonts w:ascii="Tahoma" w:hAnsi="Tahoma" w:cs="Tahoma"/>
          <w:b/>
          <w:bCs/>
          <w:snapToGrid w:val="0"/>
          <w:szCs w:val="24"/>
        </w:rPr>
        <w:t xml:space="preserve">, předpoklad zprovoznění </w:t>
      </w:r>
      <w:r w:rsidR="00030C0B">
        <w:rPr>
          <w:rFonts w:ascii="Tahoma" w:hAnsi="Tahoma" w:cs="Tahoma"/>
          <w:b/>
          <w:bCs/>
          <w:snapToGrid w:val="0"/>
          <w:szCs w:val="24"/>
        </w:rPr>
        <w:t>2/2021</w:t>
      </w:r>
      <w:r w:rsidR="00DD10A6">
        <w:rPr>
          <w:rFonts w:ascii="Tahoma" w:hAnsi="Tahoma" w:cs="Tahoma"/>
          <w:b/>
          <w:bCs/>
          <w:snapToGrid w:val="0"/>
          <w:szCs w:val="24"/>
        </w:rPr>
        <w:t>.</w:t>
      </w:r>
    </w:p>
    <w:p w14:paraId="6C8DAE5A" w14:textId="77777777" w:rsidR="00DD10A6" w:rsidRDefault="001F5AE4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D72E2A">
        <w:rPr>
          <w:rFonts w:ascii="Tahoma" w:hAnsi="Tahoma" w:cs="Tahoma"/>
          <w:bCs/>
          <w:snapToGrid w:val="0"/>
          <w:szCs w:val="24"/>
          <w:u w:val="single"/>
        </w:rPr>
        <w:t>Silnice I/45 Krnov, hraniční přechod</w:t>
      </w:r>
      <w:r w:rsidRPr="00797418">
        <w:rPr>
          <w:rFonts w:ascii="Tahoma" w:hAnsi="Tahoma" w:cs="Tahoma"/>
          <w:bCs/>
          <w:snapToGrid w:val="0"/>
          <w:szCs w:val="24"/>
        </w:rPr>
        <w:t xml:space="preserve"> </w:t>
      </w:r>
      <w:r>
        <w:rPr>
          <w:rFonts w:ascii="Tahoma" w:hAnsi="Tahoma" w:cs="Tahoma"/>
          <w:bCs/>
          <w:snapToGrid w:val="0"/>
          <w:szCs w:val="24"/>
        </w:rPr>
        <w:t xml:space="preserve">- </w:t>
      </w:r>
      <w:r w:rsidR="00DA2175" w:rsidRPr="00797418">
        <w:rPr>
          <w:rFonts w:ascii="Tahoma" w:hAnsi="Tahoma" w:cs="Tahoma"/>
          <w:bCs/>
          <w:snapToGrid w:val="0"/>
          <w:szCs w:val="24"/>
        </w:rPr>
        <w:t xml:space="preserve">úprava silnice č. I/45 k hraničnímu přechodu Krnov – </w:t>
      </w:r>
      <w:proofErr w:type="spellStart"/>
      <w:r w:rsidR="00DA2175" w:rsidRPr="00797418">
        <w:rPr>
          <w:rFonts w:ascii="Tahoma" w:hAnsi="Tahoma" w:cs="Tahoma"/>
          <w:bCs/>
          <w:snapToGrid w:val="0"/>
          <w:szCs w:val="24"/>
        </w:rPr>
        <w:t>Pietraszyn</w:t>
      </w:r>
      <w:proofErr w:type="spellEnd"/>
      <w:r w:rsidR="00DA2175">
        <w:rPr>
          <w:rFonts w:ascii="Tahoma" w:hAnsi="Tahoma" w:cs="Tahoma"/>
          <w:bCs/>
          <w:snapToGrid w:val="0"/>
          <w:szCs w:val="24"/>
        </w:rPr>
        <w:t xml:space="preserve">, </w:t>
      </w:r>
      <w:r w:rsidR="00030C0B" w:rsidRPr="00797418">
        <w:rPr>
          <w:rFonts w:ascii="Tahoma" w:hAnsi="Tahoma" w:cs="Tahoma"/>
          <w:bCs/>
          <w:snapToGrid w:val="0"/>
          <w:szCs w:val="24"/>
        </w:rPr>
        <w:t>funkčně n</w:t>
      </w:r>
      <w:r>
        <w:rPr>
          <w:rFonts w:ascii="Tahoma" w:hAnsi="Tahoma" w:cs="Tahoma"/>
          <w:bCs/>
          <w:snapToGrid w:val="0"/>
          <w:szCs w:val="24"/>
        </w:rPr>
        <w:t>avazuje na stavbu se</w:t>
      </w:r>
      <w:r w:rsidR="00DA2175">
        <w:rPr>
          <w:rFonts w:ascii="Tahoma" w:hAnsi="Tahoma" w:cs="Tahoma"/>
          <w:bCs/>
          <w:snapToGrid w:val="0"/>
          <w:szCs w:val="24"/>
        </w:rPr>
        <w:t>verovýchodního obchvatu Krnova</w:t>
      </w:r>
      <w:r w:rsidR="00030C0B" w:rsidRPr="00797418">
        <w:rPr>
          <w:rFonts w:ascii="Tahoma" w:hAnsi="Tahoma" w:cs="Tahoma"/>
          <w:bCs/>
          <w:snapToGrid w:val="0"/>
          <w:szCs w:val="24"/>
        </w:rPr>
        <w:t>.</w:t>
      </w:r>
      <w:r w:rsidR="004D0CDD">
        <w:rPr>
          <w:rFonts w:ascii="Tahoma" w:hAnsi="Tahoma" w:cs="Tahoma"/>
          <w:bCs/>
          <w:snapToGrid w:val="0"/>
          <w:szCs w:val="24"/>
        </w:rPr>
        <w:t xml:space="preserve"> Aktualizace územního rozhodnutí, </w:t>
      </w:r>
      <w:r w:rsidR="001632D1">
        <w:rPr>
          <w:rFonts w:ascii="Tahoma" w:hAnsi="Tahoma" w:cs="Tahoma"/>
          <w:bCs/>
          <w:snapToGrid w:val="0"/>
          <w:szCs w:val="24"/>
        </w:rPr>
        <w:t>podklady pro stavební povolení.</w:t>
      </w:r>
    </w:p>
    <w:p w14:paraId="23D4469C" w14:textId="79DB3570" w:rsidR="001632D1" w:rsidRDefault="00C96553" w:rsidP="00797418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 w:rsidRPr="006210C3">
        <w:rPr>
          <w:rFonts w:ascii="Tahoma" w:hAnsi="Tahoma" w:cs="Tahoma"/>
          <w:bCs/>
          <w:snapToGrid w:val="0"/>
          <w:szCs w:val="24"/>
          <w:u w:val="single"/>
        </w:rPr>
        <w:t>Silnice I/45 Krnov – západní obchvat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="00FF0E8B">
        <w:rPr>
          <w:rFonts w:ascii="Tahoma" w:hAnsi="Tahoma" w:cs="Tahoma"/>
          <w:bCs/>
          <w:snapToGrid w:val="0"/>
          <w:szCs w:val="24"/>
        </w:rPr>
        <w:t>–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="00FF0E8B">
        <w:rPr>
          <w:rFonts w:ascii="Tahoma" w:hAnsi="Tahoma" w:cs="Tahoma"/>
          <w:bCs/>
          <w:snapToGrid w:val="0"/>
          <w:szCs w:val="24"/>
        </w:rPr>
        <w:t xml:space="preserve">stavba </w:t>
      </w:r>
      <w:r w:rsidR="00330AB0">
        <w:rPr>
          <w:rFonts w:ascii="Tahoma" w:hAnsi="Tahoma" w:cs="Tahoma"/>
          <w:bCs/>
          <w:snapToGrid w:val="0"/>
          <w:szCs w:val="24"/>
        </w:rPr>
        <w:t xml:space="preserve">převádí tranzitní dopravu ze zastavěné </w:t>
      </w:r>
      <w:r w:rsidR="00914973">
        <w:rPr>
          <w:rFonts w:ascii="Tahoma" w:hAnsi="Tahoma" w:cs="Tahoma"/>
          <w:bCs/>
          <w:snapToGrid w:val="0"/>
          <w:szCs w:val="24"/>
        </w:rPr>
        <w:t>části města Krnov</w:t>
      </w:r>
      <w:r w:rsidR="003D731E">
        <w:rPr>
          <w:rFonts w:ascii="Tahoma" w:hAnsi="Tahoma" w:cs="Tahoma"/>
          <w:bCs/>
          <w:snapToGrid w:val="0"/>
          <w:szCs w:val="24"/>
        </w:rPr>
        <w:t xml:space="preserve"> na nově budovaný severovýchodní obchvat</w:t>
      </w:r>
      <w:r w:rsidR="00AB4B42">
        <w:rPr>
          <w:rFonts w:ascii="Tahoma" w:hAnsi="Tahoma" w:cs="Tahoma"/>
          <w:bCs/>
          <w:snapToGrid w:val="0"/>
          <w:szCs w:val="24"/>
        </w:rPr>
        <w:t>, pro</w:t>
      </w:r>
      <w:r w:rsidR="00914973">
        <w:rPr>
          <w:rFonts w:ascii="Tahoma" w:hAnsi="Tahoma" w:cs="Tahoma"/>
          <w:bCs/>
          <w:snapToGrid w:val="0"/>
          <w:szCs w:val="24"/>
        </w:rPr>
        <w:t xml:space="preserve">pojuje </w:t>
      </w:r>
      <w:r w:rsidR="00FF0E8B">
        <w:rPr>
          <w:rFonts w:ascii="Tahoma" w:hAnsi="Tahoma" w:cs="Tahoma"/>
          <w:bCs/>
          <w:snapToGrid w:val="0"/>
          <w:szCs w:val="24"/>
        </w:rPr>
        <w:t>silnice I/57 a I/45</w:t>
      </w:r>
      <w:r w:rsidR="00AB4B42">
        <w:rPr>
          <w:rFonts w:ascii="Tahoma" w:hAnsi="Tahoma" w:cs="Tahoma"/>
          <w:bCs/>
          <w:snapToGrid w:val="0"/>
          <w:szCs w:val="24"/>
        </w:rPr>
        <w:t xml:space="preserve">. </w:t>
      </w:r>
      <w:r w:rsidR="00D24C50">
        <w:rPr>
          <w:rFonts w:ascii="Tahoma" w:hAnsi="Tahoma" w:cs="Tahoma"/>
          <w:bCs/>
          <w:snapToGrid w:val="0"/>
          <w:szCs w:val="24"/>
        </w:rPr>
        <w:t>Zpracován</w:t>
      </w:r>
      <w:r w:rsidR="000377FF">
        <w:rPr>
          <w:rFonts w:ascii="Tahoma" w:hAnsi="Tahoma" w:cs="Tahoma"/>
          <w:bCs/>
          <w:snapToGrid w:val="0"/>
          <w:szCs w:val="24"/>
        </w:rPr>
        <w:t>í</w:t>
      </w:r>
      <w:r w:rsidR="00D24C50">
        <w:rPr>
          <w:rFonts w:ascii="Tahoma" w:hAnsi="Tahoma" w:cs="Tahoma"/>
          <w:bCs/>
          <w:snapToGrid w:val="0"/>
          <w:szCs w:val="24"/>
        </w:rPr>
        <w:t xml:space="preserve"> dokumentace pro územní rozhodnutí</w:t>
      </w:r>
      <w:r w:rsidR="006210C3">
        <w:rPr>
          <w:rFonts w:ascii="Tahoma" w:hAnsi="Tahoma" w:cs="Tahoma"/>
          <w:bCs/>
          <w:snapToGrid w:val="0"/>
          <w:szCs w:val="24"/>
        </w:rPr>
        <w:t>, předpoklad 2021</w:t>
      </w:r>
      <w:r w:rsidR="00D24C50">
        <w:rPr>
          <w:rFonts w:ascii="Tahoma" w:hAnsi="Tahoma" w:cs="Tahoma"/>
          <w:bCs/>
          <w:snapToGrid w:val="0"/>
          <w:szCs w:val="24"/>
        </w:rPr>
        <w:t>.</w:t>
      </w:r>
    </w:p>
    <w:p w14:paraId="7BE50B1E" w14:textId="77777777" w:rsidR="00F02CB6" w:rsidRDefault="00F02CB6" w:rsidP="00F02CB6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</w:p>
    <w:p w14:paraId="699E0684" w14:textId="3E6D2303" w:rsidR="005204E5" w:rsidRPr="00F02CB6" w:rsidRDefault="005204E5" w:rsidP="00F02CB6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02CB6">
        <w:rPr>
          <w:rFonts w:ascii="Tahoma" w:hAnsi="Tahoma" w:cs="Tahoma"/>
          <w:b/>
          <w:bCs/>
          <w:snapToGrid w:val="0"/>
          <w:szCs w:val="24"/>
          <w:u w:val="single"/>
        </w:rPr>
        <w:t>Silnice I/57</w:t>
      </w:r>
    </w:p>
    <w:p w14:paraId="05659439" w14:textId="109B34CD" w:rsidR="00B63C33" w:rsidRPr="0045593B" w:rsidRDefault="00B63C33" w:rsidP="00F02CB6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  <w:u w:val="single"/>
        </w:rPr>
        <w:t xml:space="preserve">Silnice I/57 </w:t>
      </w:r>
      <w:proofErr w:type="spellStart"/>
      <w:r w:rsidR="0045593B">
        <w:rPr>
          <w:rFonts w:ascii="Tahoma" w:hAnsi="Tahoma" w:cs="Tahoma"/>
          <w:bCs/>
          <w:snapToGrid w:val="0"/>
          <w:szCs w:val="24"/>
          <w:u w:val="single"/>
        </w:rPr>
        <w:t>Skrochovice</w:t>
      </w:r>
      <w:proofErr w:type="spellEnd"/>
      <w:r w:rsidR="0045593B">
        <w:rPr>
          <w:rFonts w:ascii="Tahoma" w:hAnsi="Tahoma" w:cs="Tahoma"/>
          <w:bCs/>
          <w:snapToGrid w:val="0"/>
          <w:szCs w:val="24"/>
          <w:u w:val="single"/>
        </w:rPr>
        <w:t>, obchvat</w:t>
      </w:r>
      <w:r w:rsidR="0045593B">
        <w:rPr>
          <w:rFonts w:ascii="Tahoma" w:hAnsi="Tahoma" w:cs="Tahoma"/>
          <w:bCs/>
          <w:snapToGrid w:val="0"/>
          <w:szCs w:val="24"/>
        </w:rPr>
        <w:t xml:space="preserve"> – vyvedení tranzitní dopravy ze zastavěného území obce, </w:t>
      </w:r>
      <w:r w:rsidR="00BB33EB">
        <w:rPr>
          <w:rFonts w:ascii="Tahoma" w:hAnsi="Tahoma" w:cs="Tahoma"/>
          <w:bCs/>
          <w:snapToGrid w:val="0"/>
          <w:szCs w:val="24"/>
        </w:rPr>
        <w:t>zpracování dokumentace pro územní rozhodnutí.</w:t>
      </w:r>
    </w:p>
    <w:p w14:paraId="6F5DC3A8" w14:textId="5EEC4E50" w:rsidR="00F02CB6" w:rsidRPr="00F02CB6" w:rsidRDefault="00F02CB6" w:rsidP="00F02CB6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  <w:u w:val="single"/>
        </w:rPr>
      </w:pPr>
      <w:r>
        <w:rPr>
          <w:rFonts w:ascii="Tahoma" w:hAnsi="Tahoma" w:cs="Tahoma"/>
          <w:bCs/>
          <w:snapToGrid w:val="0"/>
          <w:szCs w:val="24"/>
          <w:u w:val="single"/>
        </w:rPr>
        <w:t xml:space="preserve">Silnice </w:t>
      </w:r>
      <w:r w:rsidRPr="00F02CB6">
        <w:rPr>
          <w:rFonts w:ascii="Tahoma" w:hAnsi="Tahoma" w:cs="Tahoma"/>
          <w:bCs/>
          <w:snapToGrid w:val="0"/>
          <w:szCs w:val="24"/>
          <w:u w:val="single"/>
        </w:rPr>
        <w:t>I/57 Linhartovy</w:t>
      </w:r>
      <w:r w:rsidR="00815F64">
        <w:rPr>
          <w:rFonts w:ascii="Tahoma" w:hAnsi="Tahoma" w:cs="Tahoma"/>
          <w:bCs/>
          <w:snapToGrid w:val="0"/>
          <w:szCs w:val="24"/>
        </w:rPr>
        <w:t xml:space="preserve"> – </w:t>
      </w:r>
      <w:r w:rsidR="00815F64" w:rsidRPr="00815F64">
        <w:rPr>
          <w:rFonts w:ascii="Tahoma" w:hAnsi="Tahoma" w:cs="Tahoma"/>
          <w:bCs/>
          <w:snapToGrid w:val="0"/>
          <w:szCs w:val="24"/>
        </w:rPr>
        <w:t>od</w:t>
      </w:r>
      <w:r w:rsidR="00815F64">
        <w:rPr>
          <w:rFonts w:ascii="Tahoma" w:hAnsi="Tahoma" w:cs="Tahoma"/>
          <w:bCs/>
          <w:snapToGrid w:val="0"/>
          <w:szCs w:val="24"/>
        </w:rPr>
        <w:t>stranění bodové závady, narovnán</w:t>
      </w:r>
      <w:r w:rsidR="005801E1">
        <w:rPr>
          <w:rFonts w:ascii="Tahoma" w:hAnsi="Tahoma" w:cs="Tahoma"/>
          <w:bCs/>
          <w:snapToGrid w:val="0"/>
          <w:szCs w:val="24"/>
        </w:rPr>
        <w:t>í směrového a výškového vedení trasy, územní rozhodnutí v právní moci, zpracován</w:t>
      </w:r>
      <w:r w:rsidR="00B26A46">
        <w:rPr>
          <w:rFonts w:ascii="Tahoma" w:hAnsi="Tahoma" w:cs="Tahoma"/>
          <w:bCs/>
          <w:snapToGrid w:val="0"/>
          <w:szCs w:val="24"/>
        </w:rPr>
        <w:t>í dokumentace pro stavební povolení</w:t>
      </w:r>
      <w:r w:rsidR="00BB33EB">
        <w:rPr>
          <w:rFonts w:ascii="Tahoma" w:hAnsi="Tahoma" w:cs="Tahoma"/>
          <w:bCs/>
          <w:snapToGrid w:val="0"/>
          <w:szCs w:val="24"/>
        </w:rPr>
        <w:t>.</w:t>
      </w:r>
    </w:p>
    <w:p w14:paraId="6C8DAE5B" w14:textId="77777777" w:rsidR="002447CF" w:rsidRPr="002447CF" w:rsidRDefault="002447CF" w:rsidP="002447CF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2447CF">
        <w:rPr>
          <w:rFonts w:ascii="Tahoma" w:hAnsi="Tahoma" w:cs="Tahoma"/>
          <w:b/>
          <w:bCs/>
          <w:snapToGrid w:val="0"/>
          <w:szCs w:val="24"/>
          <w:u w:val="single"/>
        </w:rPr>
        <w:t>SLEZSKÝ KŘÍŽ VÝCHOD - propojení D48 a hranice ČR/SR</w:t>
      </w:r>
    </w:p>
    <w:p w14:paraId="6C8DAE5C" w14:textId="77777777"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Jedná se o soubor staveb, které doplňují dálnici D48 a převádějí mezinárodní silnici E75 ve východní části Moravskoslezského kraje mezi Polskem, Českem a Slovenskem. V návaznosti na D48 se jedná o základní napojení kraje na Slovensko a dopravní propojení strategické průmyslové zóny Nošovice a závodu KIA v Žilině. Trasa je zařazena do globální sítě TEN-T.</w:t>
      </w:r>
    </w:p>
    <w:p w14:paraId="6C8DAE5D" w14:textId="77777777"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současné době je zprovozněn úsek od státní hranice se Slovenskem do </w:t>
      </w:r>
      <w:proofErr w:type="spellStart"/>
      <w:r w:rsidR="00A1268E">
        <w:rPr>
          <w:rFonts w:ascii="Tahoma" w:hAnsi="Tahoma" w:cs="Tahoma"/>
          <w:bCs/>
          <w:snapToGrid w:val="0"/>
          <w:szCs w:val="24"/>
        </w:rPr>
        <w:t>Nebor</w:t>
      </w:r>
      <w:proofErr w:type="spellEnd"/>
      <w:r>
        <w:rPr>
          <w:rFonts w:ascii="Tahoma" w:hAnsi="Tahoma" w:cs="Tahoma"/>
          <w:bCs/>
          <w:snapToGrid w:val="0"/>
          <w:szCs w:val="24"/>
        </w:rPr>
        <w:t>, který byl financován prostřednictvím fondu PHARE a OP doprava.</w:t>
      </w:r>
    </w:p>
    <w:p w14:paraId="6C8DAE5F" w14:textId="77777777" w:rsid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I/68 Třanovice – Nebory</w:t>
      </w:r>
    </w:p>
    <w:p w14:paraId="56DB1BAE" w14:textId="77777777" w:rsidR="009077C8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je projektována v kategorii S 24,5/100 – jedná se o směrově dělenou </w:t>
      </w:r>
      <w:proofErr w:type="spellStart"/>
      <w:r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>
        <w:rPr>
          <w:rFonts w:ascii="Tahoma" w:hAnsi="Tahoma" w:cs="Tahoma"/>
          <w:bCs/>
          <w:snapToGrid w:val="0"/>
          <w:szCs w:val="24"/>
        </w:rPr>
        <w:t xml:space="preserve"> silnici, která převádí stávající tah silnice I/68 mimo průtahy obcí Horní Tošanovice, Třanovice, Hnojník, Střítež, Ropice a část Třince, Nebory.</w:t>
      </w:r>
    </w:p>
    <w:p w14:paraId="6C8DAE62" w14:textId="053ED76D"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navazuje na dálnici D48 unikátní útvarovou křižovatkou jihozápadně od osídlení Třanovic a severními obchvaty obcí navazuje MÚK Nebory na stavbu „Silnice I/11 Nebory – Oldřichovice“.</w:t>
      </w:r>
    </w:p>
    <w:p w14:paraId="6C8DAE64" w14:textId="77777777" w:rsidR="002447CF" w:rsidRDefault="002B242B" w:rsidP="002447CF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Dne 6. 11. 2019 zahájena</w:t>
      </w:r>
      <w:r w:rsidRPr="002B242B">
        <w:rPr>
          <w:rFonts w:ascii="Tahoma" w:hAnsi="Tahoma" w:cs="Tahoma"/>
          <w:b/>
          <w:bCs/>
          <w:snapToGrid w:val="0"/>
          <w:szCs w:val="24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</w:rPr>
        <w:t>byla</w:t>
      </w:r>
      <w:r w:rsidRPr="002B242B">
        <w:rPr>
          <w:rFonts w:ascii="Tahoma" w:hAnsi="Tahoma" w:cs="Tahoma"/>
          <w:b/>
          <w:bCs/>
          <w:snapToGrid w:val="0"/>
          <w:szCs w:val="24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</w:rPr>
        <w:t>realizace stavby</w:t>
      </w:r>
      <w:r w:rsidR="002447CF">
        <w:rPr>
          <w:rFonts w:ascii="Tahoma" w:hAnsi="Tahoma" w:cs="Tahoma"/>
          <w:b/>
          <w:bCs/>
          <w:snapToGrid w:val="0"/>
          <w:szCs w:val="24"/>
        </w:rPr>
        <w:t>.</w:t>
      </w:r>
    </w:p>
    <w:p w14:paraId="6C8DAE6A" w14:textId="67D2FF7C" w:rsidR="002447CF" w:rsidRDefault="002447CF" w:rsidP="0065593E">
      <w:pPr>
        <w:pStyle w:val="Zkladntext"/>
        <w:rPr>
          <w:rFonts w:ascii="Tahoma" w:hAnsi="Tahoma" w:cs="Tahoma"/>
          <w:bCs/>
          <w:snapToGrid w:val="0"/>
          <w:szCs w:val="24"/>
        </w:rPr>
      </w:pPr>
    </w:p>
    <w:p w14:paraId="1B0C104A" w14:textId="77777777" w:rsidR="002561C1" w:rsidRPr="002561C1" w:rsidRDefault="002561C1" w:rsidP="002561C1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bCs/>
          <w:snapToGrid w:val="0"/>
          <w:u w:val="single"/>
        </w:rPr>
      </w:pPr>
      <w:r w:rsidRPr="002561C1">
        <w:rPr>
          <w:rFonts w:ascii="Tahoma" w:hAnsi="Tahoma" w:cs="Tahoma"/>
          <w:bCs/>
          <w:snapToGrid w:val="0"/>
          <w:u w:val="single"/>
        </w:rPr>
        <w:t>Vysvětlivky:</w:t>
      </w:r>
    </w:p>
    <w:p w14:paraId="5DE81E77" w14:textId="77777777" w:rsidR="00DD1F9C" w:rsidRDefault="00DD1F9C" w:rsidP="002561C1">
      <w:pPr>
        <w:pStyle w:val="Zhlav"/>
        <w:tabs>
          <w:tab w:val="left" w:pos="2268"/>
          <w:tab w:val="left" w:pos="2835"/>
          <w:tab w:val="left" w:pos="4536"/>
        </w:tabs>
        <w:outlineLvl w:val="0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bCs/>
          <w:snapToGrid w:val="0"/>
        </w:rPr>
        <w:t>TEN-T</w:t>
      </w:r>
      <w:r>
        <w:rPr>
          <w:rFonts w:ascii="Tahoma" w:hAnsi="Tahoma" w:cs="Tahoma"/>
          <w:bCs/>
          <w:snapToGrid w:val="0"/>
        </w:rPr>
        <w:tab/>
        <w:t>transevropská dopravní síť</w:t>
      </w:r>
    </w:p>
    <w:p w14:paraId="353A6B69" w14:textId="32801310" w:rsidR="002561C1" w:rsidRDefault="00CF5128" w:rsidP="002561C1">
      <w:pPr>
        <w:pStyle w:val="Zhlav"/>
        <w:tabs>
          <w:tab w:val="left" w:pos="2268"/>
          <w:tab w:val="left" w:pos="2835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bCs/>
          <w:snapToGrid w:val="0"/>
        </w:rPr>
        <w:t>PZ</w:t>
      </w:r>
      <w:r w:rsidR="002561C1">
        <w:rPr>
          <w:rFonts w:ascii="Tahoma" w:hAnsi="Tahoma" w:cs="Tahoma"/>
          <w:bCs/>
          <w:snapToGrid w:val="0"/>
        </w:rPr>
        <w:tab/>
      </w:r>
      <w:r>
        <w:rPr>
          <w:rFonts w:ascii="Tahoma" w:hAnsi="Tahoma" w:cs="Tahoma"/>
          <w:bCs/>
          <w:snapToGrid w:val="0"/>
        </w:rPr>
        <w:t>průmyslová zóna</w:t>
      </w:r>
    </w:p>
    <w:p w14:paraId="6F3D0B02" w14:textId="28EE57F4" w:rsidR="002561C1" w:rsidRDefault="002561C1" w:rsidP="002561C1">
      <w:pPr>
        <w:pStyle w:val="Zhlav"/>
        <w:tabs>
          <w:tab w:val="left" w:pos="2268"/>
          <w:tab w:val="left" w:pos="2835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MÚK</w:t>
      </w:r>
      <w:r>
        <w:rPr>
          <w:rFonts w:ascii="Tahoma" w:hAnsi="Tahoma" w:cs="Tahoma"/>
          <w:sz w:val="28"/>
        </w:rPr>
        <w:tab/>
        <w:t>mimoúrovňová křižovatka</w:t>
      </w:r>
    </w:p>
    <w:sectPr w:rsidR="002561C1">
      <w:footerReference w:type="even" r:id="rId13"/>
      <w:footerReference w:type="default" r:id="rId14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C6FF0" w14:textId="77777777" w:rsidR="00356993" w:rsidRDefault="00356993">
      <w:r>
        <w:separator/>
      </w:r>
    </w:p>
  </w:endnote>
  <w:endnote w:type="continuationSeparator" w:id="0">
    <w:p w14:paraId="4601674B" w14:textId="77777777" w:rsidR="00356993" w:rsidRDefault="0035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AE73" w14:textId="77777777" w:rsidR="003F5041" w:rsidRDefault="003F50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8DAE74" w14:textId="77777777" w:rsidR="003F5041" w:rsidRDefault="003F50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AE75" w14:textId="77777777" w:rsidR="003F5041" w:rsidRPr="008F1628" w:rsidRDefault="003F50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A60AAB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CE29" w14:textId="77777777" w:rsidR="00356993" w:rsidRDefault="00356993">
      <w:pPr>
        <w:pStyle w:val="Zkladntext"/>
      </w:pPr>
      <w:r>
        <w:separator/>
      </w:r>
    </w:p>
  </w:footnote>
  <w:footnote w:type="continuationSeparator" w:id="0">
    <w:p w14:paraId="5990A6DE" w14:textId="77777777" w:rsidR="00356993" w:rsidRDefault="0035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7431654"/>
    <w:multiLevelType w:val="hybridMultilevel"/>
    <w:tmpl w:val="D05E3FC4"/>
    <w:lvl w:ilvl="0" w:tplc="D9820B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79E0"/>
    <w:multiLevelType w:val="hybridMultilevel"/>
    <w:tmpl w:val="17C40A5A"/>
    <w:lvl w:ilvl="0" w:tplc="7F8A6C94">
      <w:start w:val="1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98E8615A">
      <w:start w:val="1"/>
      <w:numFmt w:val="bullet"/>
      <w:lvlText w:val=""/>
      <w:lvlJc w:val="left"/>
      <w:pPr>
        <w:ind w:left="1304" w:hanging="130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23F2"/>
    <w:rsid w:val="00020380"/>
    <w:rsid w:val="00020524"/>
    <w:rsid w:val="00030C0B"/>
    <w:rsid w:val="00031B68"/>
    <w:rsid w:val="00031C6E"/>
    <w:rsid w:val="000331BB"/>
    <w:rsid w:val="000377FF"/>
    <w:rsid w:val="00051D32"/>
    <w:rsid w:val="00054BA9"/>
    <w:rsid w:val="000603E3"/>
    <w:rsid w:val="000712E9"/>
    <w:rsid w:val="00071F26"/>
    <w:rsid w:val="000847E3"/>
    <w:rsid w:val="00087E66"/>
    <w:rsid w:val="000A21F4"/>
    <w:rsid w:val="000A4566"/>
    <w:rsid w:val="000C165E"/>
    <w:rsid w:val="000C45B8"/>
    <w:rsid w:val="000D2819"/>
    <w:rsid w:val="000F0C37"/>
    <w:rsid w:val="0010115C"/>
    <w:rsid w:val="00104803"/>
    <w:rsid w:val="0011005E"/>
    <w:rsid w:val="00124445"/>
    <w:rsid w:val="00126130"/>
    <w:rsid w:val="00130793"/>
    <w:rsid w:val="001307D9"/>
    <w:rsid w:val="00141B2C"/>
    <w:rsid w:val="00146685"/>
    <w:rsid w:val="001508BE"/>
    <w:rsid w:val="00150F90"/>
    <w:rsid w:val="001626A2"/>
    <w:rsid w:val="00162BDF"/>
    <w:rsid w:val="0016305A"/>
    <w:rsid w:val="001632D1"/>
    <w:rsid w:val="00191F2B"/>
    <w:rsid w:val="001A4027"/>
    <w:rsid w:val="001D6C2A"/>
    <w:rsid w:val="001E7865"/>
    <w:rsid w:val="001F584F"/>
    <w:rsid w:val="001F5AE4"/>
    <w:rsid w:val="001F7124"/>
    <w:rsid w:val="00207C6C"/>
    <w:rsid w:val="00221FF4"/>
    <w:rsid w:val="00226582"/>
    <w:rsid w:val="002447CF"/>
    <w:rsid w:val="00247689"/>
    <w:rsid w:val="00254ADB"/>
    <w:rsid w:val="0025532E"/>
    <w:rsid w:val="002561C1"/>
    <w:rsid w:val="00263A70"/>
    <w:rsid w:val="00267DA5"/>
    <w:rsid w:val="0027757F"/>
    <w:rsid w:val="00281004"/>
    <w:rsid w:val="00283A39"/>
    <w:rsid w:val="00296449"/>
    <w:rsid w:val="002A1B40"/>
    <w:rsid w:val="002A2B96"/>
    <w:rsid w:val="002B20D9"/>
    <w:rsid w:val="002B242B"/>
    <w:rsid w:val="002C358C"/>
    <w:rsid w:val="002C5D10"/>
    <w:rsid w:val="002E48AE"/>
    <w:rsid w:val="002E7E40"/>
    <w:rsid w:val="002F19E4"/>
    <w:rsid w:val="00306111"/>
    <w:rsid w:val="003106D2"/>
    <w:rsid w:val="00316605"/>
    <w:rsid w:val="00330AB0"/>
    <w:rsid w:val="0034237A"/>
    <w:rsid w:val="003446A5"/>
    <w:rsid w:val="00346317"/>
    <w:rsid w:val="003514B8"/>
    <w:rsid w:val="00355955"/>
    <w:rsid w:val="00356993"/>
    <w:rsid w:val="00395639"/>
    <w:rsid w:val="003B52DE"/>
    <w:rsid w:val="003D24C6"/>
    <w:rsid w:val="003D731E"/>
    <w:rsid w:val="003E002C"/>
    <w:rsid w:val="003E4286"/>
    <w:rsid w:val="003E46C2"/>
    <w:rsid w:val="003F0448"/>
    <w:rsid w:val="003F5041"/>
    <w:rsid w:val="004020BC"/>
    <w:rsid w:val="00413E6D"/>
    <w:rsid w:val="004221AC"/>
    <w:rsid w:val="00425411"/>
    <w:rsid w:val="00427A2C"/>
    <w:rsid w:val="00447CC4"/>
    <w:rsid w:val="0045593B"/>
    <w:rsid w:val="00462F14"/>
    <w:rsid w:val="004630BF"/>
    <w:rsid w:val="00464CA2"/>
    <w:rsid w:val="00476E65"/>
    <w:rsid w:val="0049238A"/>
    <w:rsid w:val="00492DB9"/>
    <w:rsid w:val="0049389A"/>
    <w:rsid w:val="00497132"/>
    <w:rsid w:val="00497D10"/>
    <w:rsid w:val="004A63BE"/>
    <w:rsid w:val="004C17F0"/>
    <w:rsid w:val="004C2306"/>
    <w:rsid w:val="004C4ED9"/>
    <w:rsid w:val="004C5677"/>
    <w:rsid w:val="004C655F"/>
    <w:rsid w:val="004C7933"/>
    <w:rsid w:val="004D0CDD"/>
    <w:rsid w:val="004E0007"/>
    <w:rsid w:val="004E192D"/>
    <w:rsid w:val="004E5B79"/>
    <w:rsid w:val="004E6EDB"/>
    <w:rsid w:val="004E74E0"/>
    <w:rsid w:val="004F73BF"/>
    <w:rsid w:val="005204E5"/>
    <w:rsid w:val="00522283"/>
    <w:rsid w:val="005237C2"/>
    <w:rsid w:val="00525BA6"/>
    <w:rsid w:val="0052677E"/>
    <w:rsid w:val="0053599C"/>
    <w:rsid w:val="00535B42"/>
    <w:rsid w:val="00551A57"/>
    <w:rsid w:val="005524D2"/>
    <w:rsid w:val="005533C9"/>
    <w:rsid w:val="00562C2A"/>
    <w:rsid w:val="005637A9"/>
    <w:rsid w:val="0057155E"/>
    <w:rsid w:val="00571A1E"/>
    <w:rsid w:val="00577582"/>
    <w:rsid w:val="005801E1"/>
    <w:rsid w:val="00584F8F"/>
    <w:rsid w:val="00587319"/>
    <w:rsid w:val="0059046C"/>
    <w:rsid w:val="005936E7"/>
    <w:rsid w:val="005A1F1E"/>
    <w:rsid w:val="005B52FC"/>
    <w:rsid w:val="005B7CFC"/>
    <w:rsid w:val="005C0961"/>
    <w:rsid w:val="005C6B02"/>
    <w:rsid w:val="005D0AC3"/>
    <w:rsid w:val="005E3BB7"/>
    <w:rsid w:val="006073C5"/>
    <w:rsid w:val="00617827"/>
    <w:rsid w:val="006210C3"/>
    <w:rsid w:val="00625790"/>
    <w:rsid w:val="0065593E"/>
    <w:rsid w:val="006577D5"/>
    <w:rsid w:val="00676DB4"/>
    <w:rsid w:val="00682967"/>
    <w:rsid w:val="006969CE"/>
    <w:rsid w:val="006C6CA0"/>
    <w:rsid w:val="006D5D60"/>
    <w:rsid w:val="006F1D0B"/>
    <w:rsid w:val="006F615D"/>
    <w:rsid w:val="00701CF8"/>
    <w:rsid w:val="00715C60"/>
    <w:rsid w:val="00715CBA"/>
    <w:rsid w:val="00722896"/>
    <w:rsid w:val="007264F0"/>
    <w:rsid w:val="00741DAF"/>
    <w:rsid w:val="007432BB"/>
    <w:rsid w:val="00743C41"/>
    <w:rsid w:val="00754630"/>
    <w:rsid w:val="00760125"/>
    <w:rsid w:val="00777252"/>
    <w:rsid w:val="00781CF2"/>
    <w:rsid w:val="007967AC"/>
    <w:rsid w:val="00797418"/>
    <w:rsid w:val="007B34F5"/>
    <w:rsid w:val="007B4887"/>
    <w:rsid w:val="007C4DDB"/>
    <w:rsid w:val="007D6A59"/>
    <w:rsid w:val="007F2983"/>
    <w:rsid w:val="00802C93"/>
    <w:rsid w:val="00803024"/>
    <w:rsid w:val="00805D2C"/>
    <w:rsid w:val="00815F64"/>
    <w:rsid w:val="00823FF5"/>
    <w:rsid w:val="00825D2A"/>
    <w:rsid w:val="00834795"/>
    <w:rsid w:val="008547B1"/>
    <w:rsid w:val="008642B1"/>
    <w:rsid w:val="00886C0E"/>
    <w:rsid w:val="008A0751"/>
    <w:rsid w:val="008D592B"/>
    <w:rsid w:val="008F1049"/>
    <w:rsid w:val="008F1628"/>
    <w:rsid w:val="008F2EAD"/>
    <w:rsid w:val="008F4D2B"/>
    <w:rsid w:val="008F69AD"/>
    <w:rsid w:val="00906DEB"/>
    <w:rsid w:val="009077C8"/>
    <w:rsid w:val="0091263E"/>
    <w:rsid w:val="00914973"/>
    <w:rsid w:val="00941168"/>
    <w:rsid w:val="00951A52"/>
    <w:rsid w:val="0095686E"/>
    <w:rsid w:val="00960FFB"/>
    <w:rsid w:val="00961BF2"/>
    <w:rsid w:val="009716A4"/>
    <w:rsid w:val="0097715F"/>
    <w:rsid w:val="009A1FBA"/>
    <w:rsid w:val="009A77B7"/>
    <w:rsid w:val="009B2279"/>
    <w:rsid w:val="009B6DE8"/>
    <w:rsid w:val="009C2D79"/>
    <w:rsid w:val="009D0390"/>
    <w:rsid w:val="009E0886"/>
    <w:rsid w:val="009E2A05"/>
    <w:rsid w:val="00A11EC1"/>
    <w:rsid w:val="00A1268E"/>
    <w:rsid w:val="00A1596A"/>
    <w:rsid w:val="00A26DCC"/>
    <w:rsid w:val="00A33D0B"/>
    <w:rsid w:val="00A50531"/>
    <w:rsid w:val="00A60AAB"/>
    <w:rsid w:val="00A62E1B"/>
    <w:rsid w:val="00A66F43"/>
    <w:rsid w:val="00A72D1F"/>
    <w:rsid w:val="00A75AE6"/>
    <w:rsid w:val="00A934CF"/>
    <w:rsid w:val="00A958C0"/>
    <w:rsid w:val="00AA22D6"/>
    <w:rsid w:val="00AA2A16"/>
    <w:rsid w:val="00AB0BF9"/>
    <w:rsid w:val="00AB4B42"/>
    <w:rsid w:val="00AC6E5F"/>
    <w:rsid w:val="00AC7B78"/>
    <w:rsid w:val="00AE0126"/>
    <w:rsid w:val="00AE12B4"/>
    <w:rsid w:val="00AF2948"/>
    <w:rsid w:val="00AF30EC"/>
    <w:rsid w:val="00AF4848"/>
    <w:rsid w:val="00B03DF1"/>
    <w:rsid w:val="00B06DAC"/>
    <w:rsid w:val="00B07DFE"/>
    <w:rsid w:val="00B26A46"/>
    <w:rsid w:val="00B35801"/>
    <w:rsid w:val="00B416DE"/>
    <w:rsid w:val="00B5374A"/>
    <w:rsid w:val="00B547FD"/>
    <w:rsid w:val="00B63C33"/>
    <w:rsid w:val="00B66D7B"/>
    <w:rsid w:val="00B80CA0"/>
    <w:rsid w:val="00B87FB1"/>
    <w:rsid w:val="00BB33EB"/>
    <w:rsid w:val="00BC66BF"/>
    <w:rsid w:val="00BD2582"/>
    <w:rsid w:val="00BE2DD4"/>
    <w:rsid w:val="00BE6624"/>
    <w:rsid w:val="00BF53F0"/>
    <w:rsid w:val="00C06E68"/>
    <w:rsid w:val="00C10284"/>
    <w:rsid w:val="00C14332"/>
    <w:rsid w:val="00C1520D"/>
    <w:rsid w:val="00C164C5"/>
    <w:rsid w:val="00C30AE9"/>
    <w:rsid w:val="00C36E90"/>
    <w:rsid w:val="00C37A8D"/>
    <w:rsid w:val="00C43BDF"/>
    <w:rsid w:val="00C54427"/>
    <w:rsid w:val="00C778AC"/>
    <w:rsid w:val="00C85764"/>
    <w:rsid w:val="00C96553"/>
    <w:rsid w:val="00CC7DC7"/>
    <w:rsid w:val="00CD28EB"/>
    <w:rsid w:val="00CE2B90"/>
    <w:rsid w:val="00CF5128"/>
    <w:rsid w:val="00CF5F88"/>
    <w:rsid w:val="00D070B8"/>
    <w:rsid w:val="00D15513"/>
    <w:rsid w:val="00D24C50"/>
    <w:rsid w:val="00D3597F"/>
    <w:rsid w:val="00D41250"/>
    <w:rsid w:val="00D43DB1"/>
    <w:rsid w:val="00D46CF2"/>
    <w:rsid w:val="00D51A16"/>
    <w:rsid w:val="00D553A1"/>
    <w:rsid w:val="00D61EB7"/>
    <w:rsid w:val="00D6642E"/>
    <w:rsid w:val="00D72E2A"/>
    <w:rsid w:val="00D76F81"/>
    <w:rsid w:val="00D81E87"/>
    <w:rsid w:val="00D97CE5"/>
    <w:rsid w:val="00DA2175"/>
    <w:rsid w:val="00DA2E07"/>
    <w:rsid w:val="00DD10A6"/>
    <w:rsid w:val="00DD1F9C"/>
    <w:rsid w:val="00DD2588"/>
    <w:rsid w:val="00DF088F"/>
    <w:rsid w:val="00DF6F90"/>
    <w:rsid w:val="00E01574"/>
    <w:rsid w:val="00E05047"/>
    <w:rsid w:val="00E14072"/>
    <w:rsid w:val="00E27186"/>
    <w:rsid w:val="00E32EC3"/>
    <w:rsid w:val="00E53248"/>
    <w:rsid w:val="00E64815"/>
    <w:rsid w:val="00E66D76"/>
    <w:rsid w:val="00E71971"/>
    <w:rsid w:val="00E85A22"/>
    <w:rsid w:val="00E85B85"/>
    <w:rsid w:val="00EB0C03"/>
    <w:rsid w:val="00EB2F87"/>
    <w:rsid w:val="00EC10C1"/>
    <w:rsid w:val="00ED0AD8"/>
    <w:rsid w:val="00ED586F"/>
    <w:rsid w:val="00ED5AFC"/>
    <w:rsid w:val="00EE0A58"/>
    <w:rsid w:val="00EF788D"/>
    <w:rsid w:val="00F00DA1"/>
    <w:rsid w:val="00F02CB6"/>
    <w:rsid w:val="00F1267F"/>
    <w:rsid w:val="00F1315F"/>
    <w:rsid w:val="00F2042D"/>
    <w:rsid w:val="00F31C51"/>
    <w:rsid w:val="00F34312"/>
    <w:rsid w:val="00F43D64"/>
    <w:rsid w:val="00F46154"/>
    <w:rsid w:val="00F5531D"/>
    <w:rsid w:val="00F6767F"/>
    <w:rsid w:val="00F744F3"/>
    <w:rsid w:val="00F92ACF"/>
    <w:rsid w:val="00F95ACC"/>
    <w:rsid w:val="00F97BE2"/>
    <w:rsid w:val="00FA6FD0"/>
    <w:rsid w:val="00FB439E"/>
    <w:rsid w:val="00FC1097"/>
    <w:rsid w:val="00FC2697"/>
    <w:rsid w:val="00FC6E7B"/>
    <w:rsid w:val="00FD0E14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DAE27"/>
  <w15:chartTrackingRefBased/>
  <w15:docId w15:val="{94A2FD96-152A-4D14-BA64-6CF047E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713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81E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351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4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4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4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4B8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64815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B35801"/>
    <w:pPr>
      <w:spacing w:after="200"/>
    </w:pPr>
    <w:rPr>
      <w:i/>
      <w:iCs/>
      <w:color w:val="44546A" w:themeColor="text2"/>
      <w:sz w:val="18"/>
      <w:szCs w:val="18"/>
    </w:rPr>
  </w:style>
  <w:style w:type="character" w:styleId="Odkazjemn">
    <w:name w:val="Subtle Reference"/>
    <w:uiPriority w:val="31"/>
    <w:qFormat/>
    <w:rsid w:val="00960FFB"/>
    <w:rPr>
      <w:smallCaps/>
      <w:color w:val="C0504D"/>
      <w:u w:val="single"/>
    </w:rPr>
  </w:style>
  <w:style w:type="character" w:customStyle="1" w:styleId="Nadpis4Char">
    <w:name w:val="Nadpis 4 Char"/>
    <w:basedOn w:val="Standardnpsmoodstavce"/>
    <w:link w:val="Nadpis4"/>
    <w:rsid w:val="002447CF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256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214f1ae48e2a5a5e2052637cf36ff4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03d3cf09d7396e0f3d721518fd6a0f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B9D4-43F9-475E-B616-4E1CE34EF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82E0A-F4F2-4B13-97AD-642A359D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1A0E-52E1-4925-BC13-814136BD9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4B8EC6-5296-4B9A-A1D3-BC028B40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9</TotalTime>
  <Pages>5</Pages>
  <Words>1443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12</cp:revision>
  <cp:lastPrinted>2015-02-10T10:58:00Z</cp:lastPrinted>
  <dcterms:created xsi:type="dcterms:W3CDTF">2021-02-12T20:06:00Z</dcterms:created>
  <dcterms:modified xsi:type="dcterms:W3CDTF">2021-02-15T06:28:00Z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