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6419" w14:textId="62070594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20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77777777"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14:paraId="02F66426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77777777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14:paraId="02F66428" w14:textId="77777777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517CDE1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……….. Smlouvu o závazku veřejné služby a vyrovnávací platbě za jeho výkon, ev. č.  (dále jen „Smlouva“). Následně byly ke Smlouvě uzavřeny dodatky č. ………..</w:t>
      </w: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7AC04DBE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 xml:space="preserve">V Příloze č. I Smlouvy se ke dni ……… vkládají nové sociální služby </w:t>
      </w:r>
      <w:r>
        <w:rPr>
          <w:rFonts w:ascii="Tahoma" w:hAnsi="Tahoma" w:cs="Tahoma"/>
        </w:rPr>
        <w:t>………, ID ……… a ………., ID ………., neboť předmětné sociální služby vykonávané dle Smlouvy, budou součástí Krajské sítě sociálních služeb v Moravskoslezském kraji schválené Moravskoslezským krajem dle Střednědobého plánu rozvoje sociálních služeb v Moravskoslezském kraji na léta 20</w:t>
      </w:r>
      <w:r w:rsidR="00B81EEB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 – 202</w:t>
      </w:r>
      <w:r w:rsidR="00B81E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(dále jen „Krajské sítě“) od ……….. Dále se vypouští sociální služba …………….., ID …………., která bude součástí Krajské sítě do </w:t>
      </w:r>
      <w:r w:rsidR="00CD01A6">
        <w:rPr>
          <w:rFonts w:ascii="Tahoma" w:hAnsi="Tahoma" w:cs="Tahoma"/>
        </w:rPr>
        <w:t>……..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02F66433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02F66434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  <w:r w:rsidR="002F6754">
        <w:rPr>
          <w:rFonts w:ascii="Tahoma" w:hAnsi="Tahoma" w:cs="Tahoma"/>
        </w:rPr>
        <w:t>…..</w:t>
      </w:r>
    </w:p>
    <w:p w14:paraId="02F6643B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14:paraId="02F6643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02F6643D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516B24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48FF1F3D" w:rsidR="00516B24" w:rsidRPr="0094085C" w:rsidRDefault="005A7E0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  <w:bookmarkStart w:id="0" w:name="_GoBack"/>
            <w:bookmarkEnd w:id="0"/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0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2542" w14:textId="77777777" w:rsidR="001059D3" w:rsidRDefault="001059D3" w:rsidP="005051F5">
      <w:pPr>
        <w:spacing w:after="0" w:line="240" w:lineRule="auto"/>
      </w:pPr>
      <w:r>
        <w:separator/>
      </w:r>
    </w:p>
  </w:endnote>
  <w:endnote w:type="continuationSeparator" w:id="0">
    <w:p w14:paraId="7165D7BB" w14:textId="77777777" w:rsidR="001059D3" w:rsidRDefault="001059D3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2F6644F" w14:textId="77777777"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2F66450" w14:textId="77777777" w:rsidR="005051F5" w:rsidRDefault="00505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67192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2F66451" w14:textId="77777777" w:rsidR="002F6754" w:rsidRPr="00A41E5B" w:rsidRDefault="002F675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F5A5" w14:textId="77777777" w:rsidR="001059D3" w:rsidRDefault="001059D3" w:rsidP="005051F5">
      <w:pPr>
        <w:spacing w:after="0" w:line="240" w:lineRule="auto"/>
      </w:pPr>
      <w:r>
        <w:separator/>
      </w:r>
    </w:p>
  </w:footnote>
  <w:footnote w:type="continuationSeparator" w:id="0">
    <w:p w14:paraId="79197782" w14:textId="77777777" w:rsidR="001059D3" w:rsidRDefault="001059D3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059D3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6665"/>
    <w:rsid w:val="005E3253"/>
    <w:rsid w:val="005F40E4"/>
    <w:rsid w:val="00601A70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C0376"/>
    <w:rsid w:val="00AC34B7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E3AD-40CB-4556-B961-0E02C46B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11</cp:revision>
  <cp:lastPrinted>2018-11-09T09:44:00Z</cp:lastPrinted>
  <dcterms:created xsi:type="dcterms:W3CDTF">2019-10-18T10:48:00Z</dcterms:created>
  <dcterms:modified xsi:type="dcterms:W3CDTF">2020-10-27T11:22:00Z</dcterms:modified>
</cp:coreProperties>
</file>