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FE237" w14:textId="77777777" w:rsidR="00006F79" w:rsidRDefault="00006F79" w:rsidP="00006F79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6F809151" w14:textId="3D87D76A" w:rsidR="00006F79" w:rsidRDefault="00006F79" w:rsidP="00006F79">
      <w:pPr>
        <w:jc w:val="both"/>
        <w:rPr>
          <w:rFonts w:ascii="Tahoma" w:hAnsi="Tahoma" w:cs="Tahoma"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1: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 Moravskoslezském kraji – 3. výzva“,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>. č. CZ.05.2.32/0.0/0.0/19_117/0009638.</w:t>
      </w:r>
    </w:p>
    <w:p w14:paraId="29FCFF51" w14:textId="77777777" w:rsidR="005223A5" w:rsidRPr="00927F31" w:rsidRDefault="00C50058" w:rsidP="00006F79">
      <w:pPr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69DB83B7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2558F3A6" w14:textId="77777777"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315F96">
        <w:rPr>
          <w:rFonts w:ascii="Tahoma" w:hAnsi="Tahoma" w:cs="Tahoma"/>
          <w:b/>
          <w:sz w:val="20"/>
          <w:szCs w:val="20"/>
        </w:rPr>
        <w:t xml:space="preserve"> </w:t>
      </w:r>
      <w:r w:rsidR="00315F96"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087FDEC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C251FAC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173CFAA1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967B09B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9EEF40A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1F14F349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01C5EE3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150A4C0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2DCD1B64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30A09A4E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C4C670C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3A1A007D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</w:p>
    <w:p w14:paraId="4891CBD8" w14:textId="77777777" w:rsidR="0008257A" w:rsidRPr="00927F31" w:rsidRDefault="00F83901" w:rsidP="0008257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proofErr w:type="spellStart"/>
      <w:r w:rsidR="0008257A"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="0008257A"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14:paraId="77B5774C" w14:textId="1C45FD01" w:rsidR="00067E58" w:rsidRPr="00927F31" w:rsidRDefault="0008257A" w:rsidP="0008257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07AE8C62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4C431F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EB7ECF4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510A2DAC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0E8701F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6C6247F3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116F2779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7049F989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F6FFE4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EC3C93B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380BE2DB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B0AC04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034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1F6BB766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26778CF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6924BE1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4575D6CC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4BE3BB5" w14:textId="77777777"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podané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</w:t>
      </w:r>
      <w:proofErr w:type="gramEnd"/>
      <w:r w:rsidR="00A505E2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14:paraId="2105624D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698EBC0" w14:textId="24DD9419"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>
        <w:rPr>
          <w:rFonts w:ascii="Tahoma" w:hAnsi="Tahoma" w:cs="Tahoma"/>
          <w:sz w:val="20"/>
          <w:szCs w:val="20"/>
        </w:rPr>
        <w:t>3</w:t>
      </w:r>
      <w:r w:rsidR="0035435A" w:rsidRPr="00927F31">
        <w:rPr>
          <w:rFonts w:ascii="Tahoma" w:hAnsi="Tahoma" w:cs="Tahoma"/>
          <w:sz w:val="20"/>
          <w:szCs w:val="20"/>
        </w:rPr>
        <w:t xml:space="preserve">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</w:t>
      </w:r>
      <w:r w:rsidR="00006F7F">
        <w:rPr>
          <w:rFonts w:ascii="Tahoma" w:hAnsi="Tahoma" w:cs="Tahoma"/>
          <w:sz w:val="20"/>
          <w:szCs w:val="20"/>
        </w:rPr>
        <w:t>9</w:t>
      </w:r>
      <w:r w:rsidR="0035435A" w:rsidRPr="00DF07E7">
        <w:rPr>
          <w:rFonts w:ascii="Tahoma" w:hAnsi="Tahoma" w:cs="Tahoma"/>
          <w:sz w:val="20"/>
          <w:szCs w:val="20"/>
        </w:rPr>
        <w:t xml:space="preserve">. </w:t>
      </w:r>
      <w:r w:rsidR="00006F7F">
        <w:rPr>
          <w:rFonts w:ascii="Tahoma" w:hAnsi="Tahoma" w:cs="Tahoma"/>
          <w:sz w:val="20"/>
          <w:szCs w:val="20"/>
        </w:rPr>
        <w:t>4</w:t>
      </w:r>
      <w:r w:rsidR="0035435A" w:rsidRPr="00DF07E7">
        <w:rPr>
          <w:rFonts w:ascii="Tahoma" w:hAnsi="Tahoma" w:cs="Tahoma"/>
          <w:sz w:val="20"/>
          <w:szCs w:val="20"/>
        </w:rPr>
        <w:t>. 201</w:t>
      </w:r>
      <w:r w:rsidR="00423AEB" w:rsidRPr="00DF07E7">
        <w:rPr>
          <w:rFonts w:ascii="Tahoma" w:hAnsi="Tahoma" w:cs="Tahoma"/>
          <w:sz w:val="20"/>
          <w:szCs w:val="20"/>
        </w:rPr>
        <w:t>9</w:t>
      </w:r>
      <w:r w:rsidR="0035435A" w:rsidRPr="00927F31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14:paraId="13992568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53CB589" w14:textId="77777777"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350D2FCC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55EF75A8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5E8191FC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BCA563A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C5AB535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EE66655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37F08792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3EA98E61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18DCAD3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7AAD1E0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4F425451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2E2C6CCA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9C7E8BF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538A221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8B0B569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679E708" w14:textId="77777777" w:rsidTr="00D9320D">
        <w:trPr>
          <w:trHeight w:val="306"/>
        </w:trPr>
        <w:tc>
          <w:tcPr>
            <w:tcW w:w="3498" w:type="dxa"/>
          </w:tcPr>
          <w:p w14:paraId="79564DBB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7EF102A7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EFFCD74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388F162E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A0FC8A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240523C9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43A8DFD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66170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3224B306" w14:textId="77777777" w:rsidTr="00D9320D">
        <w:tc>
          <w:tcPr>
            <w:tcW w:w="3498" w:type="dxa"/>
          </w:tcPr>
          <w:p w14:paraId="6452AEFC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30FF64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668D25F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E5B5DA8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58E26B58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44F4C179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7CAF260E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6653E4E3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B80D7C5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13CF374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1A544C82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2F07E6E1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2F3F1174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07F0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B3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1B9C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0817F4C4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D6A8E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424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F8A7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16B86E62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5AB5E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669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8FBF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6428C3C0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C6F6C1C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934517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1CE51CE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252C7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78519431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AEA7EC3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610DA26E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31D3A83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35AAAA6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17E9AE52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CAF1F99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155C1DE8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9F4015C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0E4E31C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494E5A13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AD15115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4B2095E7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C23A1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E010CA1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DE25FB8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07F075C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344A356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DEEA5BA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6758A217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4E4F3E2C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5110F473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27ED126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262A4B77" w14:textId="5BDE65BD" w:rsidR="00006F79" w:rsidRDefault="003358ED" w:rsidP="00F31F75">
      <w:pPr>
        <w:ind w:left="426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185A50E7" w14:textId="77777777" w:rsidR="003358ED" w:rsidRPr="00F97A02" w:rsidRDefault="00006F79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br w:type="column"/>
      </w:r>
    </w:p>
    <w:p w14:paraId="3F9DD199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247EAB5B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2A80948E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21CFE4E7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F8D392D" w14:textId="0FE47C90" w:rsidR="002F1EDE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B8B6399" w14:textId="77777777" w:rsidR="00B0056C" w:rsidRPr="00A25A54" w:rsidRDefault="00B0056C" w:rsidP="002F1EDE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27D74339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083AAD50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E17941A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9999291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1398BED0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65DCE80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66BE7D21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D34F5A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29980CE8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4933F89F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69D5CB8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9ED8C66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>ouvy poskytne příjemci investiční dotaci ve výši uvedené v čl. II této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="00D91B13"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="00D91B13" w:rsidRPr="00927F31">
        <w:rPr>
          <w:rFonts w:ascii="Tahoma" w:hAnsi="Tahoma" w:cs="Tahoma"/>
          <w:sz w:val="20"/>
          <w:szCs w:val="20"/>
          <w:highlight w:val="lightGray"/>
        </w:rPr>
        <w:t>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39301227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43527A1" w14:textId="7C8DE450"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</w:t>
      </w:r>
      <w:r w:rsidR="00767AE1" w:rsidRPr="00DF07E7">
        <w:rPr>
          <w:rFonts w:ascii="Tahoma" w:hAnsi="Tahoma" w:cs="Tahoma"/>
          <w:sz w:val="20"/>
          <w:szCs w:val="20"/>
        </w:rPr>
        <w:t>30</w:t>
      </w:r>
      <w:r w:rsidR="000E062C" w:rsidRPr="00DF07E7">
        <w:rPr>
          <w:rFonts w:ascii="Tahoma" w:hAnsi="Tahoma" w:cs="Tahoma"/>
          <w:sz w:val="20"/>
          <w:szCs w:val="20"/>
        </w:rPr>
        <w:t xml:space="preserve">. </w:t>
      </w:r>
      <w:r w:rsidR="00767AE1" w:rsidRPr="00DF07E7">
        <w:rPr>
          <w:rFonts w:ascii="Tahoma" w:hAnsi="Tahoma" w:cs="Tahoma"/>
          <w:sz w:val="20"/>
          <w:szCs w:val="20"/>
        </w:rPr>
        <w:t>9</w:t>
      </w:r>
      <w:r w:rsidR="000E062C" w:rsidRPr="00DF07E7">
        <w:rPr>
          <w:rFonts w:ascii="Tahoma" w:hAnsi="Tahoma" w:cs="Tahoma"/>
          <w:sz w:val="20"/>
          <w:szCs w:val="20"/>
        </w:rPr>
        <w:t>. 20</w:t>
      </w:r>
      <w:r w:rsidR="00734873" w:rsidRPr="00DF07E7">
        <w:rPr>
          <w:rFonts w:ascii="Tahoma" w:hAnsi="Tahoma" w:cs="Tahoma"/>
          <w:sz w:val="20"/>
          <w:szCs w:val="20"/>
        </w:rPr>
        <w:t>23</w:t>
      </w:r>
      <w:r w:rsidR="000E062C" w:rsidRPr="00927F31">
        <w:rPr>
          <w:rFonts w:ascii="Tahoma" w:hAnsi="Tahoma" w:cs="Tahoma"/>
          <w:sz w:val="20"/>
          <w:szCs w:val="20"/>
        </w:rPr>
        <w:t xml:space="preserve">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14:paraId="063E0D94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159BA230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0EA9C07D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214A45F7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396AE44E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4C55A6D" w14:textId="77777777"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14:paraId="322AFC7D" w14:textId="77777777"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62508AC" w14:textId="77777777"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45CA9057" w14:textId="77777777"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07103BFD" w14:textId="6A7CD3F6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Bude-li závěrečné vyúčtování doručeno poskytovateli </w:t>
      </w:r>
      <w:r w:rsidR="00104B9E" w:rsidRPr="00DF07E7">
        <w:rPr>
          <w:rFonts w:ascii="Tahoma" w:hAnsi="Tahoma" w:cs="Tahoma"/>
          <w:sz w:val="20"/>
          <w:szCs w:val="20"/>
        </w:rPr>
        <w:t>po</w:t>
      </w:r>
      <w:r w:rsidR="00F93C1F" w:rsidRPr="00DF07E7">
        <w:rPr>
          <w:rFonts w:ascii="Tahoma" w:hAnsi="Tahoma" w:cs="Tahoma"/>
          <w:sz w:val="20"/>
          <w:szCs w:val="20"/>
        </w:rPr>
        <w:t> 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734873" w:rsidRPr="00DF07E7">
        <w:rPr>
          <w:rFonts w:ascii="Tahoma" w:hAnsi="Tahoma" w:cs="Tahoma"/>
          <w:sz w:val="20"/>
          <w:szCs w:val="20"/>
        </w:rPr>
        <w:t>. 2023</w:t>
      </w:r>
      <w:r w:rsidR="00104B9E" w:rsidRPr="00DF07E7">
        <w:rPr>
          <w:rFonts w:ascii="Tahoma" w:hAnsi="Tahoma" w:cs="Tahoma"/>
          <w:sz w:val="20"/>
          <w:szCs w:val="20"/>
        </w:rPr>
        <w:t xml:space="preserve">, nebude příjemci dotace vyplacena. </w:t>
      </w:r>
    </w:p>
    <w:p w14:paraId="14DA1F59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0EF142EC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8A103F1" w14:textId="7DF1E9DC" w:rsidR="001630A5" w:rsidRPr="00927F31" w:rsidRDefault="00006F79" w:rsidP="00105FD5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</w:p>
    <w:p w14:paraId="342114D6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742918E0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67AC3FFC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561F951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14A683F2" w14:textId="1DE5DD7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3209B6D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24F78D80" w14:textId="1009E7CC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611E78" w:rsidRPr="00611E78">
        <w:rPr>
          <w:rFonts w:ascii="Tahoma" w:hAnsi="Tahoma" w:cs="Tahoma"/>
          <w:sz w:val="20"/>
          <w:szCs w:val="20"/>
        </w:rPr>
        <w:t>poříze</w:t>
      </w:r>
      <w:r w:rsidR="00611E78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47FC265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F58A6D6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7052C8A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1C8AB14E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0FC0CAE4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7234403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0" w:name="OLE_LINK1"/>
      <w:bookmarkStart w:id="1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5990E223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640364D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086FFCCC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4B41C2E6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4DED283" w14:textId="0FF9D334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DF07E7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33EC713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7A681BC9" w14:textId="1C5A1C0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D929CE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>2015/1189 ze dne 28. dubna 2015, kterým se provádí směrnice Evropského parlamentu a Rady 2009/12/ES, pokud jde o požadavky na ekodesign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06FEDFD7" w14:textId="77777777" w:rsidR="004B4FDF" w:rsidRPr="00DF07E7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7ADDEB48" w14:textId="77777777" w:rsidR="002055B2" w:rsidRPr="00DF07E7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DF07E7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DF07E7">
        <w:rPr>
          <w:rFonts w:ascii="Tahoma" w:hAnsi="Tahoma" w:cs="Tahoma"/>
          <w:sz w:val="20"/>
          <w:szCs w:val="20"/>
        </w:rPr>
        <w:t xml:space="preserve"> </w:t>
      </w:r>
      <w:r w:rsidRPr="00DF07E7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DF07E7">
        <w:rPr>
          <w:rFonts w:ascii="Tahoma" w:hAnsi="Tahoma" w:cs="Tahoma"/>
          <w:sz w:val="20"/>
          <w:szCs w:val="20"/>
        </w:rPr>
        <w:t>, čištění spalinových cest</w:t>
      </w:r>
      <w:r w:rsidRPr="00DF07E7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DF07E7">
        <w:rPr>
          <w:rFonts w:ascii="Tahoma" w:hAnsi="Tahoma" w:cs="Tahoma"/>
          <w:sz w:val="20"/>
          <w:szCs w:val="20"/>
        </w:rPr>
        <w:t>,</w:t>
      </w:r>
    </w:p>
    <w:p w14:paraId="2E98217E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D49ADD3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2E9E4355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0889D8E4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B526178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12720CBE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C5F87D3" w14:textId="306F900B"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DF07E7">
        <w:rPr>
          <w:rFonts w:ascii="Tahoma" w:hAnsi="Tahoma" w:cs="Tahoma"/>
          <w:sz w:val="20"/>
          <w:szCs w:val="20"/>
        </w:rPr>
        <w:t xml:space="preserve">do 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E17D77" w:rsidRPr="00DF07E7">
        <w:rPr>
          <w:rFonts w:ascii="Tahoma" w:hAnsi="Tahoma" w:cs="Tahoma"/>
          <w:sz w:val="20"/>
          <w:szCs w:val="20"/>
        </w:rPr>
        <w:t>. 2023</w:t>
      </w:r>
      <w:r w:rsidR="00323965" w:rsidRPr="00DF07E7">
        <w:rPr>
          <w:rFonts w:ascii="Tahoma" w:hAnsi="Tahoma" w:cs="Tahoma"/>
          <w:sz w:val="20"/>
          <w:szCs w:val="20"/>
        </w:rPr>
        <w:t xml:space="preserve"> na</w:t>
      </w:r>
      <w:r w:rsidR="00323965" w:rsidRPr="00927F31">
        <w:rPr>
          <w:rFonts w:ascii="Tahoma" w:hAnsi="Tahoma" w:cs="Tahoma"/>
          <w:sz w:val="20"/>
          <w:szCs w:val="20"/>
        </w:rPr>
        <w:t xml:space="preserve"> předepsaných formulářích </w:t>
      </w:r>
      <w:r w:rsidR="00D37B52" w:rsidRPr="00927F31">
        <w:rPr>
          <w:rFonts w:ascii="Tahoma" w:hAnsi="Tahoma" w:cs="Tahoma"/>
          <w:sz w:val="20"/>
          <w:szCs w:val="20"/>
        </w:rPr>
        <w:t>závěrečné vyúčtování dílčího projektu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37EA8956" w14:textId="77777777"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A3805C" w14:textId="77777777"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14:paraId="0A801447" w14:textId="77777777"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14:paraId="6E96ACE0" w14:textId="3D78C2C4" w:rsidR="00921D6F" w:rsidRDefault="00921D6F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4A1F76"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5CD4BF67" w14:textId="77777777" w:rsidR="00B0056C" w:rsidRPr="00927F31" w:rsidRDefault="00B0056C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</w:p>
    <w:p w14:paraId="2572F959" w14:textId="7BB0005A"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46D49B6E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14:paraId="655BAB7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08CDF2A3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FE21B19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00367DA8" w14:textId="2A0A655F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62B5B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62B5B"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62B5B">
        <w:rPr>
          <w:rStyle w:val="datalabel"/>
          <w:rFonts w:ascii="Tahoma" w:hAnsi="Tahoma" w:cs="Tahoma"/>
          <w:sz w:val="20"/>
          <w:szCs w:val="20"/>
        </w:rPr>
        <w:t>).</w:t>
      </w:r>
    </w:p>
    <w:p w14:paraId="457F34E7" w14:textId="77777777"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D557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C648C6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86AFA8C" w14:textId="2C7A75E1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4A278E"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D929CE"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/ do níž</w:t>
      </w:r>
      <w:r w:rsidR="004A278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B1AB05D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59ECC204" w14:textId="7108F940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4A278E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6ADBF24F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2EBBF42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0"/>
      <w:bookmarkEnd w:id="1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914F282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3A85386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5B98FD8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17438A60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1520464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2354E51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220A2D34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B74EB1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4F6B00C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570AD4F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559A25A2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B7CC3CD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6C705B8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2D740B88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57EB30F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74C1E498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C22FD1" w14:textId="6C243B98" w:rsidR="00367785" w:rsidRPr="00367785" w:rsidRDefault="00F83901" w:rsidP="00367785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03CBD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548C340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737726D1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D19257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8BE7AA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E7341C4" w14:textId="666E7C4A" w:rsidR="00F83901" w:rsidRPr="00927F31" w:rsidRDefault="00D2403E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6AEB66B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7992C3F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A432CA7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3E14CC3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3EEC74F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04FE6AC" w14:textId="37A2FF1F" w:rsidR="00CA3F39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>kraje. Smlouva bude zveřejněna po anonymizaci provedené v souladu s</w:t>
      </w:r>
      <w:r w:rsidR="00D2403E"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63B5010" w14:textId="77777777" w:rsidR="00A15197" w:rsidRDefault="00A15197" w:rsidP="00005382">
      <w:pPr>
        <w:pStyle w:val="Odstavecseseznamem"/>
        <w:rPr>
          <w:rFonts w:ascii="Tahoma" w:hAnsi="Tahoma" w:cs="Tahoma"/>
          <w:sz w:val="20"/>
          <w:szCs w:val="20"/>
        </w:rPr>
      </w:pPr>
    </w:p>
    <w:p w14:paraId="0939B758" w14:textId="2C7B25EB" w:rsidR="00A15197" w:rsidRDefault="00A15197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ECAF70D" w14:textId="77777777" w:rsidR="00367785" w:rsidRDefault="00367785" w:rsidP="00DF07E7">
      <w:pPr>
        <w:pStyle w:val="Odstavecseseznamem"/>
        <w:rPr>
          <w:rFonts w:ascii="Tahoma" w:hAnsi="Tahoma" w:cs="Tahoma"/>
          <w:sz w:val="20"/>
          <w:szCs w:val="20"/>
        </w:rPr>
      </w:pPr>
    </w:p>
    <w:p w14:paraId="450F15FA" w14:textId="108E4A93" w:rsidR="00367785" w:rsidRDefault="0036778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4511E23" w14:textId="77777777" w:rsidR="009A6C00" w:rsidRPr="00927F31" w:rsidRDefault="009A6C00" w:rsidP="00DF07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6FE13C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2C48DAA9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01F94F6E" w14:textId="5EBAE8DC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 xml:space="preserve">O poskytnutí dotace a uzavření této smlouvy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B955F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53AA580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46BF40D6" w14:textId="77777777" w:rsidTr="00740FFD">
        <w:tc>
          <w:tcPr>
            <w:tcW w:w="4013" w:type="dxa"/>
          </w:tcPr>
          <w:p w14:paraId="4900F3FE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49D281F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C1906B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3E2C3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01241904" w14:textId="77777777" w:rsidTr="00740FFD">
        <w:tc>
          <w:tcPr>
            <w:tcW w:w="4013" w:type="dxa"/>
          </w:tcPr>
          <w:p w14:paraId="32271E18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1BA5C1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56B518C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7E039AC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0E067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1BFFAEC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AE1497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FCBF1AE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63F1C53" w14:textId="77777777" w:rsidTr="00740FFD">
        <w:trPr>
          <w:trHeight w:val="366"/>
        </w:trPr>
        <w:tc>
          <w:tcPr>
            <w:tcW w:w="4013" w:type="dxa"/>
          </w:tcPr>
          <w:p w14:paraId="6B563DE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690BC6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9978E68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78C9C74F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5E2E6F3F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66EAE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4F2C7D2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1EFBBE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6FF01DDA" w14:textId="7214BA03" w:rsidR="00123002" w:rsidRPr="00927F31" w:rsidRDefault="00DF07E7" w:rsidP="00DF07E7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9B633A5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DE84019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5093976" w14:textId="7F913992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015A9A5E" w14:textId="0BE0B33C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4648C948" w14:textId="715EB53E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519B2EAD" w14:textId="77777777" w:rsidR="00006F79" w:rsidRDefault="00006F79" w:rsidP="00105FD5">
      <w:pPr>
        <w:jc w:val="both"/>
        <w:rPr>
          <w:rFonts w:ascii="Tahoma" w:hAnsi="Tahoma" w:cs="Tahoma"/>
          <w:sz w:val="20"/>
          <w:szCs w:val="20"/>
        </w:rPr>
        <w:sectPr w:rsidR="00006F79" w:rsidSect="00006F79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595C0B33" w14:textId="3B269126" w:rsidR="00006F79" w:rsidRDefault="00006F79" w:rsidP="00105FD5">
      <w:pPr>
        <w:jc w:val="both"/>
        <w:rPr>
          <w:rFonts w:ascii="Tahoma" w:hAnsi="Tahoma" w:cs="Tahoma"/>
          <w:sz w:val="20"/>
          <w:szCs w:val="20"/>
        </w:rPr>
      </w:pPr>
    </w:p>
    <w:p w14:paraId="4FA8F1AF" w14:textId="7F2137E0" w:rsidR="00006F79" w:rsidRPr="000443EE" w:rsidRDefault="00006F79" w:rsidP="00006F79">
      <w:pPr>
        <w:jc w:val="both"/>
        <w:rPr>
          <w:rFonts w:ascii="Tahoma" w:hAnsi="Tahoma" w:cs="Tahoma"/>
          <w:b/>
          <w:sz w:val="20"/>
          <w:szCs w:val="20"/>
        </w:rPr>
      </w:pPr>
      <w:r w:rsidRPr="000443EE">
        <w:rPr>
          <w:rFonts w:ascii="Tahoma" w:hAnsi="Tahoma" w:cs="Tahoma"/>
          <w:b/>
          <w:sz w:val="20"/>
          <w:szCs w:val="20"/>
          <w:u w:val="single"/>
        </w:rPr>
        <w:t>Varianta 2:</w:t>
      </w:r>
      <w:r w:rsidRPr="000443EE">
        <w:rPr>
          <w:rFonts w:ascii="Tahoma" w:hAnsi="Tahoma" w:cs="Tahoma"/>
          <w:b/>
          <w:sz w:val="20"/>
          <w:szCs w:val="20"/>
        </w:rPr>
        <w:t xml:space="preserve"> Bude použito v případě financování z projektu Kotlíkové dotace v Moravskoslezském kraji - 3. výzva v rámci adaptačního a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mitigačního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 xml:space="preserve"> opatření“, </w:t>
      </w:r>
      <w:proofErr w:type="spellStart"/>
      <w:r w:rsidRPr="000443EE">
        <w:rPr>
          <w:rFonts w:ascii="Tahoma" w:hAnsi="Tahoma" w:cs="Tahoma"/>
          <w:b/>
          <w:sz w:val="20"/>
          <w:szCs w:val="20"/>
        </w:rPr>
        <w:t>reg</w:t>
      </w:r>
      <w:proofErr w:type="spellEnd"/>
      <w:r w:rsidRPr="000443EE">
        <w:rPr>
          <w:rFonts w:ascii="Tahoma" w:hAnsi="Tahoma" w:cs="Tahoma"/>
          <w:b/>
          <w:sz w:val="20"/>
          <w:szCs w:val="20"/>
        </w:rPr>
        <w:t xml:space="preserve">. č. </w:t>
      </w:r>
      <w:r w:rsidRPr="000443EE">
        <w:rPr>
          <w:rFonts w:ascii="Tahoma" w:hAnsi="Tahoma" w:cs="Tahoma"/>
          <w:b/>
          <w:bCs/>
          <w:sz w:val="20"/>
          <w:szCs w:val="20"/>
        </w:rPr>
        <w:t>SFZP 138986/2019</w:t>
      </w:r>
    </w:p>
    <w:p w14:paraId="3A191847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6FC53508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Smlouva o poskytnutí dotace </w:t>
      </w:r>
    </w:p>
    <w:p w14:paraId="7B905A8E" w14:textId="77777777" w:rsidR="00006F79" w:rsidRPr="00927F31" w:rsidRDefault="00006F79" w:rsidP="00006F79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BEEF41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91715F5" w14:textId="77777777" w:rsidR="00006F79" w:rsidRPr="00927F31" w:rsidRDefault="00006F79" w:rsidP="00006F79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uzavřená</w:t>
      </w:r>
    </w:p>
    <w:p w14:paraId="15B23EBC" w14:textId="77777777" w:rsidR="00006F79" w:rsidRPr="00927F31" w:rsidRDefault="00006F79" w:rsidP="00006F79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721D66E5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6D014CA9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65E6D7C5" w14:textId="77777777" w:rsidR="00006F79" w:rsidRPr="00927F31" w:rsidRDefault="00006F79" w:rsidP="00006F79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63F07B74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1BBCF7A5" w14:textId="77777777" w:rsidR="00006F79" w:rsidRPr="00927F31" w:rsidRDefault="00006F79" w:rsidP="00006F79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14:paraId="3B753B00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1B654279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6B3DCC6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14:paraId="0D294FFB" w14:textId="77777777" w:rsidR="00006F79" w:rsidRPr="00927F31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14:paraId="3EB47D6A" w14:textId="77777777" w:rsidR="00F542CA" w:rsidRPr="00577FE3" w:rsidRDefault="00006F79" w:rsidP="00F542C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="00F542CA" w:rsidRPr="00577FE3">
        <w:rPr>
          <w:rFonts w:ascii="Tahoma" w:hAnsi="Tahoma" w:cs="Tahoma"/>
          <w:sz w:val="20"/>
          <w:szCs w:val="20"/>
        </w:rPr>
        <w:t>UniCredit</w:t>
      </w:r>
      <w:proofErr w:type="spellEnd"/>
      <w:r w:rsidR="00F542CA" w:rsidRPr="00577FE3">
        <w:rPr>
          <w:rFonts w:ascii="Tahoma" w:hAnsi="Tahoma" w:cs="Tahoma"/>
          <w:sz w:val="20"/>
          <w:szCs w:val="20"/>
        </w:rPr>
        <w:t xml:space="preserve"> Bank Czech Republic, a.s.</w:t>
      </w:r>
    </w:p>
    <w:p w14:paraId="394BC4DC" w14:textId="2D3C27E5" w:rsidR="00006F79" w:rsidRPr="00927F31" w:rsidRDefault="00F542CA" w:rsidP="00F542C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577FE3">
        <w:rPr>
          <w:rFonts w:ascii="Tahoma" w:hAnsi="Tahoma" w:cs="Tahoma"/>
          <w:sz w:val="20"/>
          <w:szCs w:val="20"/>
        </w:rPr>
        <w:t>Číslo účtu:</w:t>
      </w:r>
      <w:r w:rsidRPr="00577FE3">
        <w:rPr>
          <w:rFonts w:ascii="Tahoma" w:hAnsi="Tahoma" w:cs="Tahoma"/>
          <w:sz w:val="20"/>
          <w:szCs w:val="20"/>
        </w:rPr>
        <w:tab/>
        <w:t>1002520338/2700</w:t>
      </w:r>
      <w:bookmarkStart w:id="2" w:name="_GoBack"/>
      <w:bookmarkEnd w:id="2"/>
    </w:p>
    <w:p w14:paraId="2ACC1100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71B5081C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9051594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6319AEE6" w14:textId="77777777" w:rsidR="00006F79" w:rsidRPr="00927F31" w:rsidRDefault="00006F79" w:rsidP="00006F79">
      <w:pPr>
        <w:rPr>
          <w:rFonts w:ascii="Tahoma" w:hAnsi="Tahoma" w:cs="Tahoma"/>
          <w:b/>
          <w:sz w:val="20"/>
          <w:szCs w:val="20"/>
        </w:rPr>
      </w:pPr>
    </w:p>
    <w:p w14:paraId="6B57891D" w14:textId="77777777" w:rsidR="00006F79" w:rsidRPr="003A292C" w:rsidRDefault="00006F79" w:rsidP="00006F79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14:paraId="18341C64" w14:textId="77777777" w:rsidR="00006F79" w:rsidRPr="003A292C" w:rsidRDefault="00006F79" w:rsidP="00006F79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14:paraId="2231EFBD" w14:textId="77777777" w:rsidR="00006F79" w:rsidRPr="003A292C" w:rsidRDefault="00006F79" w:rsidP="00006F79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0C6DD1B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14:paraId="181D3E89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34F4CCA3" w14:textId="77777777" w:rsidR="00006F79" w:rsidRPr="003A292C" w:rsidRDefault="00006F79" w:rsidP="00006F79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14:paraId="2E5B4BE7" w14:textId="77777777" w:rsidR="00006F79" w:rsidRPr="00927F31" w:rsidRDefault="00006F79" w:rsidP="00006F79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7F7BA9B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</w:p>
    <w:p w14:paraId="462AD8A7" w14:textId="77777777" w:rsidR="00006F79" w:rsidRPr="00927F31" w:rsidRDefault="00006F79" w:rsidP="00006F79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74C64C37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7666DA1B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62CA2F06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017AE4B5" w14:textId="77777777" w:rsidR="00006F79" w:rsidRPr="00927F31" w:rsidRDefault="00006F79" w:rsidP="00006F79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62A499F7" w14:textId="77777777" w:rsidR="00006F79" w:rsidRPr="00927F31" w:rsidRDefault="00006F79" w:rsidP="00F12C98">
      <w:pPr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</w:t>
      </w:r>
      <w:r>
        <w:rPr>
          <w:rFonts w:ascii="Tahoma" w:hAnsi="Tahoma" w:cs="Tahoma"/>
          <w:sz w:val="20"/>
          <w:szCs w:val="20"/>
        </w:rPr>
        <w:t>pořadové</w:t>
      </w:r>
      <w:r w:rsidRPr="00927F31">
        <w:rPr>
          <w:rFonts w:ascii="Tahoma" w:hAnsi="Tahoma" w:cs="Tahoma"/>
          <w:sz w:val="20"/>
          <w:szCs w:val="20"/>
        </w:rPr>
        <w:t xml:space="preserve"> číslo </w:t>
      </w:r>
      <w:r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Pr="00927F31"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proofErr w:type="gramStart"/>
      <w:r w:rsidRPr="00927F31">
        <w:rPr>
          <w:rFonts w:ascii="Tahoma" w:hAnsi="Tahoma" w:cs="Tahoma"/>
          <w:sz w:val="20"/>
          <w:szCs w:val="20"/>
          <w:highlight w:val="lightGray"/>
        </w:rPr>
        <w:t>…….</w:t>
      </w:r>
      <w:proofErr w:type="gramEnd"/>
      <w:r w:rsidRPr="00927F31">
        <w:rPr>
          <w:rFonts w:ascii="Tahoma" w:hAnsi="Tahoma" w:cs="Tahoma"/>
          <w:sz w:val="20"/>
          <w:szCs w:val="20"/>
          <w:highlight w:val="lightGray"/>
        </w:rPr>
        <w:t xml:space="preserve">. </w:t>
      </w:r>
      <w:r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3A292C">
        <w:rPr>
          <w:rFonts w:ascii="Tahoma" w:hAnsi="Tahoma" w:cs="Tahoma"/>
          <w:sz w:val="20"/>
          <w:szCs w:val="20"/>
          <w:highlight w:val="lightGray"/>
        </w:rPr>
        <w:t>……</w:t>
      </w:r>
      <w:r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(dále jen „dílčí projekt“). </w:t>
      </w:r>
    </w:p>
    <w:p w14:paraId="5FB38AFF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5E83E05" w14:textId="49BEDE87" w:rsidR="00006F79" w:rsidRPr="00927F31" w:rsidRDefault="00006F79" w:rsidP="00116B1D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dotaci přijímá a zavazuje se, že bude dílčí projekt realizovat svým jménem, na svou vlastní odpovědnost, v souladu s právními předpisy, podmínkami této smlouvy a podmínkami dotačního programu Kotlíkové dotace v Moravskoslezském kraji – </w:t>
      </w:r>
      <w:r>
        <w:rPr>
          <w:rFonts w:ascii="Tahoma" w:hAnsi="Tahoma" w:cs="Tahoma"/>
          <w:sz w:val="20"/>
          <w:szCs w:val="20"/>
        </w:rPr>
        <w:t>3</w:t>
      </w:r>
      <w:r w:rsidRPr="00927F31">
        <w:rPr>
          <w:rFonts w:ascii="Tahoma" w:hAnsi="Tahoma" w:cs="Tahoma"/>
          <w:sz w:val="20"/>
          <w:szCs w:val="20"/>
        </w:rPr>
        <w:t xml:space="preserve">. výzva, o jehož vyhlášení rozhodla rada kraje svým usnesením č. </w:t>
      </w:r>
      <w:r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Pr="00927F31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9</w:t>
      </w:r>
      <w:r w:rsidRPr="00DF07E7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4</w:t>
      </w:r>
      <w:r w:rsidRPr="00DF07E7">
        <w:rPr>
          <w:rFonts w:ascii="Tahoma" w:hAnsi="Tahoma" w:cs="Tahoma"/>
          <w:sz w:val="20"/>
          <w:szCs w:val="20"/>
        </w:rPr>
        <w:t>. 2019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a o jehož změně </w:t>
      </w:r>
      <w:r w:rsidRPr="00097B9E">
        <w:rPr>
          <w:rFonts w:ascii="Tahoma" w:hAnsi="Tahoma" w:cs="Tahoma"/>
          <w:sz w:val="20"/>
          <w:szCs w:val="20"/>
        </w:rPr>
        <w:t xml:space="preserve">rozhodla rada kraje svým usnesením č. </w:t>
      </w:r>
      <w:r>
        <w:rPr>
          <w:rFonts w:ascii="Tahoma" w:hAnsi="Tahoma" w:cs="Tahoma"/>
          <w:sz w:val="20"/>
          <w:szCs w:val="20"/>
        </w:rPr>
        <w:t>91/7948</w:t>
      </w:r>
      <w:r w:rsidRPr="00097B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ze dne 22</w:t>
      </w:r>
      <w:r w:rsidRPr="00097B9E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097B9E">
        <w:rPr>
          <w:rFonts w:ascii="Tahoma" w:hAnsi="Tahoma" w:cs="Tahoma"/>
          <w:sz w:val="20"/>
          <w:szCs w:val="20"/>
        </w:rPr>
        <w:t>. 20</w:t>
      </w:r>
      <w:r>
        <w:rPr>
          <w:rFonts w:ascii="Tahoma" w:hAnsi="Tahoma" w:cs="Tahoma"/>
          <w:sz w:val="20"/>
          <w:szCs w:val="20"/>
        </w:rPr>
        <w:t>20</w:t>
      </w:r>
      <w:r w:rsidRPr="00927F31">
        <w:rPr>
          <w:rFonts w:ascii="Tahoma" w:hAnsi="Tahoma" w:cs="Tahoma"/>
          <w:sz w:val="20"/>
          <w:szCs w:val="20"/>
        </w:rPr>
        <w:t xml:space="preserve"> (dále jen „Program“). </w:t>
      </w:r>
    </w:p>
    <w:p w14:paraId="399FF014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7C9F3D3" w14:textId="209B7F79" w:rsidR="00006F79" w:rsidRPr="00927F31" w:rsidRDefault="00006F79" w:rsidP="00116B1D">
      <w:pPr>
        <w:numPr>
          <w:ilvl w:val="0"/>
          <w:numId w:val="20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 pravidly Programu</w:t>
      </w:r>
      <w:r w:rsidR="00B0056C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299BC736" w14:textId="77777777" w:rsidR="00006F79" w:rsidRPr="00927F31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58362920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30D4878B" w14:textId="68BFC954" w:rsidR="00006F79" w:rsidRPr="00927F31" w:rsidRDefault="00B0056C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06F79" w:rsidRPr="00927F31">
        <w:rPr>
          <w:rFonts w:ascii="Tahoma" w:hAnsi="Tahoma" w:cs="Tahoma"/>
          <w:b/>
          <w:sz w:val="20"/>
          <w:szCs w:val="20"/>
        </w:rPr>
        <w:lastRenderedPageBreak/>
        <w:t>II.</w:t>
      </w:r>
    </w:p>
    <w:p w14:paraId="6460ADF2" w14:textId="77777777" w:rsidR="00006F79" w:rsidRDefault="00006F79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6BFDFD92" w14:textId="77777777" w:rsidR="00006F79" w:rsidRPr="00927F31" w:rsidRDefault="00006F79" w:rsidP="00006F79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9F5B005" w14:textId="77777777" w:rsidR="00006F79" w:rsidRPr="00927F31" w:rsidRDefault="00006F79" w:rsidP="00F12C98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000.000,00 Kč (slovy ………………………………korun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14:paraId="316E6B89" w14:textId="77777777" w:rsidR="00006F79" w:rsidRPr="00927F31" w:rsidRDefault="00006F79" w:rsidP="00006F79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06F79" w:rsidRPr="00927F31" w14:paraId="5565F663" w14:textId="77777777" w:rsidTr="003B1738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742037B0" w14:textId="77777777" w:rsidR="00006F79" w:rsidRPr="00927F31" w:rsidRDefault="00006F79" w:rsidP="003B1738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130561BD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50833A72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006F79" w:rsidRPr="008F5144" w14:paraId="02A27F57" w14:textId="77777777" w:rsidTr="003B1738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3AA1F0A" w14:textId="77777777" w:rsidR="00006F79" w:rsidRPr="008F5144" w:rsidRDefault="00006F79" w:rsidP="003B1738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70758BC3" w14:textId="77777777" w:rsidR="00006F79" w:rsidRPr="008F5144" w:rsidRDefault="00006F79" w:rsidP="003B173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687F9C77" w14:textId="77777777" w:rsidR="00006F79" w:rsidRPr="008F5144" w:rsidRDefault="00006F79" w:rsidP="003B1738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06F79" w:rsidRPr="00927F31" w14:paraId="404E8D49" w14:textId="77777777" w:rsidTr="003B1738">
        <w:trPr>
          <w:trHeight w:val="306"/>
        </w:trPr>
        <w:tc>
          <w:tcPr>
            <w:tcW w:w="3498" w:type="dxa"/>
          </w:tcPr>
          <w:p w14:paraId="2EFBD49E" w14:textId="77777777" w:rsidR="00006F79" w:rsidRPr="00927F31" w:rsidRDefault="00006F79" w:rsidP="003B1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0E188B18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5E9CCC18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006F79" w:rsidRPr="00927F31" w14:paraId="7C2E8221" w14:textId="77777777" w:rsidTr="003B1738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4B4B01C8" w14:textId="77777777" w:rsidR="00006F79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</w:p>
          <w:p w14:paraId="27C60603" w14:textId="17903B90" w:rsidR="00006F79" w:rsidRPr="00927F31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2E168F1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4C83ED2C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6F79" w:rsidRPr="00927F31" w14:paraId="29177D6C" w14:textId="77777777" w:rsidTr="003B1738">
        <w:tc>
          <w:tcPr>
            <w:tcW w:w="3498" w:type="dxa"/>
          </w:tcPr>
          <w:p w14:paraId="0E2432FD" w14:textId="77777777" w:rsidR="00006F79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 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6D62585F" w14:textId="1DC4D1BA" w:rsidR="00006F79" w:rsidRPr="00927F31" w:rsidRDefault="00006F79" w:rsidP="00006F7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70E531F0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B9C717" w14:textId="77777777" w:rsidR="00006F79" w:rsidRPr="00927F31" w:rsidRDefault="00006F79" w:rsidP="00006F79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67CDBE7A" w14:textId="77777777" w:rsidTr="00116B1D">
        <w:tc>
          <w:tcPr>
            <w:tcW w:w="3498" w:type="dxa"/>
            <w:tcBorders>
              <w:bottom w:val="double" w:sz="4" w:space="0" w:color="auto"/>
            </w:tcBorders>
            <w:shd w:val="clear" w:color="auto" w:fill="auto"/>
          </w:tcPr>
          <w:p w14:paraId="453635E8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F8782C">
              <w:rPr>
                <w:rFonts w:ascii="Tahoma" w:hAnsi="Tahoma" w:cs="Tahoma"/>
                <w:sz w:val="20"/>
                <w:szCs w:val="20"/>
              </w:rPr>
              <w:t xml:space="preserve"> z prostředků kraje</w:t>
            </w:r>
          </w:p>
          <w:p w14:paraId="1DA9E2BF" w14:textId="4BBEDB60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196C79D4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18A7595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B113725" w14:textId="77777777" w:rsidR="00006F79" w:rsidRPr="003358ED" w:rsidRDefault="00006F79" w:rsidP="00006F79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3E7D64B4" w14:textId="77777777" w:rsidR="00006F79" w:rsidRPr="00F31F75" w:rsidRDefault="00006F79" w:rsidP="00006F79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14:paraId="6B8D1432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006F79" w:rsidRPr="00927F31" w14:paraId="32A4634B" w14:textId="77777777" w:rsidTr="003B1738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CB4F5" w14:textId="77777777" w:rsidR="00006F79" w:rsidRPr="00927F31" w:rsidRDefault="00006F79" w:rsidP="003B1738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D8F7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E8441" w14:textId="77777777" w:rsidR="00006F79" w:rsidRPr="00927F31" w:rsidRDefault="00006F79" w:rsidP="003B1738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006F79" w:rsidRPr="008F5144" w14:paraId="5482E69F" w14:textId="77777777" w:rsidTr="003B1738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81F821" w14:textId="77777777" w:rsidR="00006F79" w:rsidRPr="008F5144" w:rsidRDefault="00006F79" w:rsidP="003B1738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F990" w14:textId="77777777" w:rsidR="00006F79" w:rsidRPr="008F5144" w:rsidRDefault="00006F79" w:rsidP="003B1738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AA82F" w14:textId="77777777" w:rsidR="00006F79" w:rsidRPr="008F5144" w:rsidRDefault="00006F79" w:rsidP="003B1738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006F79" w:rsidRPr="00927F31" w14:paraId="7A4439A5" w14:textId="77777777" w:rsidTr="003B1738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6372E" w14:textId="77777777" w:rsidR="00006F79" w:rsidRPr="00927F31" w:rsidRDefault="00006F79" w:rsidP="003B17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BC40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5A33D" w14:textId="77777777" w:rsidR="00006F79" w:rsidRPr="00927F31" w:rsidRDefault="00006F79" w:rsidP="003B1738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2D9E41DD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B115F90" w14:textId="77777777" w:rsidR="00116B1D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>
              <w:rPr>
                <w:rFonts w:ascii="Calibri" w:hAnsi="Calibri" w:cs="Arial"/>
                <w:sz w:val="22"/>
                <w:szCs w:val="22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2489B61" w14:textId="648C095A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667DDA50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2D157E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16B1D" w:rsidRPr="00927F31" w14:paraId="3E1890A0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AB509EB" w14:textId="77777777" w:rsidR="00116B1D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z prostředků </w:t>
            </w:r>
            <w:proofErr w:type="gramStart"/>
            <w:r w:rsidRPr="00F8782C">
              <w:rPr>
                <w:rFonts w:ascii="Tahoma" w:hAnsi="Tahoma" w:cs="Tahoma"/>
                <w:sz w:val="20"/>
                <w:szCs w:val="20"/>
              </w:rPr>
              <w:t>NZÚ - AMO</w:t>
            </w:r>
            <w:proofErr w:type="gramEnd"/>
            <w:r w:rsidRPr="00927F31">
              <w:rPr>
                <w:rFonts w:ascii="Tahoma" w:hAnsi="Tahoma" w:cs="Tahoma"/>
                <w:sz w:val="20"/>
                <w:szCs w:val="20"/>
              </w:rPr>
              <w:t xml:space="preserve"> za prioritní území</w:t>
            </w:r>
          </w:p>
          <w:p w14:paraId="737C822C" w14:textId="3E4A6EC9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0A9ADA48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1B4BF37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7A739DED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FEB5303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kraje</w:t>
            </w:r>
          </w:p>
          <w:p w14:paraId="407823AE" w14:textId="01DC84B8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5BFDB07D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E6882EE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116B1D" w:rsidRPr="00927F31" w14:paraId="79A1671C" w14:textId="77777777" w:rsidTr="003B173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2FB3D020" w14:textId="77777777" w:rsidR="00116B1D" w:rsidRPr="00F8782C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8782C">
              <w:rPr>
                <w:rFonts w:ascii="Tahoma" w:hAnsi="Tahoma" w:cs="Tahoma"/>
                <w:sz w:val="20"/>
                <w:szCs w:val="20"/>
              </w:rPr>
              <w:t>z prostředků obce</w:t>
            </w:r>
          </w:p>
          <w:p w14:paraId="53D41FB7" w14:textId="20441D8E" w:rsidR="00116B1D" w:rsidRPr="00927F31" w:rsidRDefault="00116B1D" w:rsidP="00116B1D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F8782C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0BD18341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7FA50AEF" w14:textId="77777777" w:rsidR="00116B1D" w:rsidRPr="00927F31" w:rsidRDefault="00116B1D" w:rsidP="00116B1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3FFD99C7" w14:textId="77777777" w:rsidR="00006F79" w:rsidRPr="003358ED" w:rsidRDefault="00006F79" w:rsidP="00006F79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7F0143D3" w14:textId="77777777" w:rsidR="00006F79" w:rsidRPr="00F31F75" w:rsidRDefault="00006F79" w:rsidP="00006F79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14:paraId="6E94025D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F2BAEC9" w14:textId="77777777" w:rsidR="00006F79" w:rsidRPr="003358ED" w:rsidRDefault="00006F79" w:rsidP="00F12C98">
      <w:pPr>
        <w:numPr>
          <w:ilvl w:val="0"/>
          <w:numId w:val="21"/>
        </w:numPr>
        <w:tabs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 xml:space="preserve">Výše dotace uvedená v odst. 1 </w:t>
      </w:r>
      <w:r w:rsidRPr="001A064C">
        <w:rPr>
          <w:rFonts w:ascii="Tahoma" w:hAnsi="Tahoma" w:cs="Tahoma"/>
          <w:sz w:val="20"/>
          <w:szCs w:val="20"/>
        </w:rPr>
        <w:t xml:space="preserve">tohoto článku je maximální. </w:t>
      </w:r>
      <w:r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, a to takto:</w:t>
      </w:r>
    </w:p>
    <w:p w14:paraId="09DD1862" w14:textId="77777777" w:rsidR="00006F79" w:rsidRPr="003358ED" w:rsidRDefault="00006F79" w:rsidP="00006F79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01FD2665" w14:textId="77777777" w:rsidR="00006F79" w:rsidRPr="00581974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v odst. 1 tohoto článku smlouvy,</w:t>
      </w:r>
    </w:p>
    <w:p w14:paraId="67B6AC68" w14:textId="77777777" w:rsidR="00006F79" w:rsidRDefault="00006F79" w:rsidP="00006F79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66010911" w14:textId="77777777" w:rsidR="00006F79" w:rsidRPr="00F31F75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>
        <w:rPr>
          <w:rFonts w:ascii="Tahoma" w:hAnsi="Tahoma" w:cs="Tahoma"/>
          <w:bCs/>
          <w:sz w:val="20"/>
          <w:szCs w:val="20"/>
        </w:rPr>
        <w:t>, / 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V takovém případě se zkrátí poměrně,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50C5C89C" w14:textId="77777777" w:rsidR="00006F79" w:rsidRPr="00F97A02" w:rsidRDefault="00006F79" w:rsidP="00006F79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4EADF70A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02EB29D5" w14:textId="77777777" w:rsidR="00006F79" w:rsidRPr="00F31F75" w:rsidRDefault="00006F79" w:rsidP="00952E8C">
      <w:pPr>
        <w:numPr>
          <w:ilvl w:val="0"/>
          <w:numId w:val="33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lastRenderedPageBreak/>
        <w:t>část dotace B</w:t>
      </w:r>
      <w:r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>
        <w:rPr>
          <w:rFonts w:ascii="Tahoma" w:hAnsi="Tahoma" w:cs="Tahoma"/>
          <w:bCs/>
          <w:sz w:val="20"/>
          <w:szCs w:val="20"/>
        </w:rPr>
        <w:t xml:space="preserve">. </w:t>
      </w:r>
    </w:p>
    <w:p w14:paraId="12B072C6" w14:textId="77777777" w:rsidR="00006F79" w:rsidRPr="002F1EDE" w:rsidRDefault="00006F79" w:rsidP="00006F79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162FD7B9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44738AC1" w14:textId="269DC91A" w:rsidR="00006F79" w:rsidRDefault="00006F79" w:rsidP="00006F79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E38B7ED" w14:textId="77777777" w:rsidR="00952E8C" w:rsidRPr="00A25A54" w:rsidRDefault="00952E8C" w:rsidP="00006F79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1F9EF0F2" w14:textId="77777777" w:rsidR="00006F79" w:rsidRPr="00E44618" w:rsidRDefault="00006F79" w:rsidP="00F12C98">
      <w:pPr>
        <w:numPr>
          <w:ilvl w:val="0"/>
          <w:numId w:val="21"/>
        </w:numPr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Způsobilé výdaje uvedené v tabulce v odst. 1 nepokryté dotací, další případně vykázané skutečné způsobilé výdaje a nezpůsobilé výdaje dílčího projektu budou uhrazeny z vlastních zdrojů příjemce.</w:t>
      </w:r>
    </w:p>
    <w:p w14:paraId="2F8E3DCB" w14:textId="77777777" w:rsidR="00006F79" w:rsidRPr="001A064C" w:rsidRDefault="00006F79" w:rsidP="00006F79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7EE57254" w14:textId="77777777" w:rsidR="00006F79" w:rsidRDefault="00006F79" w:rsidP="00F12C98">
      <w:pPr>
        <w:numPr>
          <w:ilvl w:val="0"/>
          <w:numId w:val="21"/>
        </w:numPr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435FFBB3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45E76E18" w14:textId="77777777" w:rsidR="00F12C98" w:rsidRPr="00D9320D" w:rsidRDefault="00F12C98" w:rsidP="00952E8C">
      <w:pPr>
        <w:numPr>
          <w:ilvl w:val="0"/>
          <w:numId w:val="21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Části dotace označené v tabulce v odst. 1 tohoto článku jako</w:t>
      </w:r>
      <w:r w:rsidRPr="001F72C2">
        <w:rPr>
          <w:rFonts w:ascii="Tahoma" w:hAnsi="Tahoma" w:cs="Tahoma"/>
          <w:sz w:val="20"/>
          <w:szCs w:val="20"/>
        </w:rPr>
        <w:t xml:space="preserve"> „</w:t>
      </w:r>
      <w:r>
        <w:rPr>
          <w:rFonts w:ascii="Tahoma" w:hAnsi="Tahoma" w:cs="Tahoma"/>
          <w:sz w:val="20"/>
          <w:szCs w:val="20"/>
        </w:rPr>
        <w:t>příspěvek</w:t>
      </w:r>
      <w:r w:rsidRPr="001F72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 </w:t>
      </w:r>
      <w:r w:rsidRPr="001F72C2">
        <w:rPr>
          <w:rFonts w:ascii="Tahoma" w:hAnsi="Tahoma" w:cs="Tahoma"/>
          <w:sz w:val="20"/>
          <w:szCs w:val="20"/>
        </w:rPr>
        <w:t xml:space="preserve">prostředků </w:t>
      </w:r>
      <w:proofErr w:type="gramStart"/>
      <w:r w:rsidRPr="001F72C2">
        <w:rPr>
          <w:rFonts w:ascii="Tahoma" w:hAnsi="Tahoma" w:cs="Tahoma"/>
          <w:sz w:val="20"/>
          <w:szCs w:val="20"/>
        </w:rPr>
        <w:t>NZÚ - AMO</w:t>
      </w:r>
      <w:proofErr w:type="gramEnd"/>
      <w:r w:rsidRPr="001F72C2">
        <w:rPr>
          <w:rFonts w:ascii="Tahoma" w:hAnsi="Tahoma" w:cs="Tahoma"/>
          <w:sz w:val="20"/>
          <w:szCs w:val="20"/>
        </w:rPr>
        <w:t xml:space="preserve"> </w:t>
      </w:r>
      <w:r w:rsidRPr="00D9320D">
        <w:rPr>
          <w:rFonts w:ascii="Tahoma" w:hAnsi="Tahoma" w:cs="Tahoma"/>
          <w:sz w:val="20"/>
          <w:szCs w:val="20"/>
        </w:rPr>
        <w:t>dle typu nového zdroje tepla“ a „</w:t>
      </w:r>
      <w:r>
        <w:rPr>
          <w:rFonts w:ascii="Tahoma" w:hAnsi="Tahoma" w:cs="Tahoma"/>
          <w:sz w:val="20"/>
          <w:szCs w:val="20"/>
        </w:rPr>
        <w:t>příspěvek</w:t>
      </w:r>
      <w:r w:rsidRPr="00D9320D">
        <w:rPr>
          <w:rFonts w:ascii="Tahoma" w:hAnsi="Tahoma" w:cs="Tahoma"/>
          <w:sz w:val="20"/>
          <w:szCs w:val="20"/>
        </w:rPr>
        <w:t xml:space="preserve"> z prostředků </w:t>
      </w:r>
      <w:r w:rsidRPr="001F72C2">
        <w:rPr>
          <w:rFonts w:ascii="Tahoma" w:hAnsi="Tahoma" w:cs="Tahoma"/>
          <w:sz w:val="20"/>
          <w:szCs w:val="20"/>
        </w:rPr>
        <w:t xml:space="preserve">NZÚ - AMO </w:t>
      </w:r>
      <w:r w:rsidRPr="00D9320D">
        <w:rPr>
          <w:rFonts w:ascii="Tahoma" w:hAnsi="Tahoma" w:cs="Tahoma"/>
          <w:sz w:val="20"/>
          <w:szCs w:val="20"/>
        </w:rPr>
        <w:t>za prioritní území“</w:t>
      </w:r>
      <w:r>
        <w:rPr>
          <w:rFonts w:ascii="Tahoma" w:hAnsi="Tahoma" w:cs="Tahoma"/>
          <w:sz w:val="20"/>
          <w:szCs w:val="20"/>
        </w:rPr>
        <w:t xml:space="preserve"> jsou</w:t>
      </w:r>
      <w:r w:rsidRPr="001F72C2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rozpočtů, ve znění pozdějších předpisů (dále jen „zákon o územních rozpočtech“). </w:t>
      </w:r>
      <w:r w:rsidRPr="008F5144">
        <w:rPr>
          <w:rFonts w:ascii="Tahoma" w:hAnsi="Tahoma" w:cs="Tahoma"/>
          <w:i/>
          <w:sz w:val="20"/>
          <w:szCs w:val="20"/>
        </w:rPr>
        <w:t xml:space="preserve">Část dotace označená v tabulce v odst. 1 tohoto článku jako </w:t>
      </w:r>
      <w:r w:rsidRPr="00D9320D">
        <w:rPr>
          <w:rFonts w:ascii="Tahoma" w:hAnsi="Tahoma" w:cs="Tahoma"/>
          <w:i/>
          <w:sz w:val="20"/>
          <w:szCs w:val="20"/>
        </w:rPr>
        <w:t>„příspěvek z prostředků obce“ je peněžními prostředky krytými z rozpočtu obce, na jejímž území je dílčí projekt realizován.</w:t>
      </w:r>
    </w:p>
    <w:p w14:paraId="61973EAB" w14:textId="5A7765EF" w:rsidR="00006F79" w:rsidRPr="00927F31" w:rsidRDefault="00F12C98" w:rsidP="00F12C98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Pr="008F5144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8F5144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024C019D" w14:textId="77777777" w:rsidR="00006F79" w:rsidRPr="00927F31" w:rsidRDefault="00006F79" w:rsidP="00006F79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8E68F32" w14:textId="77777777" w:rsidR="00006F79" w:rsidRPr="00927F31" w:rsidRDefault="00006F79" w:rsidP="00006F79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0103CA0" w14:textId="77777777" w:rsidR="00006F79" w:rsidRPr="00927F31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09F266DF" w14:textId="77777777" w:rsidR="00006F79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33613AF3" w14:textId="77777777" w:rsidR="00006F79" w:rsidRPr="00927F31" w:rsidRDefault="00006F79" w:rsidP="00006F79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341F5DC7" w14:textId="77777777" w:rsidR="00006F79" w:rsidRPr="00927F31" w:rsidRDefault="00006F79" w:rsidP="00F12C98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uvedené v čl. II této smlouvy na výměnu zdroje tepla pro rodinný dům na </w:t>
      </w:r>
      <w:r w:rsidRPr="00927F31">
        <w:rPr>
          <w:rFonts w:ascii="Tahoma" w:hAnsi="Tahoma" w:cs="Tahoma"/>
          <w:sz w:val="20"/>
          <w:szCs w:val="20"/>
          <w:highlight w:val="lightGray"/>
        </w:rPr>
        <w:t>adrese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Pr="00927F31">
        <w:rPr>
          <w:rFonts w:ascii="Tahoma" w:hAnsi="Tahoma" w:cs="Tahoma"/>
          <w:sz w:val="20"/>
          <w:szCs w:val="20"/>
          <w:highlight w:val="lightGray"/>
        </w:rPr>
        <w:t>. č. ...,</w:t>
      </w:r>
      <w:r w:rsidRPr="00927F31">
        <w:rPr>
          <w:rFonts w:ascii="Tahoma" w:hAnsi="Tahoma" w:cs="Tahoma"/>
          <w:sz w:val="20"/>
          <w:szCs w:val="20"/>
        </w:rPr>
        <w:t xml:space="preserve"> zapsaném na lis</w:t>
      </w:r>
      <w:r>
        <w:rPr>
          <w:rFonts w:ascii="Tahoma" w:hAnsi="Tahoma" w:cs="Tahoma"/>
          <w:sz w:val="20"/>
          <w:szCs w:val="20"/>
        </w:rPr>
        <w:t>t</w:t>
      </w:r>
      <w:r w:rsidRPr="00927F31">
        <w:rPr>
          <w:rFonts w:ascii="Tahoma" w:hAnsi="Tahoma" w:cs="Tahoma"/>
          <w:sz w:val="20"/>
          <w:szCs w:val="20"/>
        </w:rPr>
        <w:t xml:space="preserve">u vlastnictví č.  </w:t>
      </w:r>
      <w:r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</w:rPr>
        <w:t xml:space="preserve"> vedeném pro katastrální </w:t>
      </w:r>
      <w:r w:rsidRPr="00927F31">
        <w:rPr>
          <w:rFonts w:ascii="Tahoma" w:hAnsi="Tahoma" w:cs="Tahoma"/>
          <w:sz w:val="20"/>
          <w:szCs w:val="20"/>
          <w:highlight w:val="lightGray"/>
        </w:rPr>
        <w:t>území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 v</w:t>
      </w:r>
      <w:r>
        <w:rPr>
          <w:rFonts w:ascii="Tahoma" w:hAnsi="Tahoma" w:cs="Tahoma"/>
          <w:sz w:val="20"/>
          <w:szCs w:val="20"/>
          <w:highlight w:val="lightGray"/>
        </w:rPr>
        <w:t> </w:t>
      </w:r>
      <w:r w:rsidRPr="00927F31">
        <w:rPr>
          <w:rFonts w:ascii="Tahoma" w:hAnsi="Tahoma" w:cs="Tahoma"/>
          <w:sz w:val="20"/>
          <w:szCs w:val="20"/>
          <w:highlight w:val="lightGray"/>
        </w:rPr>
        <w:t>obci</w:t>
      </w:r>
      <w:r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pevná paliva s ručním přikládáním za zdroj tepla podporovaný v rámci Programu realizovaného poskytovatelem dotace. Účelová dotace je určena výhradně k úhradě způsobilých výdajů specifikovaných v čl. V této smlouvy.</w:t>
      </w:r>
    </w:p>
    <w:p w14:paraId="325D7954" w14:textId="77777777" w:rsidR="00006F79" w:rsidRPr="00927F31" w:rsidRDefault="00006F79" w:rsidP="00006F79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470463C8" w14:textId="77777777" w:rsidR="00006F79" w:rsidRPr="00927F31" w:rsidRDefault="00006F79" w:rsidP="00F12C98">
      <w:pPr>
        <w:numPr>
          <w:ilvl w:val="0"/>
          <w:numId w:val="2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Dílčí projekt musí být dokončen a účelu tak bude dosaženo nejpozději ke dni </w:t>
      </w:r>
      <w:r w:rsidRPr="00DF07E7">
        <w:rPr>
          <w:rFonts w:ascii="Tahoma" w:hAnsi="Tahoma" w:cs="Tahoma"/>
          <w:sz w:val="20"/>
          <w:szCs w:val="20"/>
        </w:rPr>
        <w:t>30. 9. 2023</w:t>
      </w:r>
      <w:r w:rsidRPr="00927F31">
        <w:rPr>
          <w:rFonts w:ascii="Tahoma" w:hAnsi="Tahoma" w:cs="Tahoma"/>
          <w:sz w:val="20"/>
          <w:szCs w:val="20"/>
        </w:rPr>
        <w:t>. Tímto datem se považuje realizace účelu ve smyslu odst. 1 tohoto článku za ukončenou.</w:t>
      </w:r>
    </w:p>
    <w:p w14:paraId="0E74C873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313AA09F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3130BA1F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3561003E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65532137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412E1AE4" w14:textId="77777777" w:rsidR="00006F79" w:rsidRDefault="00006F79" w:rsidP="00F12C98">
      <w:pPr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Poskytnutí dotace probíhá formou zpětného propl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cení finančních prostředků, které příjemce vynaložil na realizaci dílčího projektu.</w:t>
      </w:r>
    </w:p>
    <w:p w14:paraId="20CA637D" w14:textId="77777777" w:rsidR="00006F79" w:rsidRPr="00927F31" w:rsidRDefault="00006F79" w:rsidP="00006F79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0F5770E7" w14:textId="77777777" w:rsidR="00006F79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Dotace bude příjemci vyplacena na jeho účet (případně samostatný podúčet) uvedený v záhlaví této smlouvy. </w:t>
      </w:r>
    </w:p>
    <w:p w14:paraId="28931421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2D77F109" w14:textId="77777777" w:rsidR="00006F79" w:rsidRPr="00927F31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Pr="00927F31">
        <w:rPr>
          <w:rFonts w:ascii="Tahoma" w:hAnsi="Tahoma" w:cs="Tahoma"/>
          <w:sz w:val="20"/>
          <w:szCs w:val="20"/>
        </w:rPr>
        <w:t>uvedený v záhlaví této smlouvy</w:t>
      </w:r>
      <w:r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Pr="00927F31">
        <w:rPr>
          <w:rFonts w:ascii="Tahoma" w:hAnsi="Tahoma" w:cs="Tahoma"/>
          <w:iCs/>
          <w:sz w:val="20"/>
          <w:szCs w:val="20"/>
        </w:rPr>
        <w:t>jednorázovou úhradou do 30 pracovních dní ode dne schválení závěrečného vyúčtování</w:t>
      </w:r>
      <w:r>
        <w:rPr>
          <w:rFonts w:ascii="Tahoma" w:hAnsi="Tahoma" w:cs="Tahoma"/>
          <w:iCs/>
          <w:sz w:val="20"/>
          <w:szCs w:val="20"/>
        </w:rPr>
        <w:t xml:space="preserve">, </w:t>
      </w:r>
      <w:r w:rsidRPr="00927F31">
        <w:rPr>
          <w:rFonts w:ascii="Tahoma" w:hAnsi="Tahoma" w:cs="Tahoma"/>
          <w:iCs/>
          <w:sz w:val="20"/>
          <w:szCs w:val="20"/>
        </w:rPr>
        <w:t xml:space="preserve">které bude v souladu s čl. VI této smlouvy. Bude-li závěrečné vyúčtování doručeno poskytovateli </w:t>
      </w:r>
      <w:r w:rsidRPr="00DF07E7">
        <w:rPr>
          <w:rFonts w:ascii="Tahoma" w:hAnsi="Tahoma" w:cs="Tahoma"/>
          <w:sz w:val="20"/>
          <w:szCs w:val="20"/>
        </w:rPr>
        <w:t xml:space="preserve">po 30. 9. 2023, nebude příjemci dotace vyplacena. </w:t>
      </w:r>
    </w:p>
    <w:p w14:paraId="6D669ED7" w14:textId="77777777" w:rsidR="00006F79" w:rsidRPr="00927F31" w:rsidRDefault="00006F79" w:rsidP="00006F79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14E87D44" w14:textId="77777777" w:rsidR="00006F79" w:rsidRPr="00927F31" w:rsidRDefault="00006F79" w:rsidP="00F12C98">
      <w:pPr>
        <w:numPr>
          <w:ilvl w:val="0"/>
          <w:numId w:val="24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361A678E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2E0381DD" w14:textId="1D0E4E35" w:rsidR="00006F79" w:rsidRPr="00927F31" w:rsidRDefault="00952E8C" w:rsidP="00006F79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column"/>
      </w:r>
      <w:r w:rsidR="00006F79" w:rsidRPr="00927F31">
        <w:rPr>
          <w:rFonts w:ascii="Tahoma" w:hAnsi="Tahoma" w:cs="Tahoma"/>
          <w:b/>
          <w:sz w:val="20"/>
          <w:szCs w:val="20"/>
        </w:rPr>
        <w:lastRenderedPageBreak/>
        <w:t>V.</w:t>
      </w:r>
    </w:p>
    <w:p w14:paraId="5799B581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3ED4F4DF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0AC2F524" w14:textId="77777777" w:rsidR="00006F79" w:rsidRPr="00927F31" w:rsidRDefault="00006F79" w:rsidP="00F12C98">
      <w:pPr>
        <w:numPr>
          <w:ilvl w:val="0"/>
          <w:numId w:val="2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 způsobilé výdaje v rámci realizace dílčího projektu jsou považovány náklady na stavební práce, dodávky a služby bezprostředně související s předmětem podpory, jimiž jsou: </w:t>
      </w:r>
    </w:p>
    <w:p w14:paraId="74432FA8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nového zdroje tepla definovaného v žádosti o poskytnutí dotace uvedené v čl. I odst. 1 té</w:t>
      </w:r>
      <w:r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088281B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 úpravou spalinových cest,</w:t>
      </w:r>
    </w:p>
    <w:p w14:paraId="12777931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Pr="00611E78">
        <w:rPr>
          <w:rFonts w:ascii="Tahoma" w:hAnsi="Tahoma" w:cs="Tahoma"/>
          <w:sz w:val="20"/>
          <w:szCs w:val="20"/>
        </w:rPr>
        <w:t>poříze</w:t>
      </w:r>
      <w:r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0C70F710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64C2E55F" w14:textId="77777777" w:rsidR="00006F79" w:rsidRPr="00927F31" w:rsidRDefault="00006F79" w:rsidP="00F12C98">
      <w:pPr>
        <w:numPr>
          <w:ilvl w:val="0"/>
          <w:numId w:val="28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23E64F12" w14:textId="77777777" w:rsidR="00006F79" w:rsidRPr="00927F31" w:rsidRDefault="00006F79" w:rsidP="00F12C98">
      <w:pPr>
        <w:numPr>
          <w:ilvl w:val="0"/>
          <w:numId w:val="25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Způsobilé výdaje na realizaci dílčího projektu vznikají nejdříve ke dni 15. 7. 2015.</w:t>
      </w:r>
    </w:p>
    <w:p w14:paraId="55742C0C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64CA9F46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4C4D353E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49006C2E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304306B1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6646FF2" w14:textId="77777777" w:rsidR="00006F79" w:rsidRPr="00927F31" w:rsidRDefault="00006F79" w:rsidP="00F12C98">
      <w:pPr>
        <w:numPr>
          <w:ilvl w:val="0"/>
          <w:numId w:val="26"/>
        </w:numPr>
        <w:tabs>
          <w:tab w:val="clear" w:pos="720"/>
          <w:tab w:val="num" w:pos="284"/>
        </w:tabs>
        <w:ind w:left="284" w:hanging="295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se zavazuje plně a prokazatelně splnit účel, na který mu byla dotace poskytnuta,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262760DF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4FBC0934" w14:textId="77777777" w:rsidR="00006F79" w:rsidRPr="00927F31" w:rsidRDefault="00006F79" w:rsidP="00F12C98">
      <w:pPr>
        <w:numPr>
          <w:ilvl w:val="0"/>
          <w:numId w:val="26"/>
        </w:numPr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zdroje tepla, pořízeného v rámci dílčího projektu, a to po celou dobu udržitelnosti </w:t>
      </w:r>
      <w:r w:rsidRPr="00423AEB">
        <w:rPr>
          <w:rFonts w:ascii="Tahoma" w:hAnsi="Tahoma" w:cs="Tahoma"/>
          <w:sz w:val="20"/>
          <w:szCs w:val="20"/>
        </w:rPr>
        <w:t>do 31. 12. 202</w:t>
      </w:r>
      <w:r w:rsidRPr="00DF07E7">
        <w:rPr>
          <w:rFonts w:ascii="Tahoma" w:hAnsi="Tahoma" w:cs="Tahoma"/>
          <w:sz w:val="20"/>
          <w:szCs w:val="20"/>
        </w:rPr>
        <w:t>8</w:t>
      </w:r>
      <w:r w:rsidRPr="00423AEB">
        <w:rPr>
          <w:rFonts w:ascii="Tahoma" w:hAnsi="Tahoma" w:cs="Tahoma"/>
          <w:sz w:val="20"/>
          <w:szCs w:val="20"/>
        </w:rPr>
        <w:t>.</w:t>
      </w:r>
      <w:r w:rsidRPr="00927F31">
        <w:rPr>
          <w:rFonts w:ascii="Tahoma" w:hAnsi="Tahoma" w:cs="Tahoma"/>
          <w:sz w:val="20"/>
          <w:szCs w:val="20"/>
        </w:rPr>
        <w:t xml:space="preserve"> Jedná se zejména o povinnost:</w:t>
      </w:r>
    </w:p>
    <w:p w14:paraId="7BB9E096" w14:textId="77777777" w:rsidR="00006F79" w:rsidRPr="00927F31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provozovat zdroj tepla v souladu s podmínkami pro provoz stanovenými zákonem č. 201/2012 Sb., o ochraně ovzduší, ve znění pozdějších předpisů, výrobcem a dodavatelem, </w:t>
      </w:r>
    </w:p>
    <w:p w14:paraId="24E9CC63" w14:textId="77777777" w:rsidR="00006F79" w:rsidRPr="00927F31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201/2012 Sb., o ochraně ovzduší, ve znění pozdějších předpisů, a která jsou výrobcem kotle určena jako vhodná k naplnění požadavků Nařízení komise </w:t>
      </w:r>
      <w:r>
        <w:rPr>
          <w:rFonts w:ascii="Tahoma" w:hAnsi="Tahoma" w:cs="Tahoma"/>
          <w:sz w:val="20"/>
          <w:szCs w:val="20"/>
        </w:rPr>
        <w:t xml:space="preserve">(EU) </w:t>
      </w:r>
      <w:r w:rsidRPr="00927F31">
        <w:rPr>
          <w:rFonts w:ascii="Tahoma" w:hAnsi="Tahoma" w:cs="Tahoma"/>
          <w:sz w:val="20"/>
          <w:szCs w:val="20"/>
        </w:rPr>
        <w:t>č. 2015/1189 ze dne 28. dubna 2015, kterým se provádí směrnice Evropského parlamentu a Rady 2009/12/ES, pokud jde o požadavky na ekodesign kotlů na tuhá paliva, a toto prokázat poskytovateli (dokladem o nákupu vhodného paliva, fotodokumentací apod.),</w:t>
      </w:r>
    </w:p>
    <w:p w14:paraId="3852A90A" w14:textId="77777777" w:rsidR="00006F79" w:rsidRPr="00DF07E7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562BAB84" w14:textId="77777777" w:rsidR="00006F79" w:rsidRPr="00DF07E7" w:rsidRDefault="00006F79" w:rsidP="00F12C98">
      <w:pPr>
        <w:numPr>
          <w:ilvl w:val="0"/>
          <w:numId w:val="27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zajistit v intervalech stanovených vyhláškou č. 34/2016 Sb., o čištění, kontrole a revizi spalinové cesty, provedení pravidelné kontroly spalinových cest, čištění spalinových cest a spotřebiče paliv,</w:t>
      </w:r>
    </w:p>
    <w:p w14:paraId="645FBA59" w14:textId="77777777" w:rsidR="00006F79" w:rsidRPr="00927F31" w:rsidRDefault="00006F79" w:rsidP="00F12C98">
      <w:pPr>
        <w:numPr>
          <w:ilvl w:val="0"/>
          <w:numId w:val="27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477CC88A" w14:textId="77777777" w:rsidR="00006F79" w:rsidRPr="00927F31" w:rsidRDefault="00006F79" w:rsidP="00006F79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192638AB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v době udržitelnosti oprávněn vyměnit </w:t>
      </w:r>
      <w:r>
        <w:rPr>
          <w:rFonts w:ascii="Tahoma" w:hAnsi="Tahoma" w:cs="Tahoma"/>
          <w:snapToGrid w:val="0"/>
          <w:sz w:val="20"/>
          <w:szCs w:val="20"/>
        </w:rPr>
        <w:t>nový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>
        <w:rPr>
          <w:rFonts w:ascii="Tahoma" w:hAnsi="Tahoma" w:cs="Tahoma"/>
          <w:snapToGrid w:val="0"/>
          <w:sz w:val="20"/>
          <w:szCs w:val="20"/>
        </w:rPr>
        <w:t>, avšak pouze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za zdroj se stejnými nebo lepšími ekologickými parametry, pokud jde o emise látek znečišťujících ovzduší.</w:t>
      </w:r>
    </w:p>
    <w:p w14:paraId="6A58A620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65EA07B1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dílčího projektu fakturační podmínky tak, aby byl doložen účel fakturovaných částek a aby byly přesně vymezeny jednotlivé způsobilé a nezpůsobilé výdaje. </w:t>
      </w:r>
    </w:p>
    <w:p w14:paraId="5E360AFC" w14:textId="77777777" w:rsidR="00006F79" w:rsidRPr="00927F31" w:rsidRDefault="00006F79" w:rsidP="00006F79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5A503EC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 xml:space="preserve">Příjemce je povinen doručit poskytovateli nejpozději </w:t>
      </w:r>
      <w:r w:rsidRPr="00DF07E7">
        <w:rPr>
          <w:rFonts w:ascii="Tahoma" w:hAnsi="Tahoma" w:cs="Tahoma"/>
          <w:sz w:val="20"/>
          <w:szCs w:val="20"/>
        </w:rPr>
        <w:t>do 30. 9. 2023 na</w:t>
      </w:r>
      <w:r w:rsidRPr="00927F31">
        <w:rPr>
          <w:rFonts w:ascii="Tahoma" w:hAnsi="Tahoma" w:cs="Tahoma"/>
          <w:sz w:val="20"/>
          <w:szCs w:val="20"/>
        </w:rPr>
        <w:t xml:space="preserve"> předepsaných formulářích závěrečné vyúčtování dílčího projektu, jež je finančním vypořádáním ve smyslu § 10a odst. 1 písm. d) zákona o územních rozpočtech a které bude obsahovat: </w:t>
      </w:r>
    </w:p>
    <w:p w14:paraId="53858BAC" w14:textId="77777777" w:rsidR="00006F79" w:rsidRPr="00927F31" w:rsidRDefault="00006F79" w:rsidP="00006F79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454C197B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</w:t>
      </w:r>
      <w:proofErr w:type="gramStart"/>
      <w:r w:rsidRPr="00927F31">
        <w:rPr>
          <w:rFonts w:ascii="Tahoma" w:hAnsi="Tahoma" w:cs="Tahoma"/>
          <w:sz w:val="20"/>
          <w:szCs w:val="20"/>
        </w:rPr>
        <w:t>projektu - seznam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účetních dokladů;</w:t>
      </w:r>
    </w:p>
    <w:p w14:paraId="3D527EE1" w14:textId="77777777" w:rsidR="00F12C98" w:rsidRPr="00927F31" w:rsidRDefault="00F12C98" w:rsidP="00F12C98">
      <w:pPr>
        <w:numPr>
          <w:ilvl w:val="0"/>
          <w:numId w:val="29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(např. faktury, </w:t>
      </w:r>
      <w:proofErr w:type="gramStart"/>
      <w:r w:rsidRPr="00927F31">
        <w:rPr>
          <w:rFonts w:ascii="Tahoma" w:hAnsi="Tahoma" w:cs="Tahoma"/>
          <w:sz w:val="20"/>
          <w:szCs w:val="20"/>
        </w:rPr>
        <w:t>paragony,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atd.).</w:t>
      </w:r>
    </w:p>
    <w:p w14:paraId="20DA4F67" w14:textId="77777777" w:rsidR="00F12C98" w:rsidRPr="00927F31" w:rsidRDefault="00F12C98" w:rsidP="00F12C98">
      <w:pPr>
        <w:ind w:left="708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Pr="00D5315A">
        <w:rPr>
          <w:rFonts w:ascii="Tahoma" w:hAnsi="Tahoma" w:cs="Tahoma"/>
          <w:sz w:val="20"/>
          <w:szCs w:val="20"/>
        </w:rPr>
        <w:t xml:space="preserve">SFZP </w:t>
      </w:r>
      <w:r w:rsidRPr="00D5315A">
        <w:rPr>
          <w:rFonts w:ascii="Tahoma" w:hAnsi="Tahoma" w:cs="Tahoma"/>
          <w:bCs/>
          <w:sz w:val="20"/>
          <w:szCs w:val="20"/>
        </w:rPr>
        <w:t>138986/2019</w:t>
      </w:r>
      <w:r w:rsidRPr="00D5315A">
        <w:rPr>
          <w:rFonts w:ascii="Tahoma" w:hAnsi="Tahoma" w:cs="Tahoma"/>
          <w:sz w:val="20"/>
          <w:szCs w:val="20"/>
        </w:rPr>
        <w:t>“</w:t>
      </w:r>
      <w:r w:rsidRPr="00D5315A">
        <w:rPr>
          <w:rStyle w:val="datalabel"/>
          <w:rFonts w:ascii="Tahoma" w:hAnsi="Tahoma" w:cs="Tahoma"/>
          <w:sz w:val="20"/>
          <w:szCs w:val="20"/>
        </w:rPr>
        <w:t xml:space="preserve"> a názvem </w:t>
      </w:r>
      <w:r w:rsidRPr="00927F31">
        <w:rPr>
          <w:rStyle w:val="datalabel"/>
          <w:rFonts w:ascii="Tahoma" w:hAnsi="Tahoma" w:cs="Tahoma"/>
          <w:sz w:val="20"/>
          <w:szCs w:val="20"/>
        </w:rPr>
        <w:t>projektu kraje „</w:t>
      </w:r>
      <w:r w:rsidRPr="005153DF">
        <w:rPr>
          <w:rStyle w:val="datalabel"/>
          <w:rFonts w:ascii="Tahoma" w:hAnsi="Tahoma" w:cs="Tahoma"/>
          <w:sz w:val="20"/>
          <w:szCs w:val="20"/>
        </w:rPr>
        <w:t xml:space="preserve">Kotlíkové dotace v Moravskoslezském kraji - 3. výzva v rámci adaptačního a </w:t>
      </w:r>
      <w:proofErr w:type="spellStart"/>
      <w:r w:rsidRPr="005153DF">
        <w:rPr>
          <w:rStyle w:val="datalabel"/>
          <w:rFonts w:ascii="Tahoma" w:hAnsi="Tahoma" w:cs="Tahoma"/>
          <w:sz w:val="20"/>
          <w:szCs w:val="20"/>
        </w:rPr>
        <w:t>mitigačního</w:t>
      </w:r>
      <w:proofErr w:type="spellEnd"/>
      <w:r w:rsidRPr="005153DF">
        <w:rPr>
          <w:rStyle w:val="datalabel"/>
          <w:rFonts w:ascii="Tahoma" w:hAnsi="Tahoma" w:cs="Tahoma"/>
          <w:sz w:val="20"/>
          <w:szCs w:val="20"/>
        </w:rPr>
        <w:t xml:space="preserve"> opatření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“; </w:t>
      </w:r>
    </w:p>
    <w:p w14:paraId="56322892" w14:textId="0C9EA5FC" w:rsidR="00006F79" w:rsidRPr="00927F31" w:rsidRDefault="00006F79" w:rsidP="00006F79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5D4B4067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t>Kopie p</w:t>
      </w:r>
      <w:r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>
        <w:rPr>
          <w:rStyle w:val="datalabel"/>
          <w:rFonts w:ascii="Tahoma" w:hAnsi="Tahoma" w:cs="Tahoma"/>
          <w:sz w:val="20"/>
          <w:szCs w:val="20"/>
        </w:rPr>
        <w:t xml:space="preserve"> </w:t>
      </w:r>
      <w:r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, pro platby v hotovosti je dokladem o úhradě příjmový pokladní doklad; </w:t>
      </w:r>
    </w:p>
    <w:p w14:paraId="2AF2A7AE" w14:textId="77777777" w:rsidR="00006F79" w:rsidRPr="00927F31" w:rsidRDefault="00006F79" w:rsidP="00F12C98">
      <w:pPr>
        <w:numPr>
          <w:ilvl w:val="0"/>
          <w:numId w:val="29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původního kotle na pevná paliva; </w:t>
      </w:r>
    </w:p>
    <w:p w14:paraId="3A178625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potvrzení o likvidaci původního kotle (potvrzení ze sběrného dvora, sběrných surovin, výkupny kovů);</w:t>
      </w:r>
    </w:p>
    <w:p w14:paraId="3381FB4E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nově instalovaného zdroje tepla</w:t>
      </w:r>
      <w:r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1C92AC37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dokladu o instalaci a uvedení nového zdroje tepla do provozu;</w:t>
      </w:r>
    </w:p>
    <w:p w14:paraId="41E57B65" w14:textId="77777777" w:rsidR="00006F79" w:rsidRPr="00927F31" w:rsidRDefault="00006F79" w:rsidP="00F12C98">
      <w:pPr>
        <w:numPr>
          <w:ilvl w:val="0"/>
          <w:numId w:val="29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Kopii protokolu o revizi spalinové cesty</w:t>
      </w:r>
      <w:r>
        <w:rPr>
          <w:rStyle w:val="datalabel"/>
          <w:rFonts w:ascii="Tahoma" w:hAnsi="Tahoma" w:cs="Tahoma"/>
          <w:sz w:val="20"/>
          <w:szCs w:val="20"/>
        </w:rPr>
        <w:t xml:space="preserve"> (</w:t>
      </w:r>
      <w:r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>
        <w:rPr>
          <w:rStyle w:val="datalabel"/>
          <w:rFonts w:ascii="Tahoma" w:hAnsi="Tahoma" w:cs="Tahoma"/>
          <w:sz w:val="20"/>
          <w:szCs w:val="20"/>
        </w:rPr>
        <w:t>).</w:t>
      </w:r>
    </w:p>
    <w:p w14:paraId="1BBB9B20" w14:textId="77777777" w:rsidR="00006F79" w:rsidRPr="00927F31" w:rsidRDefault="00006F79" w:rsidP="00006F79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73ACE67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po dobu realizace dílčího projektu a jeho udržitelnosti s kontrolami ze strany: poskytovatele, třetích osob pověřených poskytovatelem, Ministerstva životního prostředí ČR, Státního fondu životního prostředí ČR,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zdroje tepla, resp. celého dílčího projektu na místě, a to v souladu se zákonem č. 320/2001 Sb., o finanční kontrole, ve znění pozdějších předpisů. </w:t>
      </w:r>
    </w:p>
    <w:p w14:paraId="760D0C99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DA938D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po dobu udržitelnosti zajistit u třetích osob, jimž zcizuje nebo přenechává </w:t>
      </w:r>
      <w:r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>
        <w:rPr>
          <w:rFonts w:ascii="Tahoma" w:hAnsi="Tahoma" w:cs="Tahoma"/>
          <w:snapToGrid w:val="0"/>
          <w:sz w:val="20"/>
          <w:szCs w:val="20"/>
        </w:rPr>
        <w:t xml:space="preserve">/ do níž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zdroj tepla, možnost kontroly dle odst. 6 tohoto článku.   </w:t>
      </w:r>
    </w:p>
    <w:p w14:paraId="0FF6D2FF" w14:textId="77777777" w:rsidR="00006F79" w:rsidRPr="00927F31" w:rsidRDefault="00006F79" w:rsidP="00006F79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0B094559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dotace je povinen neprodleně poté, kdy nastala daná změna, informovat poskytovatele o všech změnách ve vlastnických právech příjemce k rodinnému domu či v jeho identifikačních údajích</w:t>
      </w:r>
      <w:r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 případě změny účtu je příjemce povinen rovněž doložit vlastnictví k účtu, a to kopií příslušné smlouvy nebo potvrzením peněžního ústavu. Z důvodu změn identifikačních údajů smluvních stran není nutn</w:t>
      </w:r>
      <w:r>
        <w:rPr>
          <w:rFonts w:ascii="Tahoma" w:hAnsi="Tahoma" w:cs="Tahoma"/>
          <w:snapToGrid w:val="0"/>
          <w:sz w:val="20"/>
          <w:szCs w:val="20"/>
        </w:rPr>
        <w:t>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dodatek. </w:t>
      </w:r>
    </w:p>
    <w:p w14:paraId="7DB63075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16E037F" w14:textId="77777777" w:rsidR="00006F79" w:rsidRPr="00927F31" w:rsidRDefault="00006F79" w:rsidP="00F12C98">
      <w:pPr>
        <w:numPr>
          <w:ilvl w:val="0"/>
          <w:numId w:val="26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6 tohoto článku, na základě prováděných kontrol, a to v termínu, rozsahu a kvalitě podle požadavků stanovených příslušným kontrolním orgánem.  </w:t>
      </w:r>
    </w:p>
    <w:p w14:paraId="0488F6E2" w14:textId="77777777" w:rsidR="00006F79" w:rsidRPr="00927F31" w:rsidRDefault="00006F79" w:rsidP="00006F79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573E41E" w14:textId="77777777" w:rsidR="00006F79" w:rsidRPr="00927F31" w:rsidRDefault="00006F79" w:rsidP="00006F79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1A03063A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0112A2CF" w14:textId="77777777" w:rsidR="00006F79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podmínek</w:t>
      </w:r>
    </w:p>
    <w:p w14:paraId="42FC9A78" w14:textId="77777777" w:rsidR="00006F79" w:rsidRPr="00927F31" w:rsidRDefault="00006F79" w:rsidP="00006F79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6FBEBB11" w14:textId="77777777" w:rsidR="00006F79" w:rsidRPr="00927F31" w:rsidRDefault="00006F79" w:rsidP="00F12C98">
      <w:pPr>
        <w:numPr>
          <w:ilvl w:val="0"/>
          <w:numId w:val="31"/>
        </w:numPr>
        <w:ind w:left="426" w:hanging="426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je oprávněn v souladu se zákonem č. 320/2001 Sb., o finanční kontrole, ve znění pozdějších předpisů, a zákonem č. 255/2012 Sb., o kontrole (kontrolní řád), ve znění pozdějších předpisů, kontrolovat dodržení podmínek, za kterých byla dotace poskytnuta. </w:t>
      </w:r>
    </w:p>
    <w:p w14:paraId="031B7FCE" w14:textId="77777777" w:rsidR="00006F79" w:rsidRPr="00927F31" w:rsidRDefault="00006F79" w:rsidP="00006F79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5102A26E" w14:textId="77777777" w:rsidR="00006F79" w:rsidRPr="00927F31" w:rsidRDefault="00006F79" w:rsidP="00F12C98">
      <w:pPr>
        <w:numPr>
          <w:ilvl w:val="0"/>
          <w:numId w:val="31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následujících povinností j</w:t>
      </w:r>
      <w:r>
        <w:rPr>
          <w:rFonts w:ascii="Tahoma" w:hAnsi="Tahoma" w:cs="Tahoma"/>
          <w:sz w:val="20"/>
          <w:szCs w:val="20"/>
        </w:rPr>
        <w:t>sou</w:t>
      </w:r>
      <w:r w:rsidRPr="00927F31">
        <w:rPr>
          <w:rFonts w:ascii="Tahoma" w:hAnsi="Tahoma" w:cs="Tahoma"/>
          <w:sz w:val="20"/>
          <w:szCs w:val="20"/>
        </w:rPr>
        <w:t xml:space="preserve"> považován</w:t>
      </w:r>
      <w:r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 za </w:t>
      </w:r>
      <w:r>
        <w:rPr>
          <w:rFonts w:ascii="Tahoma" w:hAnsi="Tahoma" w:cs="Tahoma"/>
          <w:sz w:val="20"/>
          <w:szCs w:val="20"/>
        </w:rPr>
        <w:t xml:space="preserve">méně závažná </w:t>
      </w:r>
      <w:r w:rsidRPr="00927F31">
        <w:rPr>
          <w:rFonts w:ascii="Tahoma" w:hAnsi="Tahoma" w:cs="Tahoma"/>
          <w:sz w:val="20"/>
          <w:szCs w:val="20"/>
        </w:rPr>
        <w:t xml:space="preserve">porušení </w:t>
      </w:r>
      <w:r>
        <w:rPr>
          <w:rFonts w:ascii="Tahoma" w:hAnsi="Tahoma" w:cs="Tahoma"/>
          <w:sz w:val="20"/>
          <w:szCs w:val="20"/>
        </w:rPr>
        <w:t>podmínek</w:t>
      </w:r>
      <w:r w:rsidRPr="00927F31">
        <w:rPr>
          <w:rFonts w:ascii="Tahoma" w:hAnsi="Tahoma" w:cs="Tahoma"/>
          <w:sz w:val="20"/>
          <w:szCs w:val="20"/>
        </w:rPr>
        <w:t xml:space="preserve"> ve smyslu §</w:t>
      </w:r>
      <w:r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6D1E3053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porušení povinnosti uvedené v čl. VI odst. 2 písm. c) – odvod ve výši 2 % z poskytnuté dotace.</w:t>
      </w:r>
    </w:p>
    <w:p w14:paraId="3A30D33E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2 písm. d) – odvod ve výši 2 % z poskytnuté dotace.</w:t>
      </w:r>
    </w:p>
    <w:p w14:paraId="7E24CB5C" w14:textId="77777777" w:rsidR="00006F79" w:rsidRPr="00927F31" w:rsidRDefault="00006F79" w:rsidP="00952E8C">
      <w:pPr>
        <w:numPr>
          <w:ilvl w:val="0"/>
          <w:numId w:val="34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649A8075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163EE20C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05729C29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VIII.</w:t>
      </w:r>
    </w:p>
    <w:p w14:paraId="18DD9468" w14:textId="77777777" w:rsidR="00006F79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07932683" w14:textId="77777777" w:rsidR="00006F79" w:rsidRPr="00927F31" w:rsidRDefault="00006F79" w:rsidP="00006F79">
      <w:pPr>
        <w:jc w:val="center"/>
        <w:rPr>
          <w:rFonts w:ascii="Tahoma" w:hAnsi="Tahoma" w:cs="Tahoma"/>
          <w:b/>
          <w:sz w:val="20"/>
          <w:szCs w:val="20"/>
        </w:rPr>
      </w:pPr>
    </w:p>
    <w:p w14:paraId="33392311" w14:textId="77777777" w:rsidR="00006F79" w:rsidRPr="00367785" w:rsidRDefault="00006F79" w:rsidP="00F12C98">
      <w:pPr>
        <w:numPr>
          <w:ilvl w:val="0"/>
          <w:numId w:val="3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Poskytovatel si vyhrazuje právo neodsouhlasit proplacení takových výdajů, které nejsou v souladu se způsobilými výdaji definovanými v této smlouvě. </w:t>
      </w:r>
    </w:p>
    <w:p w14:paraId="320314D9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B43A239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Pr="00927F31">
        <w:rPr>
          <w:rFonts w:ascii="Tahoma" w:hAnsi="Tahoma" w:cs="Tahoma"/>
          <w:sz w:val="20"/>
          <w:szCs w:val="20"/>
        </w:rPr>
        <w:t>.</w:t>
      </w:r>
    </w:p>
    <w:p w14:paraId="2CB332EF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1B5C693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Tuto smlouvu lze měnit pouze na základě dohody smluvních stran ve formě písemných postupně číslovaných dodatků podepsaných oprávněnými zástupci obou smluvních stran. Dodatek není třeba uzavírat v případě, kdy změna spočívá pouze v přesunu finančních prostředků mezi jednotlivými typy opatření (výdaji), které žadatel uvedl v Předmětu žádosti o podporu v rámci žádosti o poskytnutí dotace uvedené v čl. I odst. 1 této </w:t>
      </w:r>
      <w:r w:rsidRPr="00806277">
        <w:rPr>
          <w:rFonts w:ascii="Tahoma" w:hAnsi="Tahoma" w:cs="Tahoma"/>
          <w:sz w:val="20"/>
          <w:szCs w:val="20"/>
        </w:rPr>
        <w:t>smlouvy.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658FE7BE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5CBA450E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70F80C8A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705FDE5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BEA2C75" w14:textId="77777777" w:rsidR="00006F79" w:rsidRPr="00927F31" w:rsidRDefault="00006F79" w:rsidP="00006F79">
      <w:pPr>
        <w:jc w:val="both"/>
        <w:rPr>
          <w:rFonts w:ascii="Tahoma" w:hAnsi="Tahoma" w:cs="Tahoma"/>
          <w:sz w:val="20"/>
          <w:szCs w:val="20"/>
        </w:rPr>
      </w:pPr>
    </w:p>
    <w:p w14:paraId="21B85E7F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Právní vztah založený touto smlouvou nezaniká dnem finančního ukončení dílčího projektu, nýbrž dnem, kdy smluvní strany splní všechny povinnosti, které jim plynou z této smlouvy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390DE762" w14:textId="77777777" w:rsidR="00006F79" w:rsidRPr="00927F31" w:rsidRDefault="00006F79" w:rsidP="00006F79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5726BBF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bere na vědomí a výslovně souhlasí s tím, že smlouva včetně případných dodatků bude zveřejněna na oficiálních webových stránkách Moravskoslezského kraje. Smlouva bude zveřejněna po anonymizaci provedené v souladu s</w:t>
      </w:r>
      <w:r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 xml:space="preserve">. </w:t>
      </w:r>
    </w:p>
    <w:p w14:paraId="719C73B9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1A106B48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02F0725E" w14:textId="77777777" w:rsidR="00006F79" w:rsidRDefault="00006F79" w:rsidP="00006F79">
      <w:pPr>
        <w:pStyle w:val="Odstavecseseznamem"/>
        <w:rPr>
          <w:rFonts w:ascii="Tahoma" w:hAnsi="Tahoma" w:cs="Tahoma"/>
          <w:sz w:val="20"/>
          <w:szCs w:val="20"/>
        </w:rPr>
      </w:pPr>
    </w:p>
    <w:p w14:paraId="5D601F04" w14:textId="77777777" w:rsidR="00006F79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4B92D65D" w14:textId="77777777" w:rsidR="00006F79" w:rsidRPr="00927F31" w:rsidRDefault="00006F79" w:rsidP="00006F79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5B368C91" w14:textId="77777777" w:rsidR="00006F79" w:rsidRPr="00927F31" w:rsidRDefault="00006F79" w:rsidP="00F12C98">
      <w:pPr>
        <w:numPr>
          <w:ilvl w:val="0"/>
          <w:numId w:val="3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14:paraId="56BB8E43" w14:textId="77777777" w:rsidR="00006F79" w:rsidRPr="00927F31" w:rsidRDefault="00006F79" w:rsidP="00006F79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744D7648" w14:textId="77777777" w:rsidR="00006F79" w:rsidRPr="00927F31" w:rsidRDefault="00006F79" w:rsidP="00006F79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>O poskytnutí dotace a uzavření této smlouvy rozhodl</w:t>
      </w:r>
      <w:r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14:paraId="5ABF8F1B" w14:textId="77777777" w:rsidR="00006F79" w:rsidRPr="00927F31" w:rsidRDefault="00006F79" w:rsidP="00006F79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006F79" w:rsidRPr="00927F31" w14:paraId="2D0C75D1" w14:textId="77777777" w:rsidTr="003B1738">
        <w:tc>
          <w:tcPr>
            <w:tcW w:w="4013" w:type="dxa"/>
          </w:tcPr>
          <w:p w14:paraId="01E1EED5" w14:textId="77777777" w:rsidR="00006F79" w:rsidRPr="00927F31" w:rsidRDefault="00006F79" w:rsidP="003B1738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lastRenderedPageBreak/>
              <w:t>Příjemce:</w:t>
            </w:r>
          </w:p>
          <w:p w14:paraId="539403B2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705EA4D9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79E6F9DC" w14:textId="77777777" w:rsidR="00006F79" w:rsidRPr="00927F31" w:rsidRDefault="00006F79" w:rsidP="003B1738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006F79" w:rsidRPr="00927F31" w14:paraId="1F8F2CD5" w14:textId="77777777" w:rsidTr="003B1738">
        <w:tc>
          <w:tcPr>
            <w:tcW w:w="4013" w:type="dxa"/>
          </w:tcPr>
          <w:p w14:paraId="5210A75F" w14:textId="77777777" w:rsidR="00006F79" w:rsidRPr="00927F31" w:rsidRDefault="00006F79" w:rsidP="003B1738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63F1B62F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AE71EA3" w14:textId="77777777" w:rsidR="00006F79" w:rsidRPr="00927F31" w:rsidRDefault="00006F79" w:rsidP="003B1738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V___________________ dne __________</w:t>
            </w:r>
          </w:p>
        </w:tc>
      </w:tr>
      <w:tr w:rsidR="00006F79" w:rsidRPr="00927F31" w14:paraId="0E502A40" w14:textId="77777777" w:rsidTr="003B1738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52B7A42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6A210531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FD11C4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4363305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06F79" w:rsidRPr="00927F31" w14:paraId="064E3F17" w14:textId="77777777" w:rsidTr="003B1738">
        <w:trPr>
          <w:trHeight w:val="366"/>
        </w:trPr>
        <w:tc>
          <w:tcPr>
            <w:tcW w:w="4013" w:type="dxa"/>
          </w:tcPr>
          <w:p w14:paraId="34718E27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03672ACA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27E138D6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006F79" w:rsidRPr="00927F31" w14:paraId="6AD80B34" w14:textId="77777777" w:rsidTr="003B1738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02D70490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0DD6CC6D" w14:textId="77777777" w:rsidR="00006F79" w:rsidRPr="00927F31" w:rsidRDefault="00006F79" w:rsidP="003B1738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046D295A" w14:textId="77777777" w:rsidR="00006F79" w:rsidRPr="00927F31" w:rsidRDefault="00006F79" w:rsidP="003B1738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006F79" w:rsidRPr="00927F31" w14:paraId="237BB14F" w14:textId="77777777" w:rsidTr="003B1738">
        <w:tc>
          <w:tcPr>
            <w:tcW w:w="4013" w:type="dxa"/>
            <w:tcBorders>
              <w:top w:val="single" w:sz="4" w:space="0" w:color="auto"/>
            </w:tcBorders>
          </w:tcPr>
          <w:p w14:paraId="7D32BBDA" w14:textId="77777777" w:rsidR="00006F79" w:rsidRPr="00927F31" w:rsidRDefault="00006F79" w:rsidP="003B1738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1E5DA50A" w14:textId="77777777" w:rsidR="00006F79" w:rsidRPr="00927F31" w:rsidRDefault="00006F79" w:rsidP="003B1738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9913A71" w14:textId="77777777" w:rsidR="00006F79" w:rsidRPr="00927F31" w:rsidRDefault="00006F79" w:rsidP="003B1738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4F891293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006F79">
      <w:headerReference w:type="default" r:id="rId13"/>
      <w:headerReference w:type="first" r:id="rId14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428E" w14:textId="77777777" w:rsidR="00B16A2B" w:rsidRDefault="00B16A2B" w:rsidP="00F83901">
      <w:r>
        <w:separator/>
      </w:r>
    </w:p>
  </w:endnote>
  <w:endnote w:type="continuationSeparator" w:id="0">
    <w:p w14:paraId="291C4E45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44D83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3C6E40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14:paraId="6CEE970B" w14:textId="77777777"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5ED16" w14:textId="77777777" w:rsidR="00B16A2B" w:rsidRDefault="00B16A2B" w:rsidP="00F83901">
      <w:r>
        <w:separator/>
      </w:r>
    </w:p>
  </w:footnote>
  <w:footnote w:type="continuationSeparator" w:id="0">
    <w:p w14:paraId="306BBA42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64303" w14:textId="32F38CD6" w:rsidR="006A2A92" w:rsidRPr="00761F36" w:rsidRDefault="00EE4F4C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B89CA" w14:textId="6D2CF434" w:rsidR="005B77D2" w:rsidRPr="00F612D6" w:rsidRDefault="00F612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 w:rsidR="004B78B4">
      <w:rPr>
        <w:rFonts w:ascii="Tahoma" w:hAnsi="Tahoma" w:cs="Tahoma"/>
        <w:sz w:val="20"/>
        <w:szCs w:val="20"/>
      </w:rPr>
      <w:t>2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3493A10B" w14:textId="77777777" w:rsidR="008F4F2D" w:rsidRPr="008F4F2D" w:rsidRDefault="008F4F2D" w:rsidP="00610172">
    <w:pPr>
      <w:pStyle w:val="Zhlav"/>
      <w:rPr>
        <w:rFonts w:ascii="Tahoma" w:hAnsi="Tahoma" w:cs="Tahoma"/>
        <w:sz w:val="20"/>
        <w:szCs w:val="20"/>
      </w:rPr>
    </w:pPr>
  </w:p>
  <w:p w14:paraId="358E5105" w14:textId="0E154B45" w:rsidR="00610172" w:rsidRPr="00610172" w:rsidRDefault="008A0E71" w:rsidP="00610172">
    <w:pPr>
      <w:pStyle w:val="Zhlav"/>
      <w:rPr>
        <w:rFonts w:ascii="Tahoma" w:hAnsi="Tahoma" w:cs="Tahoma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61F5589A" wp14:editId="1C54F12D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7A8D" w14:textId="77777777" w:rsidR="00782734" w:rsidRPr="00761F36" w:rsidRDefault="00782734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B1D8" w14:textId="77777777" w:rsidR="006A78D6" w:rsidRPr="00F612D6" w:rsidRDefault="006A78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>
      <w:rPr>
        <w:rFonts w:ascii="Tahoma" w:hAnsi="Tahoma" w:cs="Tahoma"/>
        <w:sz w:val="20"/>
        <w:szCs w:val="20"/>
      </w:rPr>
      <w:t>2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629785D5" w14:textId="77777777" w:rsidR="006A78D6" w:rsidRPr="008F4F2D" w:rsidRDefault="006A78D6" w:rsidP="00610172">
    <w:pPr>
      <w:pStyle w:val="Zhlav"/>
      <w:rPr>
        <w:rFonts w:ascii="Tahoma" w:hAnsi="Tahoma" w:cs="Tahoma"/>
        <w:sz w:val="20"/>
        <w:szCs w:val="20"/>
      </w:rPr>
    </w:pPr>
  </w:p>
  <w:p w14:paraId="69F61877" w14:textId="77777777" w:rsidR="006A78D6" w:rsidRPr="00610172" w:rsidRDefault="006A78D6" w:rsidP="00610172">
    <w:pPr>
      <w:pStyle w:val="Zhlav"/>
      <w:rPr>
        <w:rFonts w:ascii="Tahoma" w:hAnsi="Tahoma" w:cs="Tahoma"/>
      </w:rPr>
    </w:pPr>
    <w:r>
      <w:rPr>
        <w:noProof/>
      </w:rPr>
      <w:drawing>
        <wp:inline distT="0" distB="0" distL="0" distR="0" wp14:anchorId="21157023" wp14:editId="4E7BBF90">
          <wp:extent cx="3228975" cy="352425"/>
          <wp:effectExtent l="0" t="0" r="9525" b="9525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A32913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3475ED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C47553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35B1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 w15:restartNumberingAfterBreak="0">
    <w:nsid w:val="305F6941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95CA3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3686136"/>
    <w:multiLevelType w:val="hybridMultilevel"/>
    <w:tmpl w:val="4E30F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2E4F2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8" w15:restartNumberingAfterBreak="0">
    <w:nsid w:val="48DA141F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C9543C5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F6044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5E6398"/>
    <w:multiLevelType w:val="hybridMultilevel"/>
    <w:tmpl w:val="61E871A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F64D7A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4A431AA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9864DBF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EE30BC5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1"/>
  </w:num>
  <w:num w:numId="5">
    <w:abstractNumId w:val="3"/>
  </w:num>
  <w:num w:numId="6">
    <w:abstractNumId w:val="23"/>
  </w:num>
  <w:num w:numId="7">
    <w:abstractNumId w:val="29"/>
  </w:num>
  <w:num w:numId="8">
    <w:abstractNumId w:val="27"/>
  </w:num>
  <w:num w:numId="9">
    <w:abstractNumId w:val="7"/>
  </w:num>
  <w:num w:numId="10">
    <w:abstractNumId w:val="25"/>
  </w:num>
  <w:num w:numId="11">
    <w:abstractNumId w:val="28"/>
  </w:num>
  <w:num w:numId="12">
    <w:abstractNumId w:val="6"/>
  </w:num>
  <w:num w:numId="13">
    <w:abstractNumId w:val="15"/>
  </w:num>
  <w:num w:numId="14">
    <w:abstractNumId w:val="31"/>
  </w:num>
  <w:num w:numId="15">
    <w:abstractNumId w:val="5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2"/>
  </w:num>
  <w:num w:numId="21">
    <w:abstractNumId w:val="21"/>
  </w:num>
  <w:num w:numId="22">
    <w:abstractNumId w:val="13"/>
  </w:num>
  <w:num w:numId="23">
    <w:abstractNumId w:val="30"/>
  </w:num>
  <w:num w:numId="24">
    <w:abstractNumId w:val="20"/>
  </w:num>
  <w:num w:numId="25">
    <w:abstractNumId w:val="4"/>
  </w:num>
  <w:num w:numId="26">
    <w:abstractNumId w:val="10"/>
  </w:num>
  <w:num w:numId="27">
    <w:abstractNumId w:val="24"/>
  </w:num>
  <w:num w:numId="28">
    <w:abstractNumId w:val="26"/>
  </w:num>
  <w:num w:numId="29">
    <w:abstractNumId w:val="12"/>
  </w:num>
  <w:num w:numId="30">
    <w:abstractNumId w:val="8"/>
  </w:num>
  <w:num w:numId="31">
    <w:abstractNumId w:val="19"/>
  </w:num>
  <w:num w:numId="32">
    <w:abstractNumId w:val="16"/>
  </w:num>
  <w:num w:numId="33">
    <w:abstractNumId w:val="32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5382"/>
    <w:rsid w:val="00006E53"/>
    <w:rsid w:val="00006F79"/>
    <w:rsid w:val="00006F7F"/>
    <w:rsid w:val="00012F56"/>
    <w:rsid w:val="00021FCE"/>
    <w:rsid w:val="00022D62"/>
    <w:rsid w:val="00035E3E"/>
    <w:rsid w:val="00036BB2"/>
    <w:rsid w:val="00040F1D"/>
    <w:rsid w:val="000464A2"/>
    <w:rsid w:val="0005365B"/>
    <w:rsid w:val="000542FC"/>
    <w:rsid w:val="000555E1"/>
    <w:rsid w:val="00055E3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57A"/>
    <w:rsid w:val="00082DE5"/>
    <w:rsid w:val="00097003"/>
    <w:rsid w:val="000A21A1"/>
    <w:rsid w:val="000B32CA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6B1D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6930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2554"/>
    <w:rsid w:val="00213D76"/>
    <w:rsid w:val="00215775"/>
    <w:rsid w:val="00221FF7"/>
    <w:rsid w:val="00225513"/>
    <w:rsid w:val="00230114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5F96"/>
    <w:rsid w:val="00316DF2"/>
    <w:rsid w:val="003173AF"/>
    <w:rsid w:val="00317762"/>
    <w:rsid w:val="003211F4"/>
    <w:rsid w:val="00323965"/>
    <w:rsid w:val="00324D94"/>
    <w:rsid w:val="003358ED"/>
    <w:rsid w:val="00341240"/>
    <w:rsid w:val="0034292A"/>
    <w:rsid w:val="00343B3F"/>
    <w:rsid w:val="00343DD7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67785"/>
    <w:rsid w:val="00374B0D"/>
    <w:rsid w:val="00377F1F"/>
    <w:rsid w:val="00380CDC"/>
    <w:rsid w:val="00383D7C"/>
    <w:rsid w:val="0038505F"/>
    <w:rsid w:val="00387859"/>
    <w:rsid w:val="00391651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6E40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29CE"/>
    <w:rsid w:val="00404EF4"/>
    <w:rsid w:val="004114A0"/>
    <w:rsid w:val="0041723B"/>
    <w:rsid w:val="00423AEB"/>
    <w:rsid w:val="00445BA8"/>
    <w:rsid w:val="00452A59"/>
    <w:rsid w:val="00460C23"/>
    <w:rsid w:val="0046182A"/>
    <w:rsid w:val="00465D12"/>
    <w:rsid w:val="0047069E"/>
    <w:rsid w:val="00487015"/>
    <w:rsid w:val="004874B8"/>
    <w:rsid w:val="004A1F76"/>
    <w:rsid w:val="004A2239"/>
    <w:rsid w:val="004A278E"/>
    <w:rsid w:val="004A3CCD"/>
    <w:rsid w:val="004A580C"/>
    <w:rsid w:val="004A68CE"/>
    <w:rsid w:val="004A6FD4"/>
    <w:rsid w:val="004A7420"/>
    <w:rsid w:val="004B4FDF"/>
    <w:rsid w:val="004B6011"/>
    <w:rsid w:val="004B78B4"/>
    <w:rsid w:val="004C1602"/>
    <w:rsid w:val="004C21AD"/>
    <w:rsid w:val="004C2BB0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C51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1D33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7D2"/>
    <w:rsid w:val="005C3A06"/>
    <w:rsid w:val="005C3C10"/>
    <w:rsid w:val="005C4356"/>
    <w:rsid w:val="005C5D4B"/>
    <w:rsid w:val="005C70B8"/>
    <w:rsid w:val="005D2F3C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0172"/>
    <w:rsid w:val="00611E7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8D6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4873"/>
    <w:rsid w:val="00740FFD"/>
    <w:rsid w:val="00761F36"/>
    <w:rsid w:val="00762683"/>
    <w:rsid w:val="00767AE1"/>
    <w:rsid w:val="0077749B"/>
    <w:rsid w:val="007801F5"/>
    <w:rsid w:val="00781A2D"/>
    <w:rsid w:val="00782734"/>
    <w:rsid w:val="00782F19"/>
    <w:rsid w:val="00784F20"/>
    <w:rsid w:val="00786D3C"/>
    <w:rsid w:val="00786E1B"/>
    <w:rsid w:val="007953C2"/>
    <w:rsid w:val="007A29E5"/>
    <w:rsid w:val="007A3A78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0E71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4F2D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2E8C"/>
    <w:rsid w:val="00953E11"/>
    <w:rsid w:val="00960B03"/>
    <w:rsid w:val="00962B5B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6307"/>
    <w:rsid w:val="009F1F95"/>
    <w:rsid w:val="009F243E"/>
    <w:rsid w:val="009F4A1B"/>
    <w:rsid w:val="00A020CB"/>
    <w:rsid w:val="00A020E5"/>
    <w:rsid w:val="00A11D4E"/>
    <w:rsid w:val="00A15197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056C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955F4"/>
    <w:rsid w:val="00BA6FBB"/>
    <w:rsid w:val="00BA72B8"/>
    <w:rsid w:val="00BB5513"/>
    <w:rsid w:val="00BC264B"/>
    <w:rsid w:val="00BC3513"/>
    <w:rsid w:val="00BC53E4"/>
    <w:rsid w:val="00BD042D"/>
    <w:rsid w:val="00BD50A6"/>
    <w:rsid w:val="00BD7674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388C"/>
    <w:rsid w:val="00C65A08"/>
    <w:rsid w:val="00C667D3"/>
    <w:rsid w:val="00C754E2"/>
    <w:rsid w:val="00C75602"/>
    <w:rsid w:val="00C769FC"/>
    <w:rsid w:val="00C7752F"/>
    <w:rsid w:val="00C84BB5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33C3"/>
    <w:rsid w:val="00D05E3F"/>
    <w:rsid w:val="00D16DF6"/>
    <w:rsid w:val="00D20C12"/>
    <w:rsid w:val="00D233AB"/>
    <w:rsid w:val="00D2403E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29CE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30A0"/>
    <w:rsid w:val="00DE6A60"/>
    <w:rsid w:val="00DF07E7"/>
    <w:rsid w:val="00DF3F92"/>
    <w:rsid w:val="00DF5B27"/>
    <w:rsid w:val="00E01825"/>
    <w:rsid w:val="00E0411D"/>
    <w:rsid w:val="00E17D77"/>
    <w:rsid w:val="00E24690"/>
    <w:rsid w:val="00E25663"/>
    <w:rsid w:val="00E3341F"/>
    <w:rsid w:val="00E334E0"/>
    <w:rsid w:val="00E34773"/>
    <w:rsid w:val="00E44618"/>
    <w:rsid w:val="00E52521"/>
    <w:rsid w:val="00E649AB"/>
    <w:rsid w:val="00E67662"/>
    <w:rsid w:val="00E7177D"/>
    <w:rsid w:val="00E74177"/>
    <w:rsid w:val="00E75952"/>
    <w:rsid w:val="00E91B16"/>
    <w:rsid w:val="00E93ACA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5D26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2C98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273B"/>
    <w:rsid w:val="00F5349D"/>
    <w:rsid w:val="00F542CA"/>
    <w:rsid w:val="00F612D6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8D4C510"/>
  <w14:defaultImageDpi w14:val="0"/>
  <w15:docId w15:val="{BB45AF96-72AD-4575-8D4D-C0E6299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A15197"/>
    <w:rPr>
      <w:color w:val="0000FF" w:themeColor="hyperlink"/>
      <w:u w:val="single"/>
    </w:rPr>
  </w:style>
  <w:style w:type="paragraph" w:customStyle="1" w:styleId="MSKNormal">
    <w:name w:val="MSK_Normal"/>
    <w:basedOn w:val="Normln"/>
    <w:link w:val="MSKNormalChar"/>
    <w:qFormat/>
    <w:rsid w:val="0031776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17762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BB6C-373B-4B33-ACA4-1E791A0F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4802</Words>
  <Characters>27214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Pazderová Šmigová Andrea</cp:lastModifiedBy>
  <cp:revision>21</cp:revision>
  <cp:lastPrinted>2017-05-26T06:24:00Z</cp:lastPrinted>
  <dcterms:created xsi:type="dcterms:W3CDTF">2019-08-12T09:51:00Z</dcterms:created>
  <dcterms:modified xsi:type="dcterms:W3CDTF">2020-11-16T07:39:00Z</dcterms:modified>
</cp:coreProperties>
</file>