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D93CE" w14:textId="746F822B" w:rsidR="00195AFC" w:rsidRDefault="00195AFC" w:rsidP="00090FBE">
      <w:pPr>
        <w:spacing w:before="120" w:after="0"/>
      </w:pPr>
      <w:r>
        <w:rPr>
          <w:noProof/>
          <w:lang w:eastAsia="cs-CZ"/>
        </w:rPr>
        <mc:AlternateContent>
          <mc:Choice Requires="wps">
            <w:drawing>
              <wp:anchor distT="0" distB="0" distL="114300" distR="114300" simplePos="0" relativeHeight="251657215" behindDoc="0" locked="0" layoutInCell="1" allowOverlap="1" wp14:anchorId="1DFA8982" wp14:editId="05D21785">
                <wp:simplePos x="0" y="0"/>
                <wp:positionH relativeFrom="column">
                  <wp:posOffset>-165735</wp:posOffset>
                </wp:positionH>
                <wp:positionV relativeFrom="paragraph">
                  <wp:posOffset>-532130</wp:posOffset>
                </wp:positionV>
                <wp:extent cx="6620510" cy="742950"/>
                <wp:effectExtent l="0" t="0" r="27940" b="19050"/>
                <wp:wrapNone/>
                <wp:docPr id="3" name="Obdélník 11"/>
                <wp:cNvGraphicFramePr/>
                <a:graphic xmlns:a="http://schemas.openxmlformats.org/drawingml/2006/main">
                  <a:graphicData uri="http://schemas.microsoft.com/office/word/2010/wordprocessingShape">
                    <wps:wsp>
                      <wps:cNvSpPr/>
                      <wps:spPr>
                        <a:xfrm>
                          <a:off x="0" y="0"/>
                          <a:ext cx="6620510" cy="742950"/>
                        </a:xfrm>
                        <a:prstGeom prst="rect">
                          <a:avLst/>
                        </a:prstGeom>
                        <a:solidFill>
                          <a:srgbClr val="FFFFFF"/>
                        </a:solidFill>
                        <a:ln w="25402" cap="flat">
                          <a:solidFill>
                            <a:srgbClr val="FFFFFF"/>
                          </a:solidFill>
                          <a:prstDash val="solid"/>
                          <a:miter/>
                        </a:ln>
                      </wps:spPr>
                      <wps:bodyPr lIns="0" tIns="0" rIns="0" bIns="0"/>
                    </wps:wsp>
                  </a:graphicData>
                </a:graphic>
                <wp14:sizeRelV relativeFrom="margin">
                  <wp14:pctHeight>0</wp14:pctHeight>
                </wp14:sizeRelV>
              </wp:anchor>
            </w:drawing>
          </mc:Choice>
          <mc:Fallback xmlns:w16du="http://schemas.microsoft.com/office/word/2023/wordml/word16du" xmlns:c="http://schemas.openxmlformats.org/drawingml/2006/chart" xmlns:a14="http://schemas.microsoft.com/office/drawing/2010/main" xmlns:pic="http://schemas.openxmlformats.org/drawingml/2006/picture" xmlns:a="http://schemas.openxmlformats.org/drawingml/2006/main">
            <w:pict>
              <v:rect id="Obdélník 11" style="position:absolute;margin-left:-13.05pt;margin-top:-41.9pt;width:521.3pt;height:58.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color="white" strokeweight=".70561mm" w14:anchorId="6C993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">
                <v:textbox inset="0,0,0,0"/>
              </v:rect>
            </w:pict>
          </mc:Fallback>
        </mc:AlternateContent>
      </w:r>
      <w:r>
        <w:rPr>
          <w:noProof/>
          <w:lang w:eastAsia="cs-CZ"/>
        </w:rPr>
        <w:drawing>
          <wp:anchor distT="0" distB="0" distL="114300" distR="114300" simplePos="0" relativeHeight="251664384" behindDoc="0" locked="0" layoutInCell="1" allowOverlap="1" wp14:anchorId="2081C3A6" wp14:editId="2ECE6132">
            <wp:simplePos x="0" y="0"/>
            <wp:positionH relativeFrom="column">
              <wp:posOffset>4192905</wp:posOffset>
            </wp:positionH>
            <wp:positionV relativeFrom="paragraph">
              <wp:posOffset>-465455</wp:posOffset>
            </wp:positionV>
            <wp:extent cx="2176145" cy="746760"/>
            <wp:effectExtent l="0" t="0" r="0" b="0"/>
            <wp:wrapNone/>
            <wp:docPr id="2" name="Obrázek 10" descr="Moravskoslezský kraj: Letiště Leoše Janáčka v číslech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92" t="15391" r="2860" b="20064"/>
                    <a:stretch/>
                  </pic:blipFill>
                  <pic:spPr bwMode="auto">
                    <a:xfrm>
                      <a:off x="0" y="0"/>
                      <a:ext cx="2176145" cy="74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5408" behindDoc="0" locked="0" layoutInCell="1" allowOverlap="1" wp14:anchorId="605BD433" wp14:editId="213C0C72">
            <wp:simplePos x="0" y="0"/>
            <wp:positionH relativeFrom="column">
              <wp:posOffset>-60325</wp:posOffset>
            </wp:positionH>
            <wp:positionV relativeFrom="paragraph">
              <wp:posOffset>-402590</wp:posOffset>
            </wp:positionV>
            <wp:extent cx="2700000" cy="685922"/>
            <wp:effectExtent l="0" t="0" r="5715" b="0"/>
            <wp:wrapNone/>
            <wp:docPr id="1" name="Obrázek 3" descr="Ak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4682" t="25798" r="4346" b="28056"/>
                    <a:stretch>
                      <a:fillRect/>
                    </a:stretch>
                  </pic:blipFill>
                  <pic:spPr>
                    <a:xfrm>
                      <a:off x="0" y="0"/>
                      <a:ext cx="2700000" cy="68592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67F9916" w14:textId="30EF9866" w:rsidR="00195AFC" w:rsidRDefault="00195AFC" w:rsidP="005D33F5">
      <w:pPr>
        <w:spacing w:after="0" w:line="240" w:lineRule="auto"/>
        <w:jc w:val="center"/>
      </w:pPr>
      <w:r>
        <w:t>Název projektu „Podpora návazných aktivit sociálních služeb v MSK“</w:t>
      </w:r>
    </w:p>
    <w:p w14:paraId="62CCF2C6" w14:textId="036C18E8" w:rsidR="00CC62A5" w:rsidRDefault="00195AFC" w:rsidP="005D33F5">
      <w:pPr>
        <w:spacing w:after="0" w:line="240" w:lineRule="auto"/>
        <w:jc w:val="center"/>
      </w:pPr>
      <w:r>
        <w:t>Registrační číslo CZ.03.02.02/00/22_006/0000976</w:t>
      </w:r>
    </w:p>
    <w:tbl>
      <w:tblPr>
        <w:tblpPr w:leftFromText="141" w:rightFromText="141" w:vertAnchor="text" w:tblpY="1"/>
        <w:tblOverlap w:val="never"/>
        <w:tblW w:w="5580" w:type="dxa"/>
        <w:tblCellMar>
          <w:left w:w="10" w:type="dxa"/>
          <w:right w:w="10" w:type="dxa"/>
        </w:tblCellMar>
        <w:tblLook w:val="04A0" w:firstRow="1" w:lastRow="0" w:firstColumn="1" w:lastColumn="0" w:noHBand="0" w:noVBand="1"/>
      </w:tblPr>
      <w:tblGrid>
        <w:gridCol w:w="5580"/>
      </w:tblGrid>
      <w:tr w:rsidR="00CC62A5" w14:paraId="4DF78D7F" w14:textId="77777777" w:rsidTr="0000220C">
        <w:trPr>
          <w:trHeight w:val="1894"/>
        </w:trPr>
        <w:tc>
          <w:tcPr>
            <w:tcW w:w="5580" w:type="dxa"/>
            <w:shd w:val="clear" w:color="auto" w:fill="auto"/>
            <w:tcMar>
              <w:top w:w="0" w:type="dxa"/>
              <w:left w:w="0" w:type="dxa"/>
              <w:bottom w:w="0" w:type="dxa"/>
              <w:right w:w="0" w:type="dxa"/>
            </w:tcMar>
          </w:tcPr>
          <w:p w14:paraId="6B8A8B44" w14:textId="77777777" w:rsidR="00CC62A5" w:rsidRDefault="00CC62A5" w:rsidP="00090FBE">
            <w:pPr>
              <w:spacing w:before="120" w:after="0"/>
            </w:pPr>
          </w:p>
          <w:p w14:paraId="3D0D9AC7" w14:textId="77777777" w:rsidR="00CC62A5" w:rsidRDefault="00CC62A5" w:rsidP="00090FBE">
            <w:pPr>
              <w:spacing w:before="120" w:after="0"/>
            </w:pPr>
          </w:p>
        </w:tc>
      </w:tr>
      <w:tr w:rsidR="00CC62A5" w14:paraId="614CFBD7" w14:textId="77777777" w:rsidTr="0000220C">
        <w:trPr>
          <w:trHeight w:val="7313"/>
        </w:trPr>
        <w:tc>
          <w:tcPr>
            <w:tcW w:w="5580" w:type="dxa"/>
            <w:shd w:val="clear" w:color="auto" w:fill="auto"/>
            <w:tcMar>
              <w:top w:w="0" w:type="dxa"/>
              <w:left w:w="0" w:type="dxa"/>
              <w:bottom w:w="0" w:type="dxa"/>
              <w:right w:w="0" w:type="dxa"/>
            </w:tcMar>
          </w:tcPr>
          <w:p w14:paraId="2CFC2CBC" w14:textId="77777777" w:rsidR="00CC62A5" w:rsidRDefault="00DB06CE" w:rsidP="00090FBE">
            <w:pPr>
              <w:spacing w:before="120" w:after="0"/>
            </w:pPr>
            <w:r>
              <w:rPr>
                <w:noProof/>
                <w:lang w:eastAsia="cs-CZ"/>
              </w:rPr>
              <mc:AlternateContent>
                <mc:Choice Requires="wps">
                  <w:drawing>
                    <wp:anchor distT="0" distB="0" distL="114300" distR="114300" simplePos="0" relativeHeight="251662336" behindDoc="0" locked="0" layoutInCell="1" allowOverlap="1" wp14:anchorId="79161D8E" wp14:editId="477A49D3">
                      <wp:simplePos x="0" y="0"/>
                      <wp:positionH relativeFrom="column">
                        <wp:posOffset>-480060</wp:posOffset>
                      </wp:positionH>
                      <wp:positionV relativeFrom="paragraph">
                        <wp:posOffset>3843020</wp:posOffset>
                      </wp:positionV>
                      <wp:extent cx="6935467" cy="3371215"/>
                      <wp:effectExtent l="0" t="0" r="0" b="635"/>
                      <wp:wrapNone/>
                      <wp:docPr id="4" name="Textové pole 4"/>
                      <wp:cNvGraphicFramePr/>
                      <a:graphic xmlns:a="http://schemas.openxmlformats.org/drawingml/2006/main">
                        <a:graphicData uri="http://schemas.microsoft.com/office/word/2010/wordprocessingShape">
                          <wps:wsp>
                            <wps:cNvSpPr txBox="1"/>
                            <wps:spPr>
                              <a:xfrm>
                                <a:off x="0" y="0"/>
                                <a:ext cx="6935467" cy="3371215"/>
                              </a:xfrm>
                              <a:prstGeom prst="rect">
                                <a:avLst/>
                              </a:prstGeom>
                              <a:solidFill>
                                <a:srgbClr val="FFFFFF"/>
                              </a:solidFill>
                              <a:ln>
                                <a:noFill/>
                                <a:prstDash/>
                              </a:ln>
                            </wps:spPr>
                            <wps:txbx>
                              <w:txbxContent>
                                <w:p w14:paraId="2E74B898" w14:textId="5AB78500" w:rsidR="00F7495D" w:rsidRDefault="00F7495D" w:rsidP="008C17A2">
                                  <w:pPr>
                                    <w:pStyle w:val="Podnadpis"/>
                                    <w:jc w:val="right"/>
                                    <w:rPr>
                                      <w:caps/>
                                      <w:smallCaps w:val="0"/>
                                      <w:spacing w:val="-10"/>
                                      <w:sz w:val="72"/>
                                      <w:szCs w:val="72"/>
                                    </w:rPr>
                                  </w:pPr>
                                  <w:r w:rsidRPr="007D4202">
                                    <w:rPr>
                                      <w:caps/>
                                      <w:smallCaps w:val="0"/>
                                      <w:spacing w:val="-10"/>
                                      <w:sz w:val="72"/>
                                      <w:szCs w:val="72"/>
                                    </w:rPr>
                                    <w:t>Souhrnn</w:t>
                                  </w:r>
                                  <w:r w:rsidR="009378A6">
                                    <w:rPr>
                                      <w:caps/>
                                      <w:smallCaps w:val="0"/>
                                      <w:spacing w:val="-10"/>
                                      <w:sz w:val="72"/>
                                      <w:szCs w:val="72"/>
                                    </w:rPr>
                                    <w:t>é</w:t>
                                  </w:r>
                                  <w:r w:rsidRPr="007D4202">
                                    <w:rPr>
                                      <w:caps/>
                                      <w:smallCaps w:val="0"/>
                                      <w:spacing w:val="-10"/>
                                      <w:sz w:val="72"/>
                                      <w:szCs w:val="72"/>
                                    </w:rPr>
                                    <w:t xml:space="preserve"> analýz</w:t>
                                  </w:r>
                                  <w:r w:rsidR="009378A6">
                                    <w:rPr>
                                      <w:caps/>
                                      <w:smallCaps w:val="0"/>
                                      <w:spacing w:val="-10"/>
                                      <w:sz w:val="72"/>
                                      <w:szCs w:val="72"/>
                                    </w:rPr>
                                    <w:t>y</w:t>
                                  </w:r>
                                  <w:r w:rsidRPr="007D4202">
                                    <w:rPr>
                                      <w:caps/>
                                      <w:smallCaps w:val="0"/>
                                      <w:spacing w:val="-10"/>
                                      <w:sz w:val="72"/>
                                      <w:szCs w:val="72"/>
                                    </w:rPr>
                                    <w:t xml:space="preserve"> pravidel </w:t>
                                  </w:r>
                                  <w:r>
                                    <w:rPr>
                                      <w:caps/>
                                      <w:smallCaps w:val="0"/>
                                      <w:spacing w:val="-10"/>
                                      <w:sz w:val="72"/>
                                      <w:szCs w:val="72"/>
                                    </w:rPr>
                                    <w:br/>
                                  </w:r>
                                  <w:r w:rsidRPr="007D4202">
                                    <w:rPr>
                                      <w:caps/>
                                      <w:smallCaps w:val="0"/>
                                      <w:spacing w:val="-10"/>
                                      <w:sz w:val="72"/>
                                      <w:szCs w:val="72"/>
                                    </w:rPr>
                                    <w:t>přidělování a dostupnosti bytů v Moravskoslezském kraji</w:t>
                                  </w:r>
                                </w:p>
                                <w:p w14:paraId="7E40D90E" w14:textId="77777777" w:rsidR="00F7495D" w:rsidRPr="008363CE" w:rsidRDefault="00F7495D" w:rsidP="008363CE">
                                  <w:pPr>
                                    <w:pStyle w:val="Podnadpis"/>
                                    <w:jc w:val="right"/>
                                    <w:rPr>
                                      <w:sz w:val="48"/>
                                      <w:szCs w:val="48"/>
                                    </w:rPr>
                                  </w:pPr>
                                  <w:r w:rsidRPr="008363CE">
                                    <w:rPr>
                                      <w:sz w:val="48"/>
                                      <w:szCs w:val="48"/>
                                    </w:rPr>
                                    <w:t xml:space="preserve">2024 </w:t>
                                  </w:r>
                                </w:p>
                                <w:p w14:paraId="2DBF2D7E" w14:textId="2EBF5C33" w:rsidR="00F7495D" w:rsidRPr="008363CE" w:rsidRDefault="00F7495D" w:rsidP="008363CE">
                                  <w:pPr>
                                    <w:pStyle w:val="Podnadpis"/>
                                    <w:jc w:val="right"/>
                                    <w:rPr>
                                      <w:sz w:val="48"/>
                                      <w:szCs w:val="48"/>
                                    </w:rPr>
                                  </w:pPr>
                                  <w:r w:rsidRPr="008363CE">
                                    <w:rPr>
                                      <w:sz w:val="48"/>
                                      <w:szCs w:val="48"/>
                                    </w:rPr>
                                    <w:t>Analytická část</w:t>
                                  </w:r>
                                </w:p>
                                <w:p w14:paraId="146C6A03" w14:textId="05BA3744" w:rsidR="00F7495D" w:rsidRPr="008363CE" w:rsidRDefault="00F7495D" w:rsidP="008363CE">
                                  <w:pPr>
                                    <w:jc w:val="right"/>
                                    <w:rPr>
                                      <w:rFonts w:eastAsiaTheme="majorEastAsia" w:cstheme="majorBidi"/>
                                      <w:smallCaps/>
                                      <w:color w:val="595959" w:themeColor="text1" w:themeTint="A6"/>
                                      <w:sz w:val="48"/>
                                      <w:szCs w:val="48"/>
                                    </w:rPr>
                                  </w:pPr>
                                  <w:r w:rsidRPr="008363CE">
                                    <w:rPr>
                                      <w:rFonts w:eastAsiaTheme="majorEastAsia" w:cstheme="majorBidi"/>
                                      <w:smallCaps/>
                                      <w:color w:val="595959" w:themeColor="text1" w:themeTint="A6"/>
                                      <w:sz w:val="48"/>
                                      <w:szCs w:val="48"/>
                                    </w:rPr>
                                    <w:t>MANAŽERSKÉ SHRNUTÍ</w:t>
                                  </w:r>
                                </w:p>
                                <w:p w14:paraId="1A4118E3" w14:textId="77777777" w:rsidR="00F7495D" w:rsidRDefault="00F7495D">
                                  <w:pPr>
                                    <w:pStyle w:val="Nzev"/>
                                    <w:ind w:left="142"/>
                                  </w:pPr>
                                </w:p>
                                <w:p w14:paraId="4E647556" w14:textId="77777777" w:rsidR="00F7495D" w:rsidRDefault="00F7495D">
                                  <w:pPr>
                                    <w:pStyle w:val="Podnadpis"/>
                                    <w:rPr>
                                      <w:sz w:val="30"/>
                                      <w:szCs w:val="30"/>
                                    </w:rPr>
                                  </w:pPr>
                                </w:p>
                                <w:p w14:paraId="7EF638E8" w14:textId="77777777" w:rsidR="00F7495D" w:rsidRDefault="00F7495D">
                                  <w:pPr>
                                    <w:pStyle w:val="Podnadpis"/>
                                  </w:pPr>
                                  <w:r>
                                    <w:t>analytická část</w:t>
                                  </w:r>
                                </w:p>
                                <w:p w14:paraId="46F22639" w14:textId="77777777" w:rsidR="00F7495D" w:rsidRDefault="00F7495D">
                                  <w:pPr>
                                    <w:pStyle w:val="Normlnweb"/>
                                    <w:shd w:val="clear" w:color="auto" w:fill="FFFFFF"/>
                                    <w:spacing w:before="0" w:after="0"/>
                                    <w:rPr>
                                      <w:rFonts w:ascii="Calibri" w:hAnsi="Calibri" w:cs="Calibri"/>
                                      <w:b w:val="0"/>
                                      <w:color w:val="082A75"/>
                                      <w:szCs w:val="22"/>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shapetype id="_x0000_t202" coordsize="21600,21600" o:spt="202" path="m,l,21600r21600,l21600,xe" w14:anchorId="79161D8E">
                      <v:stroke joinstyle="miter"/>
                      <v:path gradientshapeok="t" o:connecttype="rect"/>
                    </v:shapetype>
                    <v:shape id="Textové pole 4" style="position:absolute;left:0;text-align:left;margin-left:-37.8pt;margin-top:302.6pt;width:546.1pt;height:265.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">
                      <v:textbox>
                        <w:txbxContent>
                          <w:p w:rsidR="00F7495D" w:rsidP="008C17A2" w:rsidRDefault="00F7495D" w14:paraId="2E74B898" w14:textId="5AB78500">
                            <w:pPr>
                              <w:pStyle w:val="Podnadpis"/>
                              <w:jc w:val="right"/>
                              <w:rPr>
                                <w:caps/>
                                <w:smallCaps w:val="0"/>
                                <w:spacing w:val="-10"/>
                                <w:sz w:val="72"/>
                                <w:szCs w:val="72"/>
                              </w:rPr>
                            </w:pPr>
                            <w:r w:rsidRPr="007D4202">
                              <w:rPr>
                                <w:caps/>
                                <w:smallCaps w:val="0"/>
                                <w:spacing w:val="-10"/>
                                <w:sz w:val="72"/>
                                <w:szCs w:val="72"/>
                              </w:rPr>
                              <w:t>Souhrnn</w:t>
                            </w:r>
                            <w:r w:rsidR="009378A6">
                              <w:rPr>
                                <w:caps/>
                                <w:smallCaps w:val="0"/>
                                <w:spacing w:val="-10"/>
                                <w:sz w:val="72"/>
                                <w:szCs w:val="72"/>
                              </w:rPr>
                              <w:t>é</w:t>
                            </w:r>
                            <w:r w:rsidRPr="007D4202">
                              <w:rPr>
                                <w:caps/>
                                <w:smallCaps w:val="0"/>
                                <w:spacing w:val="-10"/>
                                <w:sz w:val="72"/>
                                <w:szCs w:val="72"/>
                              </w:rPr>
                              <w:t xml:space="preserve"> analýz</w:t>
                            </w:r>
                            <w:r w:rsidR="009378A6">
                              <w:rPr>
                                <w:caps/>
                                <w:smallCaps w:val="0"/>
                                <w:spacing w:val="-10"/>
                                <w:sz w:val="72"/>
                                <w:szCs w:val="72"/>
                              </w:rPr>
                              <w:t>y</w:t>
                            </w:r>
                            <w:r w:rsidRPr="007D4202">
                              <w:rPr>
                                <w:caps/>
                                <w:smallCaps w:val="0"/>
                                <w:spacing w:val="-10"/>
                                <w:sz w:val="72"/>
                                <w:szCs w:val="72"/>
                              </w:rPr>
                              <w:t xml:space="preserve"> pravidel </w:t>
                            </w:r>
                            <w:r>
                              <w:rPr>
                                <w:caps/>
                                <w:smallCaps w:val="0"/>
                                <w:spacing w:val="-10"/>
                                <w:sz w:val="72"/>
                                <w:szCs w:val="72"/>
                              </w:rPr>
                              <w:br/>
                            </w:r>
                            <w:r w:rsidRPr="007D4202">
                              <w:rPr>
                                <w:caps/>
                                <w:smallCaps w:val="0"/>
                                <w:spacing w:val="-10"/>
                                <w:sz w:val="72"/>
                                <w:szCs w:val="72"/>
                              </w:rPr>
                              <w:t>přidělování a dostupnosti bytů v Moravskoslezském kraji</w:t>
                            </w:r>
                          </w:p>
                          <w:p w:rsidRPr="008363CE" w:rsidR="00F7495D" w:rsidP="008363CE" w:rsidRDefault="00F7495D" w14:paraId="7E40D90E" w14:textId="77777777">
                            <w:pPr>
                              <w:pStyle w:val="Podnadpis"/>
                              <w:jc w:val="right"/>
                              <w:rPr>
                                <w:sz w:val="48"/>
                                <w:szCs w:val="48"/>
                              </w:rPr>
                            </w:pPr>
                            <w:r w:rsidRPr="008363CE">
                              <w:rPr>
                                <w:sz w:val="48"/>
                                <w:szCs w:val="48"/>
                              </w:rPr>
                              <w:t xml:space="preserve">2024 </w:t>
                            </w:r>
                          </w:p>
                          <w:p w:rsidRPr="008363CE" w:rsidR="00F7495D" w:rsidP="008363CE" w:rsidRDefault="00F7495D" w14:paraId="2DBF2D7E" w14:textId="2EBF5C33">
                            <w:pPr>
                              <w:pStyle w:val="Podnadpis"/>
                              <w:jc w:val="right"/>
                              <w:rPr>
                                <w:sz w:val="48"/>
                                <w:szCs w:val="48"/>
                              </w:rPr>
                            </w:pPr>
                            <w:r w:rsidRPr="008363CE">
                              <w:rPr>
                                <w:sz w:val="48"/>
                                <w:szCs w:val="48"/>
                              </w:rPr>
                              <w:t>Analytická část</w:t>
                            </w:r>
                          </w:p>
                          <w:p w:rsidRPr="008363CE" w:rsidR="00F7495D" w:rsidP="008363CE" w:rsidRDefault="00F7495D" w14:paraId="146C6A03" w14:textId="05BA3744">
                            <w:pPr>
                              <w:jc w:val="right"/>
                              <w:rPr>
                                <w:rFonts w:eastAsiaTheme="majorEastAsia" w:cstheme="majorBidi"/>
                                <w:smallCaps/>
                                <w:color w:val="595959" w:themeColor="text1" w:themeTint="A6"/>
                                <w:sz w:val="48"/>
                                <w:szCs w:val="48"/>
                              </w:rPr>
                            </w:pPr>
                            <w:r w:rsidRPr="008363CE">
                              <w:rPr>
                                <w:rFonts w:eastAsiaTheme="majorEastAsia" w:cstheme="majorBidi"/>
                                <w:smallCaps/>
                                <w:color w:val="595959" w:themeColor="text1" w:themeTint="A6"/>
                                <w:sz w:val="48"/>
                                <w:szCs w:val="48"/>
                              </w:rPr>
                              <w:t>MANAŽERSKÉ SHRNUTÍ</w:t>
                            </w:r>
                          </w:p>
                          <w:p w:rsidR="00F7495D" w:rsidRDefault="00F7495D" w14:paraId="1A4118E3" w14:textId="77777777">
                            <w:pPr>
                              <w:pStyle w:val="Nzev"/>
                              <w:ind w:left="142"/>
                            </w:pPr>
                          </w:p>
                          <w:p w:rsidR="00F7495D" w:rsidRDefault="00F7495D" w14:paraId="4E647556" w14:textId="77777777">
                            <w:pPr>
                              <w:pStyle w:val="Podnadpis"/>
                              <w:rPr>
                                <w:sz w:val="30"/>
                                <w:szCs w:val="30"/>
                              </w:rPr>
                            </w:pPr>
                          </w:p>
                          <w:p w:rsidR="00F7495D" w:rsidRDefault="00F7495D" w14:paraId="7EF638E8" w14:textId="77777777">
                            <w:pPr>
                              <w:pStyle w:val="Podnadpis"/>
                            </w:pPr>
                            <w:r>
                              <w:t>analytická část</w:t>
                            </w:r>
                          </w:p>
                          <w:p w:rsidR="00F7495D" w:rsidRDefault="00F7495D" w14:paraId="46F22639" w14:textId="77777777">
                            <w:pPr>
                              <w:pStyle w:val="Normlnweb"/>
                              <w:shd w:val="clear" w:color="auto" w:fill="FFFFFF"/>
                              <w:spacing w:before="0" w:after="0"/>
                              <w:rPr>
                                <w:rFonts w:ascii="Calibri" w:hAnsi="Calibri" w:cs="Calibri"/>
                                <w:b w:val="0"/>
                                <w:color w:val="082A75"/>
                                <w:szCs w:val="22"/>
                              </w:rPr>
                            </w:pPr>
                          </w:p>
                        </w:txbxContent>
                      </v:textbox>
                    </v:shape>
                  </w:pict>
                </mc:Fallback>
              </mc:AlternateContent>
            </w:r>
          </w:p>
        </w:tc>
      </w:tr>
      <w:tr w:rsidR="00CC62A5" w14:paraId="38284D41" w14:textId="77777777" w:rsidTr="0000220C">
        <w:trPr>
          <w:trHeight w:val="2438"/>
        </w:trPr>
        <w:tc>
          <w:tcPr>
            <w:tcW w:w="5580" w:type="dxa"/>
            <w:shd w:val="clear" w:color="auto" w:fill="auto"/>
            <w:tcMar>
              <w:top w:w="0" w:type="dxa"/>
              <w:left w:w="0" w:type="dxa"/>
              <w:bottom w:w="0" w:type="dxa"/>
              <w:right w:w="0" w:type="dxa"/>
            </w:tcMar>
          </w:tcPr>
          <w:p w14:paraId="61665540" w14:textId="77777777" w:rsidR="00CC62A5" w:rsidRDefault="00CC62A5" w:rsidP="00090FBE">
            <w:pPr>
              <w:spacing w:before="120" w:after="0"/>
            </w:pPr>
          </w:p>
          <w:p w14:paraId="2DE1528A" w14:textId="77777777" w:rsidR="00CC62A5" w:rsidRDefault="00CC62A5" w:rsidP="00090FBE">
            <w:pPr>
              <w:spacing w:before="120" w:after="0"/>
              <w:rPr>
                <w:sz w:val="10"/>
                <w:szCs w:val="10"/>
              </w:rPr>
            </w:pPr>
          </w:p>
        </w:tc>
      </w:tr>
    </w:tbl>
    <w:p w14:paraId="7D287746" w14:textId="34CD830C" w:rsidR="00CC62A5" w:rsidRDefault="00CD29A0" w:rsidP="00090FBE">
      <w:pPr>
        <w:spacing w:before="120" w:after="0"/>
      </w:pPr>
      <w:r>
        <w:rPr>
          <w:noProof/>
          <w:lang w:eastAsia="cs-CZ"/>
        </w:rPr>
        <w:drawing>
          <wp:anchor distT="0" distB="0" distL="114300" distR="114300" simplePos="0" relativeHeight="251658240" behindDoc="1" locked="0" layoutInCell="1" allowOverlap="1" wp14:anchorId="4A6AF826" wp14:editId="112FD444">
            <wp:simplePos x="0" y="0"/>
            <wp:positionH relativeFrom="column">
              <wp:posOffset>391795</wp:posOffset>
            </wp:positionH>
            <wp:positionV relativeFrom="page">
              <wp:posOffset>1619250</wp:posOffset>
            </wp:positionV>
            <wp:extent cx="6062345" cy="4643120"/>
            <wp:effectExtent l="0" t="0" r="0" b="5080"/>
            <wp:wrapNone/>
            <wp:docPr id="5"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0" y="0"/>
                      <a:ext cx="6062345" cy="464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220C">
        <w:rPr>
          <w:b/>
          <w:noProof/>
          <w:sz w:val="80"/>
          <w:szCs w:val="80"/>
          <w:lang w:eastAsia="cs-CZ"/>
        </w:rPr>
        <w:br w:type="textWrapping" w:clear="all"/>
      </w:r>
      <w:r w:rsidR="00DB06CE">
        <w:rPr>
          <w:noProof/>
          <w:lang w:eastAsia="cs-CZ"/>
        </w:rPr>
        <mc:AlternateContent>
          <mc:Choice Requires="wps">
            <w:drawing>
              <wp:anchor distT="0" distB="0" distL="114300" distR="114300" simplePos="0" relativeHeight="251659264" behindDoc="1" locked="0" layoutInCell="1" allowOverlap="1" wp14:anchorId="1256D084" wp14:editId="278A2056">
                <wp:simplePos x="0" y="0"/>
                <wp:positionH relativeFrom="column">
                  <wp:posOffset>-743215</wp:posOffset>
                </wp:positionH>
                <wp:positionV relativeFrom="page">
                  <wp:posOffset>6208986</wp:posOffset>
                </wp:positionV>
                <wp:extent cx="7760970" cy="4487546"/>
                <wp:effectExtent l="0" t="0" r="0" b="8254"/>
                <wp:wrapNone/>
                <wp:docPr id="7" name="Obdélník 2" descr="barevný obdélník"/>
                <wp:cNvGraphicFramePr/>
                <a:graphic xmlns:a="http://schemas.openxmlformats.org/drawingml/2006/main">
                  <a:graphicData uri="http://schemas.microsoft.com/office/word/2010/wordprocessingShape">
                    <wps:wsp>
                      <wps:cNvSpPr/>
                      <wps:spPr>
                        <a:xfrm>
                          <a:off x="0" y="0"/>
                          <a:ext cx="7760970" cy="4487546"/>
                        </a:xfrm>
                        <a:prstGeom prst="rect">
                          <a:avLst/>
                        </a:prstGeom>
                        <a:solidFill>
                          <a:srgbClr val="FFFFFF"/>
                        </a:solidFill>
                        <a:ln cap="flat">
                          <a:noFill/>
                          <a:prstDash val="solid"/>
                        </a:ln>
                      </wps:spPr>
                      <wps:bodyPr lIns="0" tIns="0" rIns="0" bIns="0"/>
                    </wps:wsp>
                  </a:graphicData>
                </a:graphic>
              </wp:anchor>
            </w:drawing>
          </mc:Choice>
          <mc:Fallback xmlns:w16du="http://schemas.microsoft.com/office/word/2023/wordml/word16du" xmlns:c="http://schemas.openxmlformats.org/drawingml/2006/chart" xmlns:a14="http://schemas.microsoft.com/office/drawing/2010/main" xmlns:pic="http://schemas.openxmlformats.org/drawingml/2006/picture" xmlns:a="http://schemas.openxmlformats.org/drawingml/2006/main">
            <w:pict>
              <v:rect id="Obdélník 2" style="position:absolute;margin-left:-58.5pt;margin-top:488.9pt;width:611.1pt;height:353.35pt;z-index:-251657216;visibility:visible;mso-wrap-style:square;mso-wrap-distance-left:9pt;mso-wrap-distance-top:0;mso-wrap-distance-right:9pt;mso-wrap-distance-bottom:0;mso-position-horizontal:absolute;mso-position-horizontal-relative:text;mso-position-vertical:absolute;mso-position-vertical-relative:page;v-text-anchor:top" alt="barevný obdélník" o:spid="_x0000_s1026" stroked="f" w14:anchorId="49F2F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">
                <v:textbox inset="0,0,0,0"/>
                <w10:wrap anchory="page"/>
              </v:rect>
            </w:pict>
          </mc:Fallback>
        </mc:AlternateContent>
      </w:r>
    </w:p>
    <w:p w14:paraId="1474AF45" w14:textId="77777777" w:rsidR="00CC62A5" w:rsidRDefault="007D4202" w:rsidP="00090FBE">
      <w:pPr>
        <w:pStyle w:val="Nadpis1"/>
        <w:spacing w:before="120" w:after="0"/>
        <w:rPr>
          <w:lang w:bidi="cs-CZ"/>
        </w:rPr>
      </w:pPr>
      <w:bookmarkStart w:id="0" w:name="_Toc168312282"/>
      <w:bookmarkStart w:id="1" w:name="_Toc168313739"/>
      <w:bookmarkStart w:id="2" w:name="_Toc169114130"/>
      <w:r>
        <w:rPr>
          <w:b w:val="0"/>
          <w:noProof/>
          <w:sz w:val="80"/>
          <w:szCs w:val="80"/>
          <w:lang w:eastAsia="cs-CZ"/>
        </w:rPr>
        <w:drawing>
          <wp:anchor distT="0" distB="0" distL="114300" distR="114300" simplePos="0" relativeHeight="251666432" behindDoc="0" locked="0" layoutInCell="1" allowOverlap="1" wp14:anchorId="7907488C" wp14:editId="277723BD">
            <wp:simplePos x="0" y="0"/>
            <wp:positionH relativeFrom="margin">
              <wp:align>left</wp:align>
            </wp:positionH>
            <wp:positionV relativeFrom="margin">
              <wp:align>bottom</wp:align>
            </wp:positionV>
            <wp:extent cx="2340000" cy="630940"/>
            <wp:effectExtent l="0" t="0" r="3175" b="0"/>
            <wp:wrapSquare wrapText="bothSides"/>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40000" cy="630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bookmarkEnd w:id="0"/>
      <w:bookmarkEnd w:id="1"/>
      <w:bookmarkEnd w:id="2"/>
    </w:p>
    <w:p w14:paraId="549FE842" w14:textId="28213AA5" w:rsidR="0065063C" w:rsidRDefault="00DD3E26" w:rsidP="0065063C">
      <w:pPr>
        <w:spacing w:before="120" w:after="0"/>
        <w:rPr>
          <w:lang w:bidi="cs-CZ"/>
        </w:rPr>
      </w:pPr>
      <w:r>
        <w:rPr>
          <w:lang w:bidi="cs-CZ"/>
        </w:rPr>
        <w:br w:type="page"/>
      </w:r>
      <w:r w:rsidR="0065063C">
        <w:t xml:space="preserve">Bydlení je zásadní podmínkou uspokojení životních potřeb člověka. </w:t>
      </w:r>
      <w:r w:rsidR="0065063C">
        <w:rPr>
          <w:lang w:bidi="cs-CZ"/>
        </w:rPr>
        <w:t>V České republice</w:t>
      </w:r>
      <w:r w:rsidR="0065063C" w:rsidRPr="0065063C">
        <w:rPr>
          <w:lang w:bidi="cs-CZ"/>
        </w:rPr>
        <w:t xml:space="preserve"> během posledních desetiletí přešla odpovědnost za zajištění bydlení ze státu na jednotlivce. Tato změna </w:t>
      </w:r>
      <w:r w:rsidR="0065063C">
        <w:rPr>
          <w:lang w:bidi="cs-CZ"/>
        </w:rPr>
        <w:t xml:space="preserve">sice </w:t>
      </w:r>
      <w:r w:rsidR="0065063C" w:rsidRPr="0065063C">
        <w:rPr>
          <w:lang w:bidi="cs-CZ"/>
        </w:rPr>
        <w:t>nabízí občanům širokou škálu možností výběru bydlení, ale zároveň přináší nové problémy. Mezi ně patří například nedostupnost stabilního a kvalitního bydlení pro některé s</w:t>
      </w:r>
      <w:r w:rsidR="0065063C">
        <w:rPr>
          <w:lang w:bidi="cs-CZ"/>
        </w:rPr>
        <w:t>kupiny obyvatel, růst sociální distance</w:t>
      </w:r>
      <w:r w:rsidR="0065063C" w:rsidRPr="0065063C">
        <w:rPr>
          <w:lang w:bidi="cs-CZ"/>
        </w:rPr>
        <w:t xml:space="preserve"> v důsledku vzniku vyloučených a </w:t>
      </w:r>
      <w:r w:rsidR="0065063C">
        <w:rPr>
          <w:lang w:bidi="cs-CZ"/>
        </w:rPr>
        <w:t xml:space="preserve">naopak </w:t>
      </w:r>
      <w:r w:rsidR="0065063C" w:rsidRPr="0065063C">
        <w:rPr>
          <w:lang w:bidi="cs-CZ"/>
        </w:rPr>
        <w:t xml:space="preserve">gentrifikovaných </w:t>
      </w:r>
      <w:r w:rsidR="0065063C">
        <w:rPr>
          <w:lang w:bidi="cs-CZ"/>
        </w:rPr>
        <w:t>lokalit</w:t>
      </w:r>
      <w:r w:rsidR="0065063C" w:rsidRPr="0065063C">
        <w:rPr>
          <w:lang w:bidi="cs-CZ"/>
        </w:rPr>
        <w:t xml:space="preserve">, zadlužování zejména mladých rodin při nákupu vlastního bydlení a nárůst bezdomovectví. Dostupnost bydlení dále komplikuje rostoucí počet jednočlenných domácností, což je způsobeno stárnutím populace a přibýváním ovdovělých seniorů, fenoménem </w:t>
      </w:r>
      <w:proofErr w:type="spellStart"/>
      <w:r w:rsidR="0065063C" w:rsidRPr="0065063C">
        <w:rPr>
          <w:lang w:bidi="cs-CZ"/>
        </w:rPr>
        <w:t>singles</w:t>
      </w:r>
      <w:proofErr w:type="spellEnd"/>
      <w:r w:rsidR="0065063C" w:rsidRPr="0065063C">
        <w:rPr>
          <w:lang w:bidi="cs-CZ"/>
        </w:rPr>
        <w:t xml:space="preserve">, </w:t>
      </w:r>
      <w:r w:rsidR="0065063C">
        <w:rPr>
          <w:lang w:bidi="cs-CZ"/>
        </w:rPr>
        <w:t xml:space="preserve">ale i </w:t>
      </w:r>
      <w:r w:rsidR="0065063C" w:rsidRPr="0065063C">
        <w:rPr>
          <w:lang w:bidi="cs-CZ"/>
        </w:rPr>
        <w:t xml:space="preserve">vysokým počtem rozvodů a rozchodů, a tedy potřebou odcházejícího partnera zajistit si nové bydlení. V posledních letech se do popředí veřejného diskurzu dostává i téma samostatného bydlení pro osoby s různými handicapy, které dříve žily v ústavních zařízeních nebo s původní rodinou. Navíc v České republice mírně, ale </w:t>
      </w:r>
      <w:r w:rsidR="0065063C">
        <w:rPr>
          <w:lang w:bidi="cs-CZ"/>
        </w:rPr>
        <w:t xml:space="preserve">přesto </w:t>
      </w:r>
      <w:r w:rsidR="0065063C" w:rsidRPr="0065063C">
        <w:rPr>
          <w:lang w:bidi="cs-CZ"/>
        </w:rPr>
        <w:t>vytrvale roste počet obyvatel díky mezinárodní migraci. Tlak na nabídku bydlení se v některých městech a regionech zvyšuje i kvůli vnitřní migraci obyvatel za studiem či prací. Očekává se tedy, že poptávka po bydlení bude i nadále stoupat.</w:t>
      </w:r>
    </w:p>
    <w:p w14:paraId="2EE211D2" w14:textId="77777777" w:rsidR="00DA1F59" w:rsidRDefault="00DA1F59" w:rsidP="00DA1F59">
      <w:pPr>
        <w:spacing w:before="120" w:after="0"/>
      </w:pPr>
      <w:r>
        <w:t>Možnosti uspokojení potřeby bydlení nejsou pro všechny jednotlivce a skupiny stejné; závisí na jejich ekonomickém a sociálním postavení, zdravotním stavu a věku. Snahu poskytnout těmto jednotlivcům a skupinám pomoc komplikují zejména dvě skutečnosti:</w:t>
      </w:r>
    </w:p>
    <w:p w14:paraId="31D27E3B" w14:textId="77777777" w:rsidR="00DA1F59" w:rsidRDefault="00DA1F59" w:rsidP="00DA1F59">
      <w:pPr>
        <w:pStyle w:val="Odstavecseseznamem"/>
        <w:numPr>
          <w:ilvl w:val="0"/>
          <w:numId w:val="46"/>
        </w:numPr>
        <w:spacing w:before="120" w:after="0"/>
      </w:pPr>
      <w:r>
        <w:t>Stát a obce často nemají dostatečně velký bytový fond, který by mohly nabídnout, a stav některých nemovitostí určených k bydlení je neuspokojivý. Změna této situace (výstavba nového státního či obecního bydlení, opravy a údržba stávajícího bydlení) vyžaduje vysoké počáteční investice a kvalitní plánování založené na ekonomických, sociologických a demografických datech.</w:t>
      </w:r>
    </w:p>
    <w:p w14:paraId="73416836" w14:textId="77777777" w:rsidR="00DA1F59" w:rsidRDefault="00DA1F59" w:rsidP="00DA1F59">
      <w:pPr>
        <w:pStyle w:val="Odstavecseseznamem"/>
        <w:numPr>
          <w:ilvl w:val="0"/>
          <w:numId w:val="46"/>
        </w:numPr>
        <w:spacing w:before="120" w:after="0"/>
      </w:pPr>
      <w:r>
        <w:t>Druhou komplikací je přetrvávající přesvědčení značné části české společnosti, že primární odpovědnost za zajištění bydlení leží na jednotlivcích.</w:t>
      </w:r>
    </w:p>
    <w:p w14:paraId="2EA0F6A1" w14:textId="1BC0F51C" w:rsidR="00CC62A5" w:rsidRDefault="00DA1F59" w:rsidP="00B750BC">
      <w:pPr>
        <w:spacing w:before="120" w:after="0"/>
      </w:pPr>
      <w:r w:rsidRPr="00DA1F59">
        <w:t>Dostupnost stabilního a kvalitního bydlení nejen pomáhá řešit a předcházet tíživým sociálním a ekonomickým situacím jednotlivců a rodin, ale je také klíčová pro udržení demokratického systému. Výzkumy a pohledy na historické i současné události ukazují, že příznivá socioekonomická situace společnosti je nezbytná pro podporu a stabilitu demokracie.</w:t>
      </w:r>
      <w:r w:rsidR="00DB06CE">
        <w:t xml:space="preserve"> </w:t>
      </w:r>
    </w:p>
    <w:p w14:paraId="1494A799" w14:textId="556A99C0" w:rsidR="00DA1F59" w:rsidRDefault="00DA1F59" w:rsidP="00DA1F59">
      <w:pPr>
        <w:spacing w:before="120" w:after="0"/>
      </w:pPr>
      <w:bookmarkStart w:id="3" w:name="_Toc158788427"/>
      <w:r>
        <w:t>Úlohu obcí v bytové politice upravuje Zákon č. 128/2000 Sb., o obcích (obecní zřízení), ve znění pozdějších předpisů. Tento zákon stanovuje, že „obec v samostatné působnosti ve svém územním obvodu dále pečuje v souladu s místními předpoklady a s místními zvyklostmi o vytváření podmínek pro rozvoj sociální péče a pro uspokojování potřeb svých občanů. Jde především o uspokojování potřeby bydlení, ochrany a rozvoje zdraví, dopravy a spojů, potřeby informací, výchovy a vzdělávání, celkového kulturního rozvoje a ochrany veřejného pořádku“</w:t>
      </w:r>
      <w:r>
        <w:rPr>
          <w:rStyle w:val="Znakapoznpodarou"/>
        </w:rPr>
        <w:footnoteReference w:id="1"/>
      </w:r>
      <w:r>
        <w:t>. Dále zákon uvádí, že „obec je povinna pečovat o zachování a rozvoj svého majetku“</w:t>
      </w:r>
      <w:r>
        <w:rPr>
          <w:rStyle w:val="Znakapoznpodarou"/>
        </w:rPr>
        <w:footnoteReference w:id="2"/>
      </w:r>
      <w:r>
        <w:t>. Zákon tedy neukládá obcím povinnost zajišťovat bydlení. Nicméně, bytový fond ve vlastnictví obce jim umožňuje ovlivňovat sociální rozvoj, a to buď:</w:t>
      </w:r>
    </w:p>
    <w:p w14:paraId="43BD380B" w14:textId="0287FE31" w:rsidR="00DA1F59" w:rsidRDefault="00DA1F59" w:rsidP="00DA1F59">
      <w:pPr>
        <w:pStyle w:val="Odstavecseseznamem"/>
        <w:numPr>
          <w:ilvl w:val="0"/>
          <w:numId w:val="47"/>
        </w:numPr>
        <w:spacing w:before="120" w:after="0"/>
      </w:pPr>
      <w:r>
        <w:t>příznivě (pronájmem bytů představitelům určitých profesí či znevýhodněným skupinám, případně vhodně doplněným sociálním programem), nebo</w:t>
      </w:r>
    </w:p>
    <w:p w14:paraId="49CA00E5" w14:textId="3CC7572E" w:rsidR="00DA1F59" w:rsidRDefault="00DA1F59" w:rsidP="00DA1F59">
      <w:pPr>
        <w:pStyle w:val="Odstavecseseznamem"/>
        <w:numPr>
          <w:ilvl w:val="0"/>
          <w:numId w:val="47"/>
        </w:numPr>
        <w:spacing w:before="120" w:after="0"/>
      </w:pPr>
      <w:r>
        <w:t>nepříznivě (vytvářením ghett nebo exkluzivních lokalit, finančně výhodným pronájmem osobám, které to nepotřebují, kupčením s byty apod.).</w:t>
      </w:r>
    </w:p>
    <w:p w14:paraId="4E308C96" w14:textId="1F6A4736" w:rsidR="0063693C" w:rsidRPr="00C24104" w:rsidRDefault="00DA1F59" w:rsidP="00DA1F59">
      <w:r>
        <w:t xml:space="preserve">Mnohé průzkumy ukazují, že patříme mezi země s nejméně dostupným bydlením. Na tuto skutečnost reaguje připravovaný zákon o podpoře bydlení, jehož přijetí si současná vláda stanovila ve svém programovém prohlášení. </w:t>
      </w:r>
      <w:r w:rsidRPr="00C24104">
        <w:t xml:space="preserve">Návrh tohoto zákona byl schválen vládou 12. června 2024. Podle odhadů se v ČR nachází 154 000 osob ve stavu bytové nouze. Schválení zákona by mohlo znamenat, že některá z jeho opatření budou realizována již v roce 2025. </w:t>
      </w:r>
      <w:r w:rsidR="0063693C" w:rsidRPr="00C24104">
        <w:t>Zákon stojí na třech hlavních pilířích</w:t>
      </w:r>
      <w:r w:rsidR="00AA5504" w:rsidRPr="00C24104">
        <w:t xml:space="preserve"> shrnutých v</w:t>
      </w:r>
      <w:r w:rsidR="00892DB0" w:rsidRPr="00C24104">
        <w:t> </w:t>
      </w:r>
      <w:r w:rsidR="00AA5504" w:rsidRPr="00C24104">
        <w:t>tabulce</w:t>
      </w:r>
      <w:r w:rsidR="00892DB0" w:rsidRPr="00C24104">
        <w:t xml:space="preserve"> 1.</w:t>
      </w:r>
      <w:r w:rsidR="0063693C" w:rsidRPr="00C24104">
        <w:t xml:space="preserve"> </w:t>
      </w:r>
    </w:p>
    <w:p w14:paraId="378E2671" w14:textId="0FB1E975" w:rsidR="0063693C" w:rsidRPr="00C24104" w:rsidRDefault="0063693C" w:rsidP="00B55FDE">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w:t>
      </w:r>
      <w:r w:rsidR="009C7E3F" w:rsidRPr="00C24104">
        <w:rPr>
          <w:noProof/>
        </w:rPr>
        <w:fldChar w:fldCharType="end"/>
      </w:r>
      <w:r w:rsidRPr="00C24104">
        <w:t>: Tři pilíře podpory dostupného bydlení navrhované v připravovaném zákoně o podpoře bydlení</w:t>
      </w:r>
    </w:p>
    <w:tbl>
      <w:tblPr>
        <w:tblStyle w:val="Tabulkasmkou4zvraznn3"/>
        <w:tblW w:w="10060" w:type="dxa"/>
        <w:tblLook w:val="04A0" w:firstRow="1" w:lastRow="0" w:firstColumn="1" w:lastColumn="0" w:noHBand="0" w:noVBand="1"/>
      </w:tblPr>
      <w:tblGrid>
        <w:gridCol w:w="10060"/>
      </w:tblGrid>
      <w:tr w:rsidR="00B75775" w:rsidRPr="00C24104" w14:paraId="58F26339" w14:textId="77777777" w:rsidTr="00B7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90B7E20" w14:textId="7F2CFCCE" w:rsidR="00B75775" w:rsidRPr="00C24104" w:rsidRDefault="00B75775" w:rsidP="005D33F5">
            <w:pPr>
              <w:rPr>
                <w:rFonts w:asciiTheme="majorHAnsi" w:hAnsiTheme="majorHAnsi" w:cstheme="majorHAnsi"/>
                <w:b w:val="0"/>
                <w:bCs w:val="0"/>
              </w:rPr>
            </w:pPr>
            <w:r w:rsidRPr="00C24104">
              <w:rPr>
                <w:rFonts w:asciiTheme="majorHAnsi" w:hAnsiTheme="majorHAnsi" w:cstheme="majorHAnsi"/>
                <w:b w:val="0"/>
                <w:bCs w:val="0"/>
              </w:rPr>
              <w:t>PILÍŘE PODPORY DOSTUPNÉHO BYDLENÍ</w:t>
            </w:r>
          </w:p>
        </w:tc>
      </w:tr>
      <w:tr w:rsidR="0063693C" w:rsidRPr="00C24104" w14:paraId="4A43A70B" w14:textId="77777777" w:rsidTr="00B7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3658F9F" w14:textId="7369ADA3" w:rsidR="0063693C" w:rsidRPr="00C24104" w:rsidRDefault="0063693C" w:rsidP="00553687">
            <w:pPr>
              <w:rPr>
                <w:rFonts w:asciiTheme="majorHAnsi" w:hAnsiTheme="majorHAnsi" w:cstheme="majorHAnsi"/>
                <w:b w:val="0"/>
                <w:bCs w:val="0"/>
              </w:rPr>
            </w:pPr>
            <w:r w:rsidRPr="00C24104">
              <w:rPr>
                <w:rFonts w:asciiTheme="majorHAnsi" w:hAnsiTheme="majorHAnsi" w:cstheme="majorHAnsi"/>
                <w:b w:val="0"/>
                <w:bCs w:val="0"/>
              </w:rPr>
              <w:t xml:space="preserve">I. Zřízení kontaktních míst pro bydlení v každé ORP, jejichž smyslem bude poskytovat poradenství v oblasti (zprostředkovávání) bydlení jak u obecních, tak u soukromých bytů, </w:t>
            </w:r>
            <w:r w:rsidR="00553687" w:rsidRPr="00C24104">
              <w:rPr>
                <w:rFonts w:asciiTheme="majorHAnsi" w:hAnsiTheme="majorHAnsi" w:cstheme="majorHAnsi"/>
                <w:b w:val="0"/>
                <w:bCs w:val="0"/>
              </w:rPr>
              <w:t>v současnosti totiž funguje pouze</w:t>
            </w:r>
            <w:r w:rsidRPr="00C24104">
              <w:rPr>
                <w:rFonts w:asciiTheme="majorHAnsi" w:hAnsiTheme="majorHAnsi" w:cstheme="majorHAnsi"/>
                <w:b w:val="0"/>
                <w:bCs w:val="0"/>
              </w:rPr>
              <w:t xml:space="preserve"> 24 kontaktních míst.</w:t>
            </w:r>
          </w:p>
        </w:tc>
      </w:tr>
      <w:tr w:rsidR="0063693C" w:rsidRPr="00C24104" w14:paraId="730CEA62" w14:textId="77777777" w:rsidTr="00B75775">
        <w:tc>
          <w:tcPr>
            <w:cnfStyle w:val="001000000000" w:firstRow="0" w:lastRow="0" w:firstColumn="1" w:lastColumn="0" w:oddVBand="0" w:evenVBand="0" w:oddHBand="0" w:evenHBand="0" w:firstRowFirstColumn="0" w:firstRowLastColumn="0" w:lastRowFirstColumn="0" w:lastRowLastColumn="0"/>
            <w:tcW w:w="10060" w:type="dxa"/>
          </w:tcPr>
          <w:p w14:paraId="206C3A7F" w14:textId="77777777" w:rsidR="0063693C" w:rsidRPr="00C24104" w:rsidRDefault="0063693C" w:rsidP="005D33F5">
            <w:pPr>
              <w:rPr>
                <w:rFonts w:asciiTheme="majorHAnsi" w:hAnsiTheme="majorHAnsi" w:cstheme="majorHAnsi"/>
                <w:b w:val="0"/>
                <w:bCs w:val="0"/>
              </w:rPr>
            </w:pPr>
            <w:r w:rsidRPr="00C24104">
              <w:rPr>
                <w:rFonts w:asciiTheme="majorHAnsi" w:hAnsiTheme="majorHAnsi" w:cstheme="majorHAnsi"/>
                <w:b w:val="0"/>
                <w:bCs w:val="0"/>
              </w:rPr>
              <w:t>II. Vytvoření systému garantovaného bydlení, díky kterému se obce ani soukromí majitelé bytů nebudou muset obávat ztrát způsobených v důsledku neplacení nájemného či ničení bytového fondu, podpoření výstavbu a rekonstrukce bytů díky dotačních programů MMR ČR,</w:t>
            </w:r>
          </w:p>
        </w:tc>
      </w:tr>
      <w:tr w:rsidR="0063693C" w:rsidRPr="00C24104" w14:paraId="0170BC50" w14:textId="77777777" w:rsidTr="00B7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188A00C" w14:textId="69543838" w:rsidR="0063693C" w:rsidRPr="00C24104" w:rsidRDefault="0063693C" w:rsidP="005D33F5">
            <w:pPr>
              <w:rPr>
                <w:rFonts w:asciiTheme="majorHAnsi" w:hAnsiTheme="majorHAnsi" w:cstheme="majorHAnsi"/>
                <w:b w:val="0"/>
                <w:bCs w:val="0"/>
              </w:rPr>
            </w:pPr>
            <w:r w:rsidRPr="00C24104">
              <w:rPr>
                <w:rFonts w:asciiTheme="majorHAnsi" w:hAnsiTheme="majorHAnsi" w:cstheme="majorHAnsi"/>
                <w:b w:val="0"/>
                <w:bCs w:val="0"/>
              </w:rPr>
              <w:t xml:space="preserve">III. Zajištění služeb asistence v bydlení, jehož smyslem je podpora </w:t>
            </w:r>
            <w:r w:rsidR="00553687" w:rsidRPr="00C24104">
              <w:rPr>
                <w:rFonts w:asciiTheme="majorHAnsi" w:hAnsiTheme="majorHAnsi" w:cstheme="majorHAnsi"/>
                <w:b w:val="0"/>
                <w:bCs w:val="0"/>
              </w:rPr>
              <w:t>udržení vyhovujícího bydlení</w:t>
            </w:r>
            <w:r w:rsidRPr="00C24104">
              <w:rPr>
                <w:rFonts w:asciiTheme="majorHAnsi" w:hAnsiTheme="majorHAnsi" w:cstheme="majorHAnsi"/>
                <w:b w:val="0"/>
                <w:bCs w:val="0"/>
              </w:rPr>
              <w:t>.</w:t>
            </w:r>
          </w:p>
        </w:tc>
      </w:tr>
    </w:tbl>
    <w:p w14:paraId="3C72385A" w14:textId="189EF5BB" w:rsidR="0063693C" w:rsidRPr="00C24104" w:rsidRDefault="0063693C" w:rsidP="00EC4100">
      <w:pPr>
        <w:spacing w:before="120"/>
      </w:pPr>
      <w:r w:rsidRPr="00C24104">
        <w:t xml:space="preserve">Význam zákona o podpoře bydlení je přitom </w:t>
      </w:r>
      <w:r w:rsidR="00892DB0" w:rsidRPr="00C24104">
        <w:t>i</w:t>
      </w:r>
      <w:r w:rsidRPr="00C24104">
        <w:t xml:space="preserve"> preventivní. </w:t>
      </w:r>
      <w:r w:rsidR="00553687" w:rsidRPr="00C24104">
        <w:t xml:space="preserve">Podle Ministerstva pro místní rozvoj ČR a Ministerstva práce a sociálních věcí ČR by s jeho pomocí bylo možné mimo jiné lépe předcházet kriminalitě, odebírání dětí z rodin, nízkému dosaženému vzdělání, závislostnímu chování a dalším patologickým jevům spojeným s nevyhovujícím či nestabilním bydlením. </w:t>
      </w:r>
      <w:r w:rsidR="00892DB0" w:rsidRPr="00C24104">
        <w:t>Tato prevence by přitom současně mohla vést k podstatným úsporám státního rozpočtu, který by ušetřil na výdajích, které boj s uvedenými patologiemi vyžaduje.</w:t>
      </w:r>
    </w:p>
    <w:p w14:paraId="5D30CF98" w14:textId="76ABECF6" w:rsidR="0063693C" w:rsidRPr="00C24104" w:rsidRDefault="00B934B2" w:rsidP="00371CF4">
      <w:pPr>
        <w:spacing w:before="120" w:after="0"/>
      </w:pPr>
      <w:bookmarkStart w:id="4" w:name="_Hlk169112015"/>
      <w:bookmarkEnd w:id="3"/>
      <w:r w:rsidRPr="00C24104">
        <w:rPr>
          <w:i/>
          <w:iCs/>
        </w:rPr>
        <w:t>Souhrnn</w:t>
      </w:r>
      <w:r w:rsidR="009378A6" w:rsidRPr="00C24104">
        <w:rPr>
          <w:i/>
          <w:iCs/>
        </w:rPr>
        <w:t>é</w:t>
      </w:r>
      <w:r w:rsidRPr="00C24104">
        <w:rPr>
          <w:i/>
          <w:iCs/>
        </w:rPr>
        <w:t xml:space="preserve"> analýz</w:t>
      </w:r>
      <w:r w:rsidR="009378A6" w:rsidRPr="00C24104">
        <w:rPr>
          <w:i/>
          <w:iCs/>
        </w:rPr>
        <w:t>y</w:t>
      </w:r>
      <w:r w:rsidRPr="00C24104">
        <w:rPr>
          <w:i/>
          <w:iCs/>
        </w:rPr>
        <w:t xml:space="preserve"> pravidel přidělování a dostupnosti bytů v Moravskoslezském kraji</w:t>
      </w:r>
      <w:r w:rsidRPr="00C24104">
        <w:t xml:space="preserve"> (dále pouze „</w:t>
      </w:r>
      <w:r w:rsidR="0063693C" w:rsidRPr="00C24104">
        <w:t>Analýza</w:t>
      </w:r>
      <w:r w:rsidRPr="00C24104">
        <w:t>“)</w:t>
      </w:r>
      <w:r w:rsidR="0063693C" w:rsidRPr="00C24104">
        <w:t xml:space="preserve"> představuj</w:t>
      </w:r>
      <w:r w:rsidR="009378A6" w:rsidRPr="00C24104">
        <w:t>í</w:t>
      </w:r>
      <w:r w:rsidR="0063693C" w:rsidRPr="00C24104">
        <w:t xml:space="preserve"> přehled způsobů, mechanismů a trendů v oblasti pronájmu bytů ve vlastnictví samospráv na úrovni obcí s pověřeným obecním úřadem, obcí s rozšířenou působností a u majoritního poskytovatele nájemního bydlení v Moravskoslezském kraji</w:t>
      </w:r>
      <w:r w:rsidRPr="00C24104">
        <w:t xml:space="preserve"> (dále MSK)</w:t>
      </w:r>
      <w:r w:rsidR="0063693C" w:rsidRPr="00C24104">
        <w:t>, společnosti Heimstaden Czech s.r.o.</w:t>
      </w:r>
      <w:r w:rsidRPr="00C24104">
        <w:t xml:space="preserve"> (dále pouze „Heimstaden“).</w:t>
      </w:r>
      <w:r w:rsidR="0063693C" w:rsidRPr="00C24104">
        <w:t xml:space="preserve"> </w:t>
      </w:r>
      <w:r w:rsidR="00371CF4" w:rsidRPr="00C24104">
        <w:t>Analýza se zaměřuje na porovnání pravidel distribuce pronájmů a identifikaci externalit, které mohou pozitivně či negativně ovlivnit vyřízení žádosti o pronájem bydlení a dobu potřebnou k jejímu vyřízení. Zabývá se také mechanismy revokace využitelnými v případě negativního rozhodnutí o poskytnutí pronájmu. Součástí analýzy je popis vývoje objemu disponibilního nájemního bytového fondu na území samospráv za posledních deset let, kvantifikace ročně distribuovaných nájemních bytů, popis nejčastějších problémů v této oblasti a identifikace, charakteristika a kvantifikace případného rozdělení nájemních bytů do kategorií podle zvláštního určení (např. služební byty). Cílem analýzy je rovněž zachytit velikost a charakter různých cílových skupin žadatelů, včetně specifických cílových skupin. Součástí analýzy je také přehled a komparace strategických materiálů obcí v oblasti bydlení.</w:t>
      </w:r>
    </w:p>
    <w:p w14:paraId="151593D9" w14:textId="420D840B" w:rsidR="00B7303E" w:rsidRPr="00C24104" w:rsidRDefault="00B7303E" w:rsidP="0063693C">
      <w:pPr>
        <w:spacing w:before="120" w:after="0"/>
      </w:pPr>
      <w:r w:rsidRPr="00C24104">
        <w:t>Požadavkem zadavatele bylo zvolit jako hlavní výzkumnou metodu sekundární analýza dat, v tomto případě dat z veřejně dostupných databází (viz výše). Sekundární analýza dat je metoda, při níž jsou vyhledávány již někde dostupné údaje, které nebyly primárně tvořeny za účelem analýzy, v níž jsou využity.</w:t>
      </w:r>
      <w:r w:rsidR="00106FA5" w:rsidRPr="00C24104">
        <w:t xml:space="preserve"> Tento přístup měl být dále doplněn kvalitativní sondou zaměřující se na popis typických situací při distribuci bytů. Po dohodě se zadavatelem byly pravidla distribuce bytů v jednotlivých obcích zjišťovány dotazníkovým šetřením. Při sekundární analýze dostupných materiálů týkajících se pravidel distribuce obecních bytů se totiž ukázalo, že jejich komparace by neposkytovala validní výstupy.</w:t>
      </w:r>
    </w:p>
    <w:p w14:paraId="14F007CF" w14:textId="08EE8D4C" w:rsidR="0063693C" w:rsidRPr="00C24104" w:rsidRDefault="0063693C" w:rsidP="0063693C">
      <w:pPr>
        <w:spacing w:before="120" w:after="0"/>
      </w:pPr>
      <w:r w:rsidRPr="00C24104">
        <w:t xml:space="preserve">Tabulka 2 uvádí kompletní seznam všech obcí s rozšířenou působností (dále ORP) a obcí s pověřeným obecním úřadem (dále </w:t>
      </w:r>
      <w:proofErr w:type="spellStart"/>
      <w:r w:rsidRPr="00C24104">
        <w:t>OsPOÚ</w:t>
      </w:r>
      <w:proofErr w:type="spellEnd"/>
      <w:r w:rsidRPr="00C24104">
        <w:t>) v M</w:t>
      </w:r>
      <w:r w:rsidR="00367AEB" w:rsidRPr="00C24104">
        <w:t>SK</w:t>
      </w:r>
      <w:r w:rsidRPr="00C24104">
        <w:t xml:space="preserve">. Požadavek zadavatele přitom byl zpracovat údaje právě v těchto obcích, v případě statutárních měst (dále SM) také v městských obvodech </w:t>
      </w:r>
      <w:r w:rsidR="00367AEB" w:rsidRPr="00C24104">
        <w:t xml:space="preserve">(dále </w:t>
      </w:r>
      <w:r w:rsidR="009E35F1" w:rsidRPr="00C24104">
        <w:t xml:space="preserve">též </w:t>
      </w:r>
      <w:r w:rsidR="00367AEB" w:rsidRPr="00C24104">
        <w:t>MO)</w:t>
      </w:r>
      <w:r w:rsidRPr="00C24104">
        <w:t xml:space="preserve">. Vzhledem k tomu, že agenda bydlení je řešena na úrovni </w:t>
      </w:r>
      <w:r w:rsidR="00367AEB" w:rsidRPr="00C24104">
        <w:t>MO</w:t>
      </w:r>
      <w:r w:rsidRPr="00C24104">
        <w:t xml:space="preserve"> pouze ve Statutárním městě Ostrava, byla zjišťována a analyzována data pouze za </w:t>
      </w:r>
      <w:r w:rsidR="00367AEB" w:rsidRPr="00C24104">
        <w:t>MO</w:t>
      </w:r>
      <w:r w:rsidRPr="00C24104">
        <w:t xml:space="preserve"> Ostravy. Tabulka 2 tedy uvádí výčet celkem 53 obcí – 22 ORP, z toho 6 SM, 8 </w:t>
      </w:r>
      <w:proofErr w:type="spellStart"/>
      <w:r w:rsidRPr="00C24104">
        <w:t>OsPOÚ</w:t>
      </w:r>
      <w:proofErr w:type="spellEnd"/>
      <w:r w:rsidRPr="00C24104">
        <w:t xml:space="preserve"> a 23 MO Ostravy.</w:t>
      </w:r>
    </w:p>
    <w:bookmarkEnd w:id="4"/>
    <w:p w14:paraId="5643D228" w14:textId="198655D1" w:rsidR="0063693C" w:rsidRPr="00C24104" w:rsidRDefault="0063693C" w:rsidP="00B55FDE">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2</w:t>
      </w:r>
      <w:r w:rsidR="009C7E3F" w:rsidRPr="00C24104">
        <w:rPr>
          <w:noProof/>
        </w:rPr>
        <w:fldChar w:fldCharType="end"/>
      </w:r>
      <w:r w:rsidRPr="00C24104">
        <w:t>: Výčet obcí, v nichž byla prováděna analýza</w:t>
      </w:r>
    </w:p>
    <w:tbl>
      <w:tblPr>
        <w:tblStyle w:val="Tmavtabulkasmkou5zvraznn3"/>
        <w:tblW w:w="10091" w:type="dxa"/>
        <w:tblLook w:val="0420" w:firstRow="1" w:lastRow="0" w:firstColumn="0" w:lastColumn="0" w:noHBand="0" w:noVBand="1"/>
      </w:tblPr>
      <w:tblGrid>
        <w:gridCol w:w="3628"/>
        <w:gridCol w:w="1417"/>
        <w:gridCol w:w="3628"/>
        <w:gridCol w:w="1418"/>
      </w:tblGrid>
      <w:tr w:rsidR="0063693C" w:rsidRPr="00C24104" w14:paraId="746D3073" w14:textId="77777777" w:rsidTr="005D33F5">
        <w:trPr>
          <w:cnfStyle w:val="100000000000" w:firstRow="1" w:lastRow="0" w:firstColumn="0" w:lastColumn="0" w:oddVBand="0" w:evenVBand="0" w:oddHBand="0" w:evenHBand="0" w:firstRowFirstColumn="0" w:firstRowLastColumn="0" w:lastRowFirstColumn="0" w:lastRowLastColumn="0"/>
          <w:trHeight w:val="300"/>
        </w:trPr>
        <w:tc>
          <w:tcPr>
            <w:tcW w:w="3628" w:type="dxa"/>
            <w:hideMark/>
          </w:tcPr>
          <w:p w14:paraId="02E229DE" w14:textId="77777777" w:rsidR="0063693C" w:rsidRPr="00C24104" w:rsidRDefault="0063693C" w:rsidP="005D33F5">
            <w:pPr>
              <w:jc w:val="left"/>
              <w:rPr>
                <w:rFonts w:asciiTheme="majorHAnsi" w:eastAsia="Times New Roman" w:hAnsiTheme="majorHAnsi" w:cstheme="majorHAnsi"/>
                <w:b w:val="0"/>
                <w:caps/>
                <w:szCs w:val="24"/>
                <w:lang w:eastAsia="cs-CZ"/>
              </w:rPr>
            </w:pPr>
            <w:r w:rsidRPr="00C24104">
              <w:rPr>
                <w:rFonts w:asciiTheme="majorHAnsi" w:eastAsia="Times New Roman" w:hAnsiTheme="majorHAnsi" w:cstheme="majorHAnsi"/>
                <w:b w:val="0"/>
                <w:caps/>
                <w:szCs w:val="24"/>
                <w:lang w:eastAsia="cs-CZ"/>
              </w:rPr>
              <w:t>NÁZEV OBCE</w:t>
            </w:r>
          </w:p>
        </w:tc>
        <w:tc>
          <w:tcPr>
            <w:tcW w:w="1417" w:type="dxa"/>
            <w:hideMark/>
          </w:tcPr>
          <w:p w14:paraId="396CDB40" w14:textId="77777777" w:rsidR="0063693C" w:rsidRPr="00C24104" w:rsidRDefault="0063693C" w:rsidP="005D33F5">
            <w:pPr>
              <w:jc w:val="left"/>
              <w:rPr>
                <w:rFonts w:asciiTheme="majorHAnsi" w:eastAsia="Times New Roman" w:hAnsiTheme="majorHAnsi" w:cstheme="majorHAnsi"/>
                <w:b w:val="0"/>
                <w:caps/>
                <w:szCs w:val="24"/>
                <w:lang w:eastAsia="cs-CZ"/>
              </w:rPr>
            </w:pPr>
            <w:r w:rsidRPr="00C24104">
              <w:rPr>
                <w:rFonts w:asciiTheme="majorHAnsi" w:eastAsia="Times New Roman" w:hAnsiTheme="majorHAnsi" w:cstheme="majorHAnsi"/>
                <w:b w:val="0"/>
                <w:caps/>
                <w:szCs w:val="24"/>
                <w:lang w:eastAsia="cs-CZ"/>
              </w:rPr>
              <w:t>kategorie</w:t>
            </w:r>
          </w:p>
        </w:tc>
        <w:tc>
          <w:tcPr>
            <w:tcW w:w="3628" w:type="dxa"/>
          </w:tcPr>
          <w:p w14:paraId="20240989" w14:textId="77777777" w:rsidR="0063693C" w:rsidRPr="00C24104" w:rsidRDefault="0063693C" w:rsidP="005D33F5">
            <w:pPr>
              <w:jc w:val="left"/>
              <w:rPr>
                <w:rFonts w:asciiTheme="majorHAnsi" w:eastAsia="Times New Roman" w:hAnsiTheme="majorHAnsi" w:cstheme="majorHAnsi"/>
                <w:b w:val="0"/>
                <w:bCs w:val="0"/>
                <w:color w:val="000000"/>
                <w:szCs w:val="24"/>
                <w:lang w:eastAsia="cs-CZ"/>
              </w:rPr>
            </w:pPr>
            <w:r w:rsidRPr="00C24104">
              <w:rPr>
                <w:rFonts w:asciiTheme="majorHAnsi" w:eastAsia="Times New Roman" w:hAnsiTheme="majorHAnsi" w:cstheme="majorHAnsi"/>
                <w:b w:val="0"/>
                <w:caps/>
                <w:szCs w:val="24"/>
                <w:lang w:eastAsia="cs-CZ"/>
              </w:rPr>
              <w:t>NÁZEV OBCE</w:t>
            </w:r>
          </w:p>
        </w:tc>
        <w:tc>
          <w:tcPr>
            <w:tcW w:w="1418" w:type="dxa"/>
          </w:tcPr>
          <w:p w14:paraId="218E8ABD" w14:textId="77777777" w:rsidR="0063693C" w:rsidRPr="00C24104" w:rsidRDefault="0063693C" w:rsidP="005D33F5">
            <w:pPr>
              <w:jc w:val="left"/>
              <w:rPr>
                <w:rFonts w:asciiTheme="majorHAnsi" w:eastAsia="Times New Roman" w:hAnsiTheme="majorHAnsi" w:cstheme="majorHAnsi"/>
                <w:b w:val="0"/>
                <w:bCs w:val="0"/>
                <w:color w:val="000000"/>
                <w:szCs w:val="24"/>
                <w:lang w:eastAsia="cs-CZ"/>
              </w:rPr>
            </w:pPr>
            <w:r w:rsidRPr="00C24104">
              <w:rPr>
                <w:rFonts w:asciiTheme="majorHAnsi" w:eastAsia="Times New Roman" w:hAnsiTheme="majorHAnsi" w:cstheme="majorHAnsi"/>
                <w:b w:val="0"/>
                <w:caps/>
                <w:szCs w:val="24"/>
                <w:lang w:eastAsia="cs-CZ"/>
              </w:rPr>
              <w:t>kategorie</w:t>
            </w:r>
          </w:p>
        </w:tc>
      </w:tr>
      <w:tr w:rsidR="0063693C" w:rsidRPr="00C24104" w14:paraId="62512439"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1BE8AA0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Bílovec</w:t>
            </w:r>
          </w:p>
        </w:tc>
        <w:tc>
          <w:tcPr>
            <w:tcW w:w="1417" w:type="dxa"/>
            <w:noWrap/>
            <w:hideMark/>
          </w:tcPr>
          <w:p w14:paraId="47CFD14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0A9D02A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NOVÁ BĚLÁ</w:t>
            </w:r>
          </w:p>
        </w:tc>
        <w:tc>
          <w:tcPr>
            <w:tcW w:w="1418" w:type="dxa"/>
          </w:tcPr>
          <w:p w14:paraId="447BF41F"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2BEA77D3" w14:textId="77777777" w:rsidTr="005D33F5">
        <w:trPr>
          <w:trHeight w:val="300"/>
        </w:trPr>
        <w:tc>
          <w:tcPr>
            <w:tcW w:w="3628" w:type="dxa"/>
            <w:noWrap/>
            <w:hideMark/>
          </w:tcPr>
          <w:p w14:paraId="5DE78C2D"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Bohumín</w:t>
            </w:r>
          </w:p>
        </w:tc>
        <w:tc>
          <w:tcPr>
            <w:tcW w:w="1417" w:type="dxa"/>
            <w:noWrap/>
            <w:hideMark/>
          </w:tcPr>
          <w:p w14:paraId="16F982A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7D15EE25"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NOVÁ VES</w:t>
            </w:r>
          </w:p>
        </w:tc>
        <w:tc>
          <w:tcPr>
            <w:tcW w:w="1418" w:type="dxa"/>
          </w:tcPr>
          <w:p w14:paraId="4D5E0B75"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7E7B1B67"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5D0397D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Bruntál</w:t>
            </w:r>
          </w:p>
        </w:tc>
        <w:tc>
          <w:tcPr>
            <w:tcW w:w="1417" w:type="dxa"/>
            <w:noWrap/>
            <w:hideMark/>
          </w:tcPr>
          <w:p w14:paraId="6DE50A2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06C3DF2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OSTRAVA – JIH</w:t>
            </w:r>
          </w:p>
        </w:tc>
        <w:tc>
          <w:tcPr>
            <w:tcW w:w="1418" w:type="dxa"/>
          </w:tcPr>
          <w:p w14:paraId="2354923E"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01E474FC" w14:textId="77777777" w:rsidTr="005D33F5">
        <w:trPr>
          <w:trHeight w:val="300"/>
        </w:trPr>
        <w:tc>
          <w:tcPr>
            <w:tcW w:w="3628" w:type="dxa"/>
            <w:noWrap/>
            <w:hideMark/>
          </w:tcPr>
          <w:p w14:paraId="53D7382D"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Český Těšín</w:t>
            </w:r>
          </w:p>
        </w:tc>
        <w:tc>
          <w:tcPr>
            <w:tcW w:w="1417" w:type="dxa"/>
            <w:noWrap/>
            <w:hideMark/>
          </w:tcPr>
          <w:p w14:paraId="0292F6A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5B0C67FC"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PETŘKOVICE</w:t>
            </w:r>
          </w:p>
        </w:tc>
        <w:tc>
          <w:tcPr>
            <w:tcW w:w="1418" w:type="dxa"/>
          </w:tcPr>
          <w:p w14:paraId="05FE252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1814BDF0"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346887E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Frenštát pod Radhoštěm</w:t>
            </w:r>
          </w:p>
        </w:tc>
        <w:tc>
          <w:tcPr>
            <w:tcW w:w="1417" w:type="dxa"/>
            <w:noWrap/>
            <w:hideMark/>
          </w:tcPr>
          <w:p w14:paraId="293307D5"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25C04F78"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PLESNÁ</w:t>
            </w:r>
          </w:p>
        </w:tc>
        <w:tc>
          <w:tcPr>
            <w:tcW w:w="1418" w:type="dxa"/>
          </w:tcPr>
          <w:p w14:paraId="5DB5874F"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5F24929A" w14:textId="77777777" w:rsidTr="005D33F5">
        <w:trPr>
          <w:trHeight w:val="300"/>
        </w:trPr>
        <w:tc>
          <w:tcPr>
            <w:tcW w:w="3628" w:type="dxa"/>
            <w:hideMark/>
          </w:tcPr>
          <w:p w14:paraId="6EC76AAA"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Frýdek-Místek</w:t>
            </w:r>
          </w:p>
        </w:tc>
        <w:tc>
          <w:tcPr>
            <w:tcW w:w="1417" w:type="dxa"/>
            <w:noWrap/>
            <w:hideMark/>
          </w:tcPr>
          <w:p w14:paraId="7353EAB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c>
          <w:tcPr>
            <w:tcW w:w="3628" w:type="dxa"/>
          </w:tcPr>
          <w:p w14:paraId="7560BBD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POLANKA NAD ODROU</w:t>
            </w:r>
          </w:p>
        </w:tc>
        <w:tc>
          <w:tcPr>
            <w:tcW w:w="1418" w:type="dxa"/>
          </w:tcPr>
          <w:p w14:paraId="1B13BC1E"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6013C45C"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191917A2"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Frýdlant nad Ostravicí</w:t>
            </w:r>
          </w:p>
        </w:tc>
        <w:tc>
          <w:tcPr>
            <w:tcW w:w="1417" w:type="dxa"/>
            <w:noWrap/>
            <w:hideMark/>
          </w:tcPr>
          <w:p w14:paraId="72AC54B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583B4A3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PORUBA</w:t>
            </w:r>
          </w:p>
        </w:tc>
        <w:tc>
          <w:tcPr>
            <w:tcW w:w="1418" w:type="dxa"/>
          </w:tcPr>
          <w:p w14:paraId="759B40D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67B022B2" w14:textId="77777777" w:rsidTr="005D33F5">
        <w:trPr>
          <w:trHeight w:val="300"/>
        </w:trPr>
        <w:tc>
          <w:tcPr>
            <w:tcW w:w="3628" w:type="dxa"/>
            <w:noWrap/>
            <w:hideMark/>
          </w:tcPr>
          <w:p w14:paraId="7160DD41"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Havířov</w:t>
            </w:r>
          </w:p>
        </w:tc>
        <w:tc>
          <w:tcPr>
            <w:tcW w:w="1417" w:type="dxa"/>
            <w:noWrap/>
            <w:hideMark/>
          </w:tcPr>
          <w:p w14:paraId="2C14ECA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c>
          <w:tcPr>
            <w:tcW w:w="3628" w:type="dxa"/>
          </w:tcPr>
          <w:p w14:paraId="39C81EE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PROSKOVICE</w:t>
            </w:r>
          </w:p>
        </w:tc>
        <w:tc>
          <w:tcPr>
            <w:tcW w:w="1418" w:type="dxa"/>
          </w:tcPr>
          <w:p w14:paraId="4D5597DF"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606DE24F"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6B2FFAF3"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Hlučín</w:t>
            </w:r>
          </w:p>
        </w:tc>
        <w:tc>
          <w:tcPr>
            <w:tcW w:w="1417" w:type="dxa"/>
            <w:noWrap/>
            <w:hideMark/>
          </w:tcPr>
          <w:p w14:paraId="2ABB38E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6B8212A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PUSTKOVEC</w:t>
            </w:r>
          </w:p>
        </w:tc>
        <w:tc>
          <w:tcPr>
            <w:tcW w:w="1418" w:type="dxa"/>
          </w:tcPr>
          <w:p w14:paraId="7811DD90"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62355D5E" w14:textId="77777777" w:rsidTr="005D33F5">
        <w:trPr>
          <w:trHeight w:val="300"/>
        </w:trPr>
        <w:tc>
          <w:tcPr>
            <w:tcW w:w="3628" w:type="dxa"/>
            <w:noWrap/>
            <w:hideMark/>
          </w:tcPr>
          <w:p w14:paraId="728FDA6C"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Jablunkov</w:t>
            </w:r>
          </w:p>
        </w:tc>
        <w:tc>
          <w:tcPr>
            <w:tcW w:w="1417" w:type="dxa"/>
            <w:noWrap/>
            <w:hideMark/>
          </w:tcPr>
          <w:p w14:paraId="13BB4664"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1288263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RADVANICE A BARTOVICE</w:t>
            </w:r>
          </w:p>
        </w:tc>
        <w:tc>
          <w:tcPr>
            <w:tcW w:w="1418" w:type="dxa"/>
          </w:tcPr>
          <w:p w14:paraId="0C2E2B0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1C28D8B2"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344BD756"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Karviná</w:t>
            </w:r>
          </w:p>
        </w:tc>
        <w:tc>
          <w:tcPr>
            <w:tcW w:w="1417" w:type="dxa"/>
            <w:noWrap/>
            <w:hideMark/>
          </w:tcPr>
          <w:p w14:paraId="5C90BF34"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c>
          <w:tcPr>
            <w:tcW w:w="3628" w:type="dxa"/>
          </w:tcPr>
          <w:p w14:paraId="38041A3D"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SLEZSKÁ OSTRAVA</w:t>
            </w:r>
          </w:p>
        </w:tc>
        <w:tc>
          <w:tcPr>
            <w:tcW w:w="1418" w:type="dxa"/>
          </w:tcPr>
          <w:p w14:paraId="106F62A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6D475CC0" w14:textId="77777777" w:rsidTr="005D33F5">
        <w:trPr>
          <w:trHeight w:val="300"/>
        </w:trPr>
        <w:tc>
          <w:tcPr>
            <w:tcW w:w="3628" w:type="dxa"/>
            <w:noWrap/>
            <w:hideMark/>
          </w:tcPr>
          <w:p w14:paraId="660DDC55"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Kopřivnice</w:t>
            </w:r>
          </w:p>
        </w:tc>
        <w:tc>
          <w:tcPr>
            <w:tcW w:w="1417" w:type="dxa"/>
            <w:noWrap/>
            <w:hideMark/>
          </w:tcPr>
          <w:p w14:paraId="3CCAA78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4588FF04"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STARÁ BĚLÁ</w:t>
            </w:r>
          </w:p>
        </w:tc>
        <w:tc>
          <w:tcPr>
            <w:tcW w:w="1418" w:type="dxa"/>
          </w:tcPr>
          <w:p w14:paraId="33AC1FA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026F9949"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65BE2117"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Kravaře</w:t>
            </w:r>
          </w:p>
        </w:tc>
        <w:tc>
          <w:tcPr>
            <w:tcW w:w="1417" w:type="dxa"/>
            <w:noWrap/>
            <w:hideMark/>
          </w:tcPr>
          <w:p w14:paraId="4A086C8F"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403997C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SVINOV</w:t>
            </w:r>
          </w:p>
        </w:tc>
        <w:tc>
          <w:tcPr>
            <w:tcW w:w="1418" w:type="dxa"/>
          </w:tcPr>
          <w:p w14:paraId="7C812B85"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251DA9F5" w14:textId="77777777" w:rsidTr="005D33F5">
        <w:trPr>
          <w:trHeight w:val="300"/>
        </w:trPr>
        <w:tc>
          <w:tcPr>
            <w:tcW w:w="3628" w:type="dxa"/>
            <w:noWrap/>
            <w:hideMark/>
          </w:tcPr>
          <w:p w14:paraId="0E5844B0"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Krnov</w:t>
            </w:r>
          </w:p>
        </w:tc>
        <w:tc>
          <w:tcPr>
            <w:tcW w:w="1417" w:type="dxa"/>
            <w:noWrap/>
            <w:hideMark/>
          </w:tcPr>
          <w:p w14:paraId="6B4FCC2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6F572E08"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TŘEBOVICE</w:t>
            </w:r>
          </w:p>
        </w:tc>
        <w:tc>
          <w:tcPr>
            <w:tcW w:w="1418" w:type="dxa"/>
          </w:tcPr>
          <w:p w14:paraId="7E8DE88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139258AD"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7E0DD0AD"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Nový Jičín</w:t>
            </w:r>
          </w:p>
        </w:tc>
        <w:tc>
          <w:tcPr>
            <w:tcW w:w="1417" w:type="dxa"/>
            <w:noWrap/>
            <w:hideMark/>
          </w:tcPr>
          <w:p w14:paraId="730B714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1905E1D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VÍTKOVICE</w:t>
            </w:r>
          </w:p>
        </w:tc>
        <w:tc>
          <w:tcPr>
            <w:tcW w:w="1418" w:type="dxa"/>
          </w:tcPr>
          <w:p w14:paraId="11B6241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r>
      <w:tr w:rsidR="0063693C" w:rsidRPr="00C24104" w14:paraId="26878D58" w14:textId="77777777" w:rsidTr="005D33F5">
        <w:trPr>
          <w:trHeight w:val="300"/>
        </w:trPr>
        <w:tc>
          <w:tcPr>
            <w:tcW w:w="3628" w:type="dxa"/>
            <w:noWrap/>
            <w:hideMark/>
          </w:tcPr>
          <w:p w14:paraId="706096AC"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Odry</w:t>
            </w:r>
          </w:p>
        </w:tc>
        <w:tc>
          <w:tcPr>
            <w:tcW w:w="1417" w:type="dxa"/>
            <w:noWrap/>
            <w:hideMark/>
          </w:tcPr>
          <w:p w14:paraId="44813CAB"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ORP </w:t>
            </w:r>
          </w:p>
        </w:tc>
        <w:tc>
          <w:tcPr>
            <w:tcW w:w="3628" w:type="dxa"/>
          </w:tcPr>
          <w:p w14:paraId="2D01537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Rýmařov</w:t>
            </w:r>
          </w:p>
        </w:tc>
        <w:tc>
          <w:tcPr>
            <w:tcW w:w="1418" w:type="dxa"/>
          </w:tcPr>
          <w:p w14:paraId="26EB28C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r>
      <w:tr w:rsidR="0063693C" w:rsidRPr="00C24104" w14:paraId="17A76ABF"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39462DE7"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Opava</w:t>
            </w:r>
          </w:p>
        </w:tc>
        <w:tc>
          <w:tcPr>
            <w:tcW w:w="1417" w:type="dxa"/>
            <w:noWrap/>
            <w:hideMark/>
          </w:tcPr>
          <w:p w14:paraId="545BD4F4"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c>
          <w:tcPr>
            <w:tcW w:w="3628" w:type="dxa"/>
          </w:tcPr>
          <w:p w14:paraId="62056CE8"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Třinec</w:t>
            </w:r>
          </w:p>
        </w:tc>
        <w:tc>
          <w:tcPr>
            <w:tcW w:w="1418" w:type="dxa"/>
          </w:tcPr>
          <w:p w14:paraId="052FD91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r>
      <w:tr w:rsidR="0063693C" w:rsidRPr="00C24104" w14:paraId="59B1031C" w14:textId="77777777" w:rsidTr="005D33F5">
        <w:trPr>
          <w:trHeight w:val="300"/>
        </w:trPr>
        <w:tc>
          <w:tcPr>
            <w:tcW w:w="3628" w:type="dxa"/>
            <w:noWrap/>
            <w:hideMark/>
          </w:tcPr>
          <w:p w14:paraId="0CB6E7BF"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Orlová</w:t>
            </w:r>
          </w:p>
        </w:tc>
        <w:tc>
          <w:tcPr>
            <w:tcW w:w="1417" w:type="dxa"/>
            <w:noWrap/>
            <w:hideMark/>
          </w:tcPr>
          <w:p w14:paraId="5FE5535E"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c>
          <w:tcPr>
            <w:tcW w:w="3628" w:type="dxa"/>
          </w:tcPr>
          <w:p w14:paraId="7BBC13D6"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szCs w:val="24"/>
                <w:lang w:eastAsia="cs-CZ"/>
              </w:rPr>
              <w:t>Vítkov</w:t>
            </w:r>
          </w:p>
        </w:tc>
        <w:tc>
          <w:tcPr>
            <w:tcW w:w="1418" w:type="dxa"/>
          </w:tcPr>
          <w:p w14:paraId="7951FF0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w:t>
            </w:r>
          </w:p>
        </w:tc>
      </w:tr>
      <w:tr w:rsidR="0063693C" w:rsidRPr="00C24104" w14:paraId="21916FB1"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76D12E19"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Ostrava</w:t>
            </w:r>
          </w:p>
        </w:tc>
        <w:tc>
          <w:tcPr>
            <w:tcW w:w="1417" w:type="dxa"/>
            <w:noWrap/>
            <w:hideMark/>
          </w:tcPr>
          <w:p w14:paraId="51E2689F"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ORP, SM</w:t>
            </w:r>
          </w:p>
        </w:tc>
        <w:tc>
          <w:tcPr>
            <w:tcW w:w="3628" w:type="dxa"/>
          </w:tcPr>
          <w:p w14:paraId="75D4793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Fulnek</w:t>
            </w:r>
          </w:p>
        </w:tc>
        <w:tc>
          <w:tcPr>
            <w:tcW w:w="1418" w:type="dxa"/>
          </w:tcPr>
          <w:p w14:paraId="733A6068"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36062288" w14:textId="77777777" w:rsidTr="005D33F5">
        <w:trPr>
          <w:trHeight w:val="300"/>
        </w:trPr>
        <w:tc>
          <w:tcPr>
            <w:tcW w:w="3628" w:type="dxa"/>
            <w:noWrap/>
            <w:hideMark/>
          </w:tcPr>
          <w:p w14:paraId="6376A128"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HOŠŤÁLKOVICE</w:t>
            </w:r>
          </w:p>
        </w:tc>
        <w:tc>
          <w:tcPr>
            <w:tcW w:w="1417" w:type="dxa"/>
            <w:noWrap/>
            <w:hideMark/>
          </w:tcPr>
          <w:p w14:paraId="59115CC9"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0A21826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Horní Benešov</w:t>
            </w:r>
          </w:p>
        </w:tc>
        <w:tc>
          <w:tcPr>
            <w:tcW w:w="1418" w:type="dxa"/>
          </w:tcPr>
          <w:p w14:paraId="4293AAA4"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2CED7B28"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246783CA"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HRABOVÁ</w:t>
            </w:r>
          </w:p>
        </w:tc>
        <w:tc>
          <w:tcPr>
            <w:tcW w:w="1417" w:type="dxa"/>
            <w:noWrap/>
            <w:hideMark/>
          </w:tcPr>
          <w:p w14:paraId="3237A1B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1B42DDD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Město Albrechtice</w:t>
            </w:r>
          </w:p>
        </w:tc>
        <w:tc>
          <w:tcPr>
            <w:tcW w:w="1418" w:type="dxa"/>
          </w:tcPr>
          <w:p w14:paraId="6F445E95"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3F793068" w14:textId="77777777" w:rsidTr="005D33F5">
        <w:trPr>
          <w:trHeight w:val="300"/>
        </w:trPr>
        <w:tc>
          <w:tcPr>
            <w:tcW w:w="3628" w:type="dxa"/>
            <w:noWrap/>
            <w:hideMark/>
          </w:tcPr>
          <w:p w14:paraId="2D9A7F48"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KRÁSNÉ POLE</w:t>
            </w:r>
          </w:p>
        </w:tc>
        <w:tc>
          <w:tcPr>
            <w:tcW w:w="1417" w:type="dxa"/>
            <w:noWrap/>
            <w:hideMark/>
          </w:tcPr>
          <w:p w14:paraId="1B11A72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0F464D46"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Osoblaha</w:t>
            </w:r>
          </w:p>
        </w:tc>
        <w:tc>
          <w:tcPr>
            <w:tcW w:w="1418" w:type="dxa"/>
          </w:tcPr>
          <w:p w14:paraId="170F428F"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118D92B9"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2742D20F"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LHOTKA</w:t>
            </w:r>
          </w:p>
        </w:tc>
        <w:tc>
          <w:tcPr>
            <w:tcW w:w="1417" w:type="dxa"/>
            <w:noWrap/>
            <w:hideMark/>
          </w:tcPr>
          <w:p w14:paraId="49815FD7"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0346A582"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Příbor</w:t>
            </w:r>
          </w:p>
        </w:tc>
        <w:tc>
          <w:tcPr>
            <w:tcW w:w="1418" w:type="dxa"/>
          </w:tcPr>
          <w:p w14:paraId="48481D01"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4F620B6F" w14:textId="77777777" w:rsidTr="005D33F5">
        <w:trPr>
          <w:trHeight w:val="300"/>
        </w:trPr>
        <w:tc>
          <w:tcPr>
            <w:tcW w:w="3628" w:type="dxa"/>
            <w:noWrap/>
            <w:hideMark/>
          </w:tcPr>
          <w:p w14:paraId="7F428823"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MARIÁNSKÉ HORY A HULVÁKY</w:t>
            </w:r>
          </w:p>
        </w:tc>
        <w:tc>
          <w:tcPr>
            <w:tcW w:w="1417" w:type="dxa"/>
            <w:noWrap/>
            <w:hideMark/>
          </w:tcPr>
          <w:p w14:paraId="366DAB1D"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284A4FE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Studénka</w:t>
            </w:r>
          </w:p>
        </w:tc>
        <w:tc>
          <w:tcPr>
            <w:tcW w:w="1418" w:type="dxa"/>
          </w:tcPr>
          <w:p w14:paraId="45E72422"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383261B6"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7F5D8E6B"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MARTINOV</w:t>
            </w:r>
          </w:p>
        </w:tc>
        <w:tc>
          <w:tcPr>
            <w:tcW w:w="1417" w:type="dxa"/>
            <w:noWrap/>
            <w:hideMark/>
          </w:tcPr>
          <w:p w14:paraId="432D8AB1"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452E90D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Vratimov</w:t>
            </w:r>
          </w:p>
        </w:tc>
        <w:tc>
          <w:tcPr>
            <w:tcW w:w="1418" w:type="dxa"/>
          </w:tcPr>
          <w:p w14:paraId="2676D767"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1D30C52E" w14:textId="77777777" w:rsidTr="005D33F5">
        <w:trPr>
          <w:trHeight w:val="300"/>
        </w:trPr>
        <w:tc>
          <w:tcPr>
            <w:tcW w:w="3628" w:type="dxa"/>
            <w:noWrap/>
            <w:hideMark/>
          </w:tcPr>
          <w:p w14:paraId="7FDB4E0B"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MICHÁLKOVICE</w:t>
            </w:r>
          </w:p>
        </w:tc>
        <w:tc>
          <w:tcPr>
            <w:tcW w:w="1417" w:type="dxa"/>
            <w:noWrap/>
            <w:hideMark/>
          </w:tcPr>
          <w:p w14:paraId="1B4DEE6A"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17C01A13"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Vrbno pod Pradědem</w:t>
            </w:r>
          </w:p>
        </w:tc>
        <w:tc>
          <w:tcPr>
            <w:tcW w:w="1418" w:type="dxa"/>
          </w:tcPr>
          <w:p w14:paraId="3FB4FBE8" w14:textId="77777777" w:rsidR="0063693C" w:rsidRPr="00C24104" w:rsidRDefault="0063693C" w:rsidP="005D33F5">
            <w:pPr>
              <w:jc w:val="left"/>
              <w:rPr>
                <w:rFonts w:asciiTheme="majorHAnsi" w:eastAsia="Times New Roman" w:hAnsiTheme="majorHAnsi" w:cstheme="majorHAnsi"/>
                <w:color w:val="000000"/>
                <w:szCs w:val="24"/>
                <w:lang w:eastAsia="cs-CZ"/>
              </w:rPr>
            </w:pPr>
            <w:proofErr w:type="spellStart"/>
            <w:r w:rsidRPr="00C24104">
              <w:rPr>
                <w:rFonts w:asciiTheme="majorHAnsi" w:eastAsia="Times New Roman" w:hAnsiTheme="majorHAnsi" w:cstheme="majorHAnsi"/>
                <w:color w:val="000000"/>
                <w:szCs w:val="24"/>
                <w:lang w:eastAsia="cs-CZ"/>
              </w:rPr>
              <w:t>OsPOÚ</w:t>
            </w:r>
            <w:proofErr w:type="spellEnd"/>
          </w:p>
        </w:tc>
      </w:tr>
      <w:tr w:rsidR="0063693C" w:rsidRPr="00C24104" w14:paraId="782D5482" w14:textId="77777777" w:rsidTr="005D33F5">
        <w:trPr>
          <w:cnfStyle w:val="000000100000" w:firstRow="0" w:lastRow="0" w:firstColumn="0" w:lastColumn="0" w:oddVBand="0" w:evenVBand="0" w:oddHBand="1" w:evenHBand="0" w:firstRowFirstColumn="0" w:firstRowLastColumn="0" w:lastRowFirstColumn="0" w:lastRowLastColumn="0"/>
          <w:trHeight w:val="300"/>
        </w:trPr>
        <w:tc>
          <w:tcPr>
            <w:tcW w:w="3628" w:type="dxa"/>
            <w:noWrap/>
            <w:hideMark/>
          </w:tcPr>
          <w:p w14:paraId="73093DA4" w14:textId="77777777" w:rsidR="0063693C" w:rsidRPr="00C24104" w:rsidRDefault="0063693C" w:rsidP="005D33F5">
            <w:pPr>
              <w:jc w:val="left"/>
              <w:rPr>
                <w:rFonts w:asciiTheme="majorHAnsi" w:eastAsia="Times New Roman" w:hAnsiTheme="majorHAnsi" w:cstheme="majorHAnsi"/>
                <w:szCs w:val="24"/>
                <w:lang w:eastAsia="cs-CZ"/>
              </w:rPr>
            </w:pPr>
            <w:r w:rsidRPr="00C24104">
              <w:rPr>
                <w:rFonts w:asciiTheme="majorHAnsi" w:eastAsia="Times New Roman" w:hAnsiTheme="majorHAnsi" w:cstheme="majorHAnsi"/>
                <w:szCs w:val="24"/>
                <w:lang w:eastAsia="cs-CZ"/>
              </w:rPr>
              <w:t>MORAVSKÁ OSTRAVA A PŘÍVOZ</w:t>
            </w:r>
          </w:p>
        </w:tc>
        <w:tc>
          <w:tcPr>
            <w:tcW w:w="1417" w:type="dxa"/>
            <w:noWrap/>
            <w:hideMark/>
          </w:tcPr>
          <w:p w14:paraId="448EA4CE" w14:textId="77777777" w:rsidR="0063693C" w:rsidRPr="00C24104" w:rsidRDefault="0063693C" w:rsidP="005D33F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MO</w:t>
            </w:r>
          </w:p>
        </w:tc>
        <w:tc>
          <w:tcPr>
            <w:tcW w:w="3628" w:type="dxa"/>
          </w:tcPr>
          <w:p w14:paraId="2F553FCA" w14:textId="77777777" w:rsidR="0063693C" w:rsidRPr="00C24104" w:rsidRDefault="0063693C" w:rsidP="005D33F5">
            <w:pPr>
              <w:jc w:val="left"/>
              <w:rPr>
                <w:rFonts w:asciiTheme="majorHAnsi" w:eastAsia="Times New Roman" w:hAnsiTheme="majorHAnsi" w:cstheme="majorHAnsi"/>
                <w:color w:val="000000"/>
                <w:szCs w:val="24"/>
                <w:lang w:eastAsia="cs-CZ"/>
              </w:rPr>
            </w:pPr>
          </w:p>
        </w:tc>
        <w:tc>
          <w:tcPr>
            <w:tcW w:w="1418" w:type="dxa"/>
          </w:tcPr>
          <w:p w14:paraId="747CF0C3" w14:textId="77777777" w:rsidR="0063693C" w:rsidRPr="00C24104" w:rsidRDefault="0063693C" w:rsidP="005D33F5">
            <w:pPr>
              <w:jc w:val="left"/>
              <w:rPr>
                <w:rFonts w:asciiTheme="majorHAnsi" w:eastAsia="Times New Roman" w:hAnsiTheme="majorHAnsi" w:cstheme="majorHAnsi"/>
                <w:color w:val="000000"/>
                <w:szCs w:val="24"/>
                <w:lang w:eastAsia="cs-CZ"/>
              </w:rPr>
            </w:pPr>
          </w:p>
        </w:tc>
      </w:tr>
    </w:tbl>
    <w:p w14:paraId="02D53DF8" w14:textId="076F2CCC" w:rsidR="00106FA5" w:rsidRPr="00C24104" w:rsidRDefault="00106FA5" w:rsidP="008C17D1">
      <w:pPr>
        <w:spacing w:before="120" w:after="0"/>
      </w:pPr>
      <w:r w:rsidRPr="00C24104">
        <w:t xml:space="preserve">První část Analýzy se věnuje deskripci situace v oblasti obecního bydlení na území MSK. </w:t>
      </w:r>
      <w:r w:rsidR="00B7303E" w:rsidRPr="00C24104">
        <w:t>Z</w:t>
      </w:r>
      <w:r w:rsidRPr="00C24104">
        <w:t>a tímto účelem byla zpracována data z veřejně dostupných databází o počtech bytů ve vlastnictví obcí, počtech obyvatel s různým socioekonomickým statusem, průměrných počtech osob v domácnostech pobírajících dá</w:t>
      </w:r>
      <w:r w:rsidR="009A7DF8" w:rsidRPr="00C24104">
        <w:t>vky či počtech osob v exekucích. Konkrétně se jednalo o data:</w:t>
      </w:r>
    </w:p>
    <w:p w14:paraId="20F6D8CD" w14:textId="77777777" w:rsidR="00106FA5" w:rsidRPr="00C24104" w:rsidRDefault="00106FA5" w:rsidP="00106FA5">
      <w:pPr>
        <w:pStyle w:val="Odstavecseseznamem"/>
        <w:numPr>
          <w:ilvl w:val="0"/>
          <w:numId w:val="43"/>
        </w:numPr>
        <w:spacing w:before="120" w:after="0"/>
      </w:pPr>
      <w:r w:rsidRPr="00C24104">
        <w:t xml:space="preserve">Českého statistického úřadu (dále ČSÚ), a to data ze Sčítání lidí, domů a bytů provedených v letech 2011 a 2021 (dále SLDB 2011 a 2021), </w:t>
      </w:r>
    </w:p>
    <w:p w14:paraId="4C3493C4" w14:textId="2860D0E2" w:rsidR="00106FA5" w:rsidRPr="00C24104" w:rsidRDefault="00106FA5" w:rsidP="00106FA5">
      <w:pPr>
        <w:pStyle w:val="Odstavecseseznamem"/>
        <w:numPr>
          <w:ilvl w:val="0"/>
          <w:numId w:val="43"/>
        </w:numPr>
        <w:spacing w:before="120" w:after="0"/>
      </w:pPr>
      <w:r w:rsidRPr="00C24104">
        <w:t>MPSV z roku 2021 a</w:t>
      </w:r>
    </w:p>
    <w:p w14:paraId="27E6BCB4" w14:textId="5847C83E" w:rsidR="00106FA5" w:rsidRPr="00C24104" w:rsidRDefault="00106FA5" w:rsidP="00106FA5">
      <w:pPr>
        <w:pStyle w:val="Odstavecseseznamem"/>
        <w:numPr>
          <w:ilvl w:val="0"/>
          <w:numId w:val="43"/>
        </w:numPr>
        <w:spacing w:before="120" w:after="0"/>
      </w:pPr>
      <w:r w:rsidRPr="00C24104">
        <w:t>Exekutorské komory ČR z roku 2024 (data za rok 2021 se nepodařilo získat)</w:t>
      </w:r>
      <w:r w:rsidR="009A7DF8" w:rsidRPr="00C24104">
        <w:t>.</w:t>
      </w:r>
    </w:p>
    <w:p w14:paraId="009AC274" w14:textId="6C0E8B67" w:rsidR="008C17D1" w:rsidRPr="00C24104" w:rsidRDefault="009E35F1" w:rsidP="008C17D1">
      <w:pPr>
        <w:spacing w:before="120" w:after="0"/>
      </w:pPr>
      <w:r w:rsidRPr="00C24104">
        <w:t>Porovnání celkového počtu obecních bytů a disponibilního počtu obecních bytů (tedy bytů, které jsou dostupné k pronájmu) nabízí mapa 1. Mapa ukazuje, že množství bytů, které obce v MSK vlastní je velmi různorodé a nemusí nutně souviset s velikostí obce co do počtu obyvatel.</w:t>
      </w:r>
      <w:r w:rsidR="008C17D1" w:rsidRPr="00C24104">
        <w:t xml:space="preserve"> Největší bytový fond mají </w:t>
      </w:r>
      <w:r w:rsidRPr="00C24104">
        <w:t>Havířov a Ostrava, poměrně vysoké množství bytů má ale i Bohumín, Bruntál, Frýdek-Místek, Krnov, Nový Jičín nebo Rýmařov.</w:t>
      </w:r>
      <w:r w:rsidR="008C17D1" w:rsidRPr="00C24104">
        <w:t xml:space="preserve"> </w:t>
      </w:r>
      <w:r w:rsidRPr="00C24104">
        <w:t>N</w:t>
      </w:r>
      <w:r w:rsidR="008C17D1" w:rsidRPr="00C24104">
        <w:t>ejvyšší d</w:t>
      </w:r>
      <w:r w:rsidR="00106FA5" w:rsidRPr="00C24104">
        <w:t>isponibilita</w:t>
      </w:r>
      <w:r w:rsidR="008C17D1" w:rsidRPr="00C24104">
        <w:t xml:space="preserve"> bytů je v Bohumíně, Českém Těšíně, Havířově, Hlučíně, Městě Albrechticích a Odrách. V Ostravě m</w:t>
      </w:r>
      <w:r w:rsidRPr="00C24104">
        <w:t>á</w:t>
      </w:r>
      <w:r w:rsidR="00106FA5" w:rsidRPr="00C24104">
        <w:t xml:space="preserve"> </w:t>
      </w:r>
      <w:r w:rsidRPr="00C24104">
        <w:t xml:space="preserve">největší bytový fond obvod Ostrava-Jih, která </w:t>
      </w:r>
      <w:r w:rsidR="006809B9" w:rsidRPr="00C24104">
        <w:t>je</w:t>
      </w:r>
      <w:r w:rsidRPr="00C24104">
        <w:t xml:space="preserve"> skutečně i nejlidnatějším obvodem. N</w:t>
      </w:r>
      <w:r w:rsidR="00106FA5" w:rsidRPr="00C24104">
        <w:t xml:space="preserve">ejvyšší dostupnost bytů </w:t>
      </w:r>
      <w:r w:rsidRPr="00C24104">
        <w:t xml:space="preserve">mají </w:t>
      </w:r>
      <w:r w:rsidR="008C17D1" w:rsidRPr="00C24104">
        <w:t xml:space="preserve">Hošťálkovice, Stará Bělá, </w:t>
      </w:r>
      <w:proofErr w:type="spellStart"/>
      <w:r w:rsidR="008C17D1" w:rsidRPr="00C24104">
        <w:t>Svin</w:t>
      </w:r>
      <w:r w:rsidRPr="00C24104">
        <w:t>ov</w:t>
      </w:r>
      <w:proofErr w:type="spellEnd"/>
      <w:r w:rsidRPr="00C24104">
        <w:t xml:space="preserve"> a Vítkovice.</w:t>
      </w:r>
    </w:p>
    <w:p w14:paraId="422619A8" w14:textId="77777777" w:rsidR="003D6053" w:rsidRPr="00C24104" w:rsidRDefault="003D6053" w:rsidP="008C17D1">
      <w:pPr>
        <w:pStyle w:val="Titulek"/>
        <w:spacing w:after="0"/>
      </w:pPr>
    </w:p>
    <w:p w14:paraId="2518F214" w14:textId="77777777" w:rsidR="003D6053" w:rsidRPr="00C24104" w:rsidRDefault="003D6053" w:rsidP="008C17D1">
      <w:pPr>
        <w:pStyle w:val="Titulek"/>
        <w:spacing w:after="0"/>
      </w:pPr>
    </w:p>
    <w:p w14:paraId="466CAAF8" w14:textId="77777777" w:rsidR="003D6053" w:rsidRPr="00C24104" w:rsidRDefault="003D6053" w:rsidP="008C17D1">
      <w:pPr>
        <w:pStyle w:val="Titulek"/>
        <w:spacing w:after="0"/>
      </w:pPr>
    </w:p>
    <w:p w14:paraId="56058D7C" w14:textId="77777777" w:rsidR="003D6053" w:rsidRPr="00C24104" w:rsidRDefault="003D6053" w:rsidP="008C17D1">
      <w:pPr>
        <w:pStyle w:val="Titulek"/>
        <w:spacing w:after="0"/>
      </w:pPr>
    </w:p>
    <w:p w14:paraId="0B18A4C1" w14:textId="77777777" w:rsidR="003D6053" w:rsidRPr="00C24104" w:rsidRDefault="003D6053" w:rsidP="008C17D1">
      <w:pPr>
        <w:pStyle w:val="Titulek"/>
        <w:spacing w:after="0"/>
      </w:pPr>
    </w:p>
    <w:p w14:paraId="31754D54" w14:textId="77777777" w:rsidR="003D6053" w:rsidRPr="00C24104" w:rsidRDefault="003D6053" w:rsidP="008C17D1">
      <w:pPr>
        <w:pStyle w:val="Titulek"/>
        <w:spacing w:after="0"/>
      </w:pPr>
    </w:p>
    <w:p w14:paraId="698AC494" w14:textId="093AD7CB" w:rsidR="008C17D1" w:rsidRPr="00C24104" w:rsidRDefault="008C17D1" w:rsidP="008C17D1">
      <w:pPr>
        <w:pStyle w:val="Titulek"/>
        <w:spacing w:after="0"/>
      </w:pPr>
      <w:r w:rsidRPr="00C24104">
        <w:t xml:space="preserve">Mapa </w:t>
      </w:r>
      <w:r w:rsidR="009C7E3F" w:rsidRPr="00C24104">
        <w:fldChar w:fldCharType="begin"/>
      </w:r>
      <w:r w:rsidR="009C7E3F" w:rsidRPr="00C24104">
        <w:instrText xml:space="preserve"> SEQ Mapa \* ARABIC </w:instrText>
      </w:r>
      <w:r w:rsidR="009C7E3F" w:rsidRPr="00C24104">
        <w:fldChar w:fldCharType="separate"/>
      </w:r>
      <w:r w:rsidR="00B7303E" w:rsidRPr="00C24104">
        <w:rPr>
          <w:noProof/>
        </w:rPr>
        <w:t>1</w:t>
      </w:r>
      <w:r w:rsidR="009C7E3F" w:rsidRPr="00C24104">
        <w:rPr>
          <w:noProof/>
        </w:rPr>
        <w:fldChar w:fldCharType="end"/>
      </w:r>
      <w:r w:rsidRPr="00C24104">
        <w:t>: Velikost obecního bytového fondu v obcích MSK</w:t>
      </w:r>
    </w:p>
    <w:p w14:paraId="4C229802" w14:textId="6F789D91" w:rsidR="008C17D1" w:rsidRPr="00C24104" w:rsidRDefault="008C17D1" w:rsidP="008C17D1">
      <w:pPr>
        <w:spacing w:before="120" w:after="0"/>
      </w:pPr>
      <w:r w:rsidRPr="00C24104">
        <w:rPr>
          <w:noProof/>
          <w:lang w:eastAsia="cs-CZ"/>
        </w:rPr>
        <w:drawing>
          <wp:inline distT="0" distB="0" distL="0" distR="0" wp14:anchorId="427EBFBF" wp14:editId="39619407">
            <wp:extent cx="6362700" cy="5762625"/>
            <wp:effectExtent l="0" t="0" r="0" b="9525"/>
            <wp:docPr id="13" name="Obrázek 13" descr="MSK_bydlení_byty_oby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K_bydlení_byty_obyd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700" cy="5762625"/>
                    </a:xfrm>
                    <a:prstGeom prst="rect">
                      <a:avLst/>
                    </a:prstGeom>
                    <a:noFill/>
                    <a:ln>
                      <a:noFill/>
                    </a:ln>
                  </pic:spPr>
                </pic:pic>
              </a:graphicData>
            </a:graphic>
          </wp:inline>
        </w:drawing>
      </w:r>
    </w:p>
    <w:p w14:paraId="4D4057A0" w14:textId="77777777" w:rsidR="00B75775" w:rsidRPr="00C24104" w:rsidRDefault="00B75775" w:rsidP="008C17D1">
      <w:pPr>
        <w:spacing w:before="120" w:after="0"/>
      </w:pPr>
    </w:p>
    <w:p w14:paraId="5C1E2EF1" w14:textId="4E6F73C6" w:rsidR="00E43BC7" w:rsidRPr="00C24104" w:rsidRDefault="00E43BC7" w:rsidP="008C17D1">
      <w:pPr>
        <w:spacing w:before="120" w:after="0"/>
      </w:pPr>
    </w:p>
    <w:p w14:paraId="24B9547D" w14:textId="6200E5AD" w:rsidR="003D6053" w:rsidRPr="00C24104" w:rsidRDefault="003D6053" w:rsidP="008C17D1">
      <w:pPr>
        <w:spacing w:before="120" w:after="0"/>
      </w:pPr>
    </w:p>
    <w:p w14:paraId="577815F5" w14:textId="2110AC0D" w:rsidR="003D6053" w:rsidRPr="00C24104" w:rsidRDefault="003D6053" w:rsidP="008C17D1">
      <w:pPr>
        <w:spacing w:before="120" w:after="0"/>
      </w:pPr>
    </w:p>
    <w:p w14:paraId="17A532C3" w14:textId="7D31A7E1" w:rsidR="003D6053" w:rsidRPr="00C24104" w:rsidRDefault="003D6053" w:rsidP="008C17D1">
      <w:pPr>
        <w:spacing w:before="120" w:after="0"/>
      </w:pPr>
    </w:p>
    <w:p w14:paraId="75025D3E" w14:textId="7312724F" w:rsidR="003D6053" w:rsidRPr="00C24104" w:rsidRDefault="003D6053" w:rsidP="008C17D1">
      <w:pPr>
        <w:spacing w:before="120" w:after="0"/>
      </w:pPr>
    </w:p>
    <w:p w14:paraId="25B8410E" w14:textId="28762DAC" w:rsidR="003D6053" w:rsidRPr="00C24104" w:rsidRDefault="003D6053" w:rsidP="008C17D1">
      <w:pPr>
        <w:spacing w:before="120" w:after="0"/>
      </w:pPr>
    </w:p>
    <w:p w14:paraId="58C2F37A" w14:textId="77777777" w:rsidR="003D6053" w:rsidRPr="00C24104" w:rsidRDefault="003D6053" w:rsidP="008C17D1">
      <w:pPr>
        <w:spacing w:before="120" w:after="0"/>
      </w:pPr>
    </w:p>
    <w:p w14:paraId="28A2F26E" w14:textId="77777777" w:rsidR="00E43BC7" w:rsidRPr="00C24104" w:rsidRDefault="00E43BC7" w:rsidP="008C17D1">
      <w:pPr>
        <w:spacing w:before="120" w:after="0"/>
      </w:pPr>
    </w:p>
    <w:p w14:paraId="757CDF78" w14:textId="77777777" w:rsidR="00E43BC7" w:rsidRPr="00C24104" w:rsidRDefault="00E43BC7" w:rsidP="008C17D1">
      <w:pPr>
        <w:spacing w:before="120" w:after="0"/>
      </w:pPr>
    </w:p>
    <w:p w14:paraId="662E6396" w14:textId="3CCF3DA6" w:rsidR="008C17D1" w:rsidRPr="00C24104" w:rsidRDefault="00B7303E" w:rsidP="008C17D1">
      <w:pPr>
        <w:spacing w:before="120" w:after="0"/>
      </w:pPr>
      <w:r w:rsidRPr="00C24104">
        <w:t>Jak ukazuje mapa 2, v</w:t>
      </w:r>
      <w:r w:rsidR="008C17D1" w:rsidRPr="00C24104">
        <w:t>ývoj bytového fondu mezi lety 2011 a 2021 ukazuje pokles počtu bytů ve 44 obcích</w:t>
      </w:r>
      <w:r w:rsidRPr="00C24104">
        <w:t xml:space="preserve"> (žlutě, oranžově a červeně zbarvené kruhy)</w:t>
      </w:r>
      <w:r w:rsidR="008C17D1" w:rsidRPr="00C24104">
        <w:t>, zatímco nárůs</w:t>
      </w:r>
      <w:r w:rsidRPr="00C24104">
        <w:t>t byl zaznamenán jen v sedmi obcích (zeleně zbarvené kruhy). Ve dvou</w:t>
      </w:r>
      <w:r w:rsidR="008C17D1" w:rsidRPr="00C24104">
        <w:t xml:space="preserve"> </w:t>
      </w:r>
      <w:r w:rsidRPr="00C24104">
        <w:t xml:space="preserve">městských obvodech Ostravy </w:t>
      </w:r>
      <w:r w:rsidR="008C17D1" w:rsidRPr="00C24104">
        <w:t>se počet bytů nezměnil</w:t>
      </w:r>
      <w:r w:rsidRPr="00C24104">
        <w:t>, resp. byl v obou zkoumaných letech nulový</w:t>
      </w:r>
      <w:r w:rsidR="008C17D1" w:rsidRPr="00C24104">
        <w:t>. Tento úbytek je v rozporu s</w:t>
      </w:r>
      <w:r w:rsidRPr="00C24104">
        <w:t xml:space="preserve"> vizí spoluodpovědnosti obcí </w:t>
      </w:r>
      <w:r w:rsidR="008C17D1" w:rsidRPr="00C24104">
        <w:t xml:space="preserve">za zajištění bydlení. Při hodnocení tohoto poklesu je </w:t>
      </w:r>
      <w:r w:rsidRPr="00C24104">
        <w:t xml:space="preserve">nicméně </w:t>
      </w:r>
      <w:r w:rsidR="008C17D1" w:rsidRPr="00C24104">
        <w:t>nutné zohlednit specifické okolnosti vedoucí k rozhodnutí obce snižovat svůj bytový fond.</w:t>
      </w:r>
    </w:p>
    <w:p w14:paraId="24FFE61E" w14:textId="32A3E43C" w:rsidR="008C17D1" w:rsidRPr="00C24104" w:rsidRDefault="008C17D1" w:rsidP="008C17D1">
      <w:pPr>
        <w:pStyle w:val="Titulek"/>
      </w:pPr>
      <w:r w:rsidRPr="00C24104">
        <w:t xml:space="preserve">Mapa </w:t>
      </w:r>
      <w:r w:rsidR="009C7E3F" w:rsidRPr="00C24104">
        <w:fldChar w:fldCharType="begin"/>
      </w:r>
      <w:r w:rsidR="009C7E3F" w:rsidRPr="00C24104">
        <w:instrText xml:space="preserve"> SEQ Mapa \* ARABIC </w:instrText>
      </w:r>
      <w:r w:rsidR="009C7E3F" w:rsidRPr="00C24104">
        <w:fldChar w:fldCharType="separate"/>
      </w:r>
      <w:r w:rsidR="00B7303E" w:rsidRPr="00C24104">
        <w:rPr>
          <w:noProof/>
        </w:rPr>
        <w:t>2</w:t>
      </w:r>
      <w:r w:rsidR="009C7E3F" w:rsidRPr="00C24104">
        <w:rPr>
          <w:noProof/>
        </w:rPr>
        <w:fldChar w:fldCharType="end"/>
      </w:r>
      <w:r w:rsidRPr="00C24104">
        <w:t>: Vývoj velikosti bytového fondu v čase</w:t>
      </w:r>
    </w:p>
    <w:p w14:paraId="1CAF5526" w14:textId="4384C4D8" w:rsidR="008C17D1" w:rsidRPr="00C24104" w:rsidRDefault="008C17D1" w:rsidP="008C17D1">
      <w:pPr>
        <w:spacing w:before="120" w:after="0"/>
      </w:pPr>
      <w:r w:rsidRPr="00C24104">
        <w:rPr>
          <w:noProof/>
          <w:lang w:eastAsia="cs-CZ"/>
        </w:rPr>
        <w:drawing>
          <wp:inline distT="0" distB="0" distL="0" distR="0" wp14:anchorId="3025A5F9" wp14:editId="77E4539C">
            <wp:extent cx="6371590" cy="5762051"/>
            <wp:effectExtent l="0" t="0" r="0" b="0"/>
            <wp:docPr id="16" name="Obrázek 16" descr="MSK_bydlení_změ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K_bydlení_změna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1590" cy="5762051"/>
                    </a:xfrm>
                    <a:prstGeom prst="rect">
                      <a:avLst/>
                    </a:prstGeom>
                    <a:noFill/>
                    <a:ln>
                      <a:noFill/>
                    </a:ln>
                  </pic:spPr>
                </pic:pic>
              </a:graphicData>
            </a:graphic>
          </wp:inline>
        </w:drawing>
      </w:r>
    </w:p>
    <w:p w14:paraId="0D625C9D" w14:textId="79E562AD" w:rsidR="008C17D1" w:rsidRPr="00C24104" w:rsidRDefault="008C17D1" w:rsidP="00B7303E">
      <w:pPr>
        <w:spacing w:before="120" w:after="0"/>
      </w:pPr>
      <w:r w:rsidRPr="00C24104">
        <w:t xml:space="preserve">V textu </w:t>
      </w:r>
      <w:r w:rsidR="001E515E" w:rsidRPr="00C24104">
        <w:t>Analýzy</w:t>
      </w:r>
      <w:r w:rsidRPr="00C24104">
        <w:t xml:space="preserve"> je dále také hodnocen vztah mezi velikostí bytového fondu a různými skupinami obyvatel, zejména pak ale takovými, které se na volném trhu s bydlením mohou potýkat s celou řadou problémů. </w:t>
      </w:r>
      <w:r w:rsidR="00B7303E" w:rsidRPr="00C24104">
        <w:t>Senioři, zejména osamělé seniorky s nízkými příjmy, jsou ohroženi kvůli nízkým důchodům a potřebě bezbariérového bydlení. Žadatelé s nízkým vzděláním jsou ohroženi kvůli nedostatečným příjmům vyplývajícím z jejich omezeného potenciálu na trhu práce. Dospělé osoby do 30 let jsou často zne</w:t>
      </w:r>
      <w:r w:rsidR="00F66642" w:rsidRPr="00C24104">
        <w:t>výhodněné kvůli nižším příjmům souvisejícím se začátkem pracovní kariéry, ale i vyšší výdajům plynoucím například ze zakládání rodiny či zařizování prvního bydlení</w:t>
      </w:r>
      <w:r w:rsidR="00B7303E" w:rsidRPr="00C24104">
        <w:t xml:space="preserve">. Zadluženým osobám pak snižuje šance na získání bydlení jejich nižší důvěryhodnost z pohledu pronajímatele. Nezaměstnané osoby mají horší dostupnost bydlení kvůli nízkým příjmům a dalším problémům souvisejícím s nezaměstnaností. Konečně, nízké finance jsou příčinou zhoršené dostupnosti bydlení i pro osoby v domácnostech, do nichž je vyplácen příspěvek na bydlení či živobytí. </w:t>
      </w:r>
      <w:r w:rsidRPr="00C24104">
        <w:t xml:space="preserve">Výpočtem údaje o počtu potenciálních žadatelů na jeden obecní byt bylo zjištěno, že nejvyšší počet žadatelů na jeden byt je obecně mezi ekonomicky aktivními obyvateli, </w:t>
      </w:r>
      <w:r w:rsidR="001E515E" w:rsidRPr="00C24104">
        <w:t xml:space="preserve">dále pak mezi seniory, osobami se základním a neukončeným základním vzdělání, po nich následují mladí dospělí do 30 let, osoby v exekuci, nejnižší počet osob na 1 byt je pak mezi nezaměstnanými a osobami v domácnostech, do nichž je vyplácen příspěvek na živobytí či na bydlení. Situace se ale liší vždy podle </w:t>
      </w:r>
      <w:r w:rsidR="00B7303E" w:rsidRPr="00C24104">
        <w:t xml:space="preserve">obcí či městských obvodů. </w:t>
      </w:r>
    </w:p>
    <w:p w14:paraId="69D2DDA8" w14:textId="1C782CE4" w:rsidR="001E515E" w:rsidRPr="00C24104" w:rsidRDefault="001E515E" w:rsidP="001E515E">
      <w:pPr>
        <w:spacing w:before="120" w:after="0"/>
      </w:pPr>
      <w:r w:rsidRPr="00C24104">
        <w:t xml:space="preserve">Analýza se také věnuje problematice </w:t>
      </w:r>
      <w:r w:rsidR="008C17D1" w:rsidRPr="00C24104">
        <w:t>sociální</w:t>
      </w:r>
      <w:r w:rsidRPr="00C24104">
        <w:t>ho</w:t>
      </w:r>
      <w:r w:rsidR="008C17D1" w:rsidRPr="00C24104">
        <w:t xml:space="preserve"> vyloučení, které úzce souvisí s dostupností bydlení. </w:t>
      </w:r>
      <w:r w:rsidRPr="00C24104">
        <w:t>Podle různých ukazatelů přitom MSK p</w:t>
      </w:r>
      <w:r w:rsidR="008C17D1" w:rsidRPr="00C24104">
        <w:t xml:space="preserve">atří mezi oblasti </w:t>
      </w:r>
      <w:r w:rsidRPr="00C24104">
        <w:t xml:space="preserve">v ČR </w:t>
      </w:r>
      <w:r w:rsidR="008C17D1" w:rsidRPr="00C24104">
        <w:t>s vysokou koncentrací sociálně vyloučených lokalit.</w:t>
      </w:r>
      <w:r w:rsidRPr="00C24104">
        <w:t xml:space="preserve"> S využitím „indexu s</w:t>
      </w:r>
      <w:r w:rsidR="000E4FD4" w:rsidRPr="00C24104">
        <w:t>ociálního vyloučení“ Agentury</w:t>
      </w:r>
      <w:r w:rsidRPr="00C24104">
        <w:t xml:space="preserve"> pro sociální začleňování byla </w:t>
      </w:r>
      <w:r w:rsidR="006809B9" w:rsidRPr="00C24104">
        <w:t>identifikována</w:t>
      </w:r>
      <w:r w:rsidRPr="00C24104">
        <w:t xml:space="preserve"> míra sociálního vyloučení ve zkoumaných obcích MSK. Index sociálního vyloučení je vypočítáván s využitím indikátoru pobírání příspěvku na živobytí, pobíraní příspěvku na bydlení, předčasný odchod ze systému základního vzdělání, dlouhodobá nezaměstnanost ale i exekuce. Počet osob v exekuci přitom není veřejně dostupný na úrovni městských obvodů Ostravy. Proto mapa 3 neposkytuje informaci o sociálním vyloučení v rámci těchto územních jednotek.</w:t>
      </w:r>
      <w:r w:rsidR="009E35F1" w:rsidRPr="00C24104">
        <w:t xml:space="preserve"> </w:t>
      </w:r>
      <w:r w:rsidR="000E4FD4" w:rsidRPr="00C24104">
        <w:t>Rozsah hodnot indexu se pohybuje od 0 do 30 bodů. Hodnota 30 bodů označuje maximální míru sociálního vyloučení v obci. Naopak hodnota 0 označuje minim</w:t>
      </w:r>
      <w:r w:rsidR="00853EF6" w:rsidRPr="00C24104">
        <w:t xml:space="preserve">ální míru sociálního vyloučení. </w:t>
      </w:r>
      <w:r w:rsidR="000E4FD4" w:rsidRPr="00C24104">
        <w:t xml:space="preserve">Prostřednictvím kategorizace je index rozdělen na 4 stupně o rozsahu 0 až 1, 2 až 7, 8 až 11 a 12 až 30. </w:t>
      </w:r>
      <w:r w:rsidR="009E35F1" w:rsidRPr="00C24104">
        <w:t>Z mapy je přitom zřejmé, že v obcích MSK je index sociálního vyloučení vysoký.</w:t>
      </w:r>
    </w:p>
    <w:p w14:paraId="04BBDDE7" w14:textId="4A23C85D" w:rsidR="00B7303E" w:rsidRPr="00C24104" w:rsidRDefault="00B7303E" w:rsidP="00B7303E">
      <w:pPr>
        <w:pStyle w:val="Titulek"/>
      </w:pPr>
      <w:r w:rsidRPr="00C24104">
        <w:t xml:space="preserve">Mapa </w:t>
      </w:r>
      <w:r w:rsidR="009C7E3F" w:rsidRPr="00C24104">
        <w:fldChar w:fldCharType="begin"/>
      </w:r>
      <w:r w:rsidR="009C7E3F" w:rsidRPr="00C24104">
        <w:instrText xml:space="preserve"> SEQ Mapa \* ARABIC </w:instrText>
      </w:r>
      <w:r w:rsidR="009C7E3F" w:rsidRPr="00C24104">
        <w:fldChar w:fldCharType="separate"/>
      </w:r>
      <w:r w:rsidRPr="00C24104">
        <w:rPr>
          <w:noProof/>
        </w:rPr>
        <w:t>3</w:t>
      </w:r>
      <w:r w:rsidR="009C7E3F" w:rsidRPr="00C24104">
        <w:rPr>
          <w:noProof/>
        </w:rPr>
        <w:fldChar w:fldCharType="end"/>
      </w:r>
      <w:r w:rsidRPr="00C24104">
        <w:t>: Míra sociálního vyloučení</w:t>
      </w:r>
    </w:p>
    <w:p w14:paraId="40EDC7C8" w14:textId="23489385" w:rsidR="008C17D1" w:rsidRPr="00C24104" w:rsidRDefault="006809B9" w:rsidP="008C17D1">
      <w:pPr>
        <w:spacing w:before="120" w:after="0"/>
      </w:pPr>
      <w:r w:rsidRPr="00C24104">
        <w:rPr>
          <w:noProof/>
          <w:lang w:eastAsia="cs-CZ"/>
        </w:rPr>
        <w:drawing>
          <wp:inline distT="0" distB="0" distL="0" distR="0" wp14:anchorId="578F8CAC" wp14:editId="546E3733">
            <wp:extent cx="6362700" cy="5734050"/>
            <wp:effectExtent l="0" t="0" r="0" b="0"/>
            <wp:docPr id="8" name="Obrázek 8" descr="MSK_bydlení_soc_v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K_bydlení_soc_vy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700" cy="5734050"/>
                    </a:xfrm>
                    <a:prstGeom prst="rect">
                      <a:avLst/>
                    </a:prstGeom>
                    <a:noFill/>
                    <a:ln>
                      <a:noFill/>
                    </a:ln>
                  </pic:spPr>
                </pic:pic>
              </a:graphicData>
            </a:graphic>
          </wp:inline>
        </w:drawing>
      </w:r>
    </w:p>
    <w:p w14:paraId="5D0AAEAD" w14:textId="74BA5761" w:rsidR="00E630C5" w:rsidRPr="00C24104" w:rsidRDefault="00E630C5" w:rsidP="00E630C5">
      <w:pPr>
        <w:spacing w:before="120" w:after="0"/>
      </w:pPr>
      <w:r w:rsidRPr="00C24104">
        <w:t>Text Analýzy se dále zabýval pravidly distribuce obecních bytů. Zjištění se přitom opírají o sekundární analýzy dokumentů obcí o podmínkách poskytování pronájmů v obecních bytech. Sekundární analýza ukázala, že pravidla se mnohdy liší podle cílových skupin žadatelů, ale i že mnohé informace o pravidlech distribuce bytů zveřejněné obcemi jsou obtížně porovnatelné. Proto bylo za účelem posílení validity dat o distribuci bytů provedeno dotazníkové šetření, realizované mezi obcemi v období dubna a května 2024. Z 52 oslovených obcí se zapojilo 42. Údaje z dotazníků byly zpracovány statistickými postupy.</w:t>
      </w:r>
    </w:p>
    <w:p w14:paraId="7DDC1D94" w14:textId="76588268" w:rsidR="00E630C5" w:rsidRPr="00C24104" w:rsidRDefault="00E630C5" w:rsidP="00E630C5">
      <w:pPr>
        <w:spacing w:before="120" w:after="0"/>
      </w:pPr>
      <w:r w:rsidRPr="00C24104">
        <w:t xml:space="preserve">Tabulky </w:t>
      </w:r>
      <w:r w:rsidR="00B75775" w:rsidRPr="00C24104">
        <w:t>3</w:t>
      </w:r>
      <w:r w:rsidRPr="00C24104">
        <w:t xml:space="preserve"> až </w:t>
      </w:r>
      <w:r w:rsidR="00B75775" w:rsidRPr="00C24104">
        <w:t>5</w:t>
      </w:r>
      <w:r w:rsidRPr="00C24104">
        <w:t xml:space="preserve"> ukazují, které obce se do šetření zapojily, aktuální počty jejich bytů a objem ročně distribuovaných bytů. Analýza přitom ukázala, že v roce 2023 se k pronájmu uvolnila jen malá část bytového fondu obcí. Vyšší podíl uvolněného bytového fondu byl také zaznamenán v jednom z MO Ostravy, konkrétně ve Staré Bělé.  Tato zjištění naznačují, že nájemníci obecních bytů jsou buď spokojeni, nebo nemají jiné lepší alternativy k bydlení.</w:t>
      </w:r>
    </w:p>
    <w:p w14:paraId="2E07A647" w14:textId="4D997034" w:rsidR="00E630C5" w:rsidRPr="00C24104" w:rsidRDefault="00B75775" w:rsidP="00B75775">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3</w:t>
      </w:r>
      <w:r w:rsidR="009C7E3F" w:rsidRPr="00C24104">
        <w:rPr>
          <w:noProof/>
        </w:rPr>
        <w:fldChar w:fldCharType="end"/>
      </w:r>
      <w:r w:rsidR="00E630C5" w:rsidRPr="00C24104">
        <w:t>: (relativní) objem ročně distribuovaných obecních bytů u ORP</w:t>
      </w:r>
    </w:p>
    <w:tbl>
      <w:tblPr>
        <w:tblStyle w:val="Tmavtabulkasmkou5zvraznn3"/>
        <w:tblW w:w="10060" w:type="dxa"/>
        <w:tblLook w:val="0480" w:firstRow="0" w:lastRow="0" w:firstColumn="1" w:lastColumn="0" w:noHBand="0" w:noVBand="1"/>
      </w:tblPr>
      <w:tblGrid>
        <w:gridCol w:w="4248"/>
        <w:gridCol w:w="1937"/>
        <w:gridCol w:w="1937"/>
        <w:gridCol w:w="1938"/>
      </w:tblGrid>
      <w:tr w:rsidR="00E43BC7" w:rsidRPr="00C24104" w14:paraId="0A2A56D9" w14:textId="77777777" w:rsidTr="00C82BD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47AC5BE" w14:textId="77777777" w:rsidR="00E43BC7" w:rsidRPr="00C24104" w:rsidRDefault="00E43BC7" w:rsidP="00C82BD1">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w:t>
            </w:r>
          </w:p>
        </w:tc>
        <w:tc>
          <w:tcPr>
            <w:tcW w:w="1937" w:type="dxa"/>
            <w:hideMark/>
          </w:tcPr>
          <w:p w14:paraId="1500CC30"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aktuální počet obecních bytů</w:t>
            </w:r>
          </w:p>
        </w:tc>
        <w:tc>
          <w:tcPr>
            <w:tcW w:w="1937" w:type="dxa"/>
            <w:hideMark/>
          </w:tcPr>
          <w:p w14:paraId="5AA60FD3"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počet bytů uvolněných v roce 2023 k pronájmu</w:t>
            </w:r>
          </w:p>
        </w:tc>
        <w:tc>
          <w:tcPr>
            <w:tcW w:w="1938" w:type="dxa"/>
            <w:hideMark/>
          </w:tcPr>
          <w:p w14:paraId="2FB9E8F2"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podíl bytů uvolněných v roce 2023 k pronájmu</w:t>
            </w:r>
          </w:p>
        </w:tc>
      </w:tr>
      <w:tr w:rsidR="00E43BC7" w:rsidRPr="00C24104" w14:paraId="4C05E24D"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5526886"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Jablunkov</w:t>
            </w:r>
          </w:p>
        </w:tc>
        <w:tc>
          <w:tcPr>
            <w:tcW w:w="1937" w:type="dxa"/>
            <w:hideMark/>
          </w:tcPr>
          <w:p w14:paraId="15809E2C"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57</w:t>
            </w:r>
          </w:p>
        </w:tc>
        <w:tc>
          <w:tcPr>
            <w:tcW w:w="1937" w:type="dxa"/>
            <w:hideMark/>
          </w:tcPr>
          <w:p w14:paraId="0240A806"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w:t>
            </w:r>
          </w:p>
        </w:tc>
        <w:tc>
          <w:tcPr>
            <w:tcW w:w="1938" w:type="dxa"/>
            <w:hideMark/>
          </w:tcPr>
          <w:p w14:paraId="057A9DD7"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12,3 %</w:t>
            </w:r>
          </w:p>
        </w:tc>
      </w:tr>
      <w:tr w:rsidR="00E43BC7" w:rsidRPr="00C24104" w14:paraId="501C970F"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8C7805A"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Český Těšín</w:t>
            </w:r>
          </w:p>
        </w:tc>
        <w:tc>
          <w:tcPr>
            <w:tcW w:w="1937" w:type="dxa"/>
            <w:hideMark/>
          </w:tcPr>
          <w:p w14:paraId="3893C5D3"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161</w:t>
            </w:r>
          </w:p>
        </w:tc>
        <w:tc>
          <w:tcPr>
            <w:tcW w:w="1937" w:type="dxa"/>
            <w:hideMark/>
          </w:tcPr>
          <w:p w14:paraId="18191449"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17</w:t>
            </w:r>
          </w:p>
        </w:tc>
        <w:tc>
          <w:tcPr>
            <w:tcW w:w="1938" w:type="dxa"/>
            <w:hideMark/>
          </w:tcPr>
          <w:p w14:paraId="152BE5D3"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10,6 %</w:t>
            </w:r>
          </w:p>
        </w:tc>
      </w:tr>
      <w:tr w:rsidR="00E43BC7" w:rsidRPr="00C24104" w14:paraId="22038590"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DBF842"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Orlová</w:t>
            </w:r>
          </w:p>
        </w:tc>
        <w:tc>
          <w:tcPr>
            <w:tcW w:w="1937" w:type="dxa"/>
            <w:hideMark/>
          </w:tcPr>
          <w:p w14:paraId="58CFE5B3"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525</w:t>
            </w:r>
          </w:p>
        </w:tc>
        <w:tc>
          <w:tcPr>
            <w:tcW w:w="1937" w:type="dxa"/>
            <w:hideMark/>
          </w:tcPr>
          <w:p w14:paraId="3AABE942"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52</w:t>
            </w:r>
          </w:p>
        </w:tc>
        <w:tc>
          <w:tcPr>
            <w:tcW w:w="1938" w:type="dxa"/>
            <w:hideMark/>
          </w:tcPr>
          <w:p w14:paraId="70204BA9"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9,9 %</w:t>
            </w:r>
          </w:p>
        </w:tc>
      </w:tr>
      <w:tr w:rsidR="00E43BC7" w:rsidRPr="00C24104" w14:paraId="48706672"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C279FD4"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Karviná</w:t>
            </w:r>
          </w:p>
        </w:tc>
        <w:tc>
          <w:tcPr>
            <w:tcW w:w="1937" w:type="dxa"/>
            <w:hideMark/>
          </w:tcPr>
          <w:p w14:paraId="172B82E7"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697</w:t>
            </w:r>
          </w:p>
        </w:tc>
        <w:tc>
          <w:tcPr>
            <w:tcW w:w="1937" w:type="dxa"/>
            <w:hideMark/>
          </w:tcPr>
          <w:p w14:paraId="7B498732"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51</w:t>
            </w:r>
          </w:p>
        </w:tc>
        <w:tc>
          <w:tcPr>
            <w:tcW w:w="1938" w:type="dxa"/>
            <w:hideMark/>
          </w:tcPr>
          <w:p w14:paraId="4ED47A9B"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7,3 %</w:t>
            </w:r>
          </w:p>
        </w:tc>
      </w:tr>
      <w:tr w:rsidR="00E43BC7" w:rsidRPr="00C24104" w14:paraId="2DDB79D0"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B1710F6"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Krnov</w:t>
            </w:r>
          </w:p>
        </w:tc>
        <w:tc>
          <w:tcPr>
            <w:tcW w:w="1937" w:type="dxa"/>
            <w:hideMark/>
          </w:tcPr>
          <w:p w14:paraId="5EF27645"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1535</w:t>
            </w:r>
          </w:p>
        </w:tc>
        <w:tc>
          <w:tcPr>
            <w:tcW w:w="1937" w:type="dxa"/>
            <w:hideMark/>
          </w:tcPr>
          <w:p w14:paraId="16B02B28"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106</w:t>
            </w:r>
          </w:p>
        </w:tc>
        <w:tc>
          <w:tcPr>
            <w:tcW w:w="1938" w:type="dxa"/>
            <w:hideMark/>
          </w:tcPr>
          <w:p w14:paraId="7F745B32"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6,9 %</w:t>
            </w:r>
          </w:p>
        </w:tc>
      </w:tr>
      <w:tr w:rsidR="00E43BC7" w:rsidRPr="00C24104" w14:paraId="3E52552F"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7DCE2B9"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Frýdek</w:t>
            </w:r>
            <w:r w:rsidRPr="00C24104">
              <w:rPr>
                <w:rFonts w:asciiTheme="majorHAnsi" w:eastAsia="Times New Roman" w:hAnsiTheme="majorHAnsi" w:cstheme="majorHAnsi"/>
                <w:b w:val="0"/>
                <w:szCs w:val="24"/>
                <w:lang w:eastAsia="cs-CZ"/>
              </w:rPr>
              <w:noBreakHyphen/>
              <w:t>Místek</w:t>
            </w:r>
          </w:p>
        </w:tc>
        <w:tc>
          <w:tcPr>
            <w:tcW w:w="1937" w:type="dxa"/>
            <w:hideMark/>
          </w:tcPr>
          <w:p w14:paraId="4FF2BBF5"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1307</w:t>
            </w:r>
          </w:p>
        </w:tc>
        <w:tc>
          <w:tcPr>
            <w:tcW w:w="1937" w:type="dxa"/>
            <w:hideMark/>
          </w:tcPr>
          <w:p w14:paraId="2E217D4C"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89</w:t>
            </w:r>
          </w:p>
        </w:tc>
        <w:tc>
          <w:tcPr>
            <w:tcW w:w="1938" w:type="dxa"/>
            <w:hideMark/>
          </w:tcPr>
          <w:p w14:paraId="55D09789"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6,8 %</w:t>
            </w:r>
          </w:p>
        </w:tc>
      </w:tr>
      <w:tr w:rsidR="00E43BC7" w:rsidRPr="00C24104" w14:paraId="7354C4A0"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79AD3EC"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Vítkov</w:t>
            </w:r>
          </w:p>
        </w:tc>
        <w:tc>
          <w:tcPr>
            <w:tcW w:w="1937" w:type="dxa"/>
            <w:hideMark/>
          </w:tcPr>
          <w:p w14:paraId="09C0FB80"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335</w:t>
            </w:r>
          </w:p>
        </w:tc>
        <w:tc>
          <w:tcPr>
            <w:tcW w:w="1937" w:type="dxa"/>
            <w:hideMark/>
          </w:tcPr>
          <w:p w14:paraId="4B7D0D3B"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20</w:t>
            </w:r>
          </w:p>
        </w:tc>
        <w:tc>
          <w:tcPr>
            <w:tcW w:w="1938" w:type="dxa"/>
            <w:hideMark/>
          </w:tcPr>
          <w:p w14:paraId="17715EF6"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6,0 %</w:t>
            </w:r>
          </w:p>
        </w:tc>
      </w:tr>
      <w:tr w:rsidR="00E43BC7" w:rsidRPr="00C24104" w14:paraId="07F8923E"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6083659"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Frýdlant nad Ostravicí</w:t>
            </w:r>
          </w:p>
        </w:tc>
        <w:tc>
          <w:tcPr>
            <w:tcW w:w="1937" w:type="dxa"/>
            <w:hideMark/>
          </w:tcPr>
          <w:p w14:paraId="5419B080"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120</w:t>
            </w:r>
          </w:p>
        </w:tc>
        <w:tc>
          <w:tcPr>
            <w:tcW w:w="1937" w:type="dxa"/>
            <w:hideMark/>
          </w:tcPr>
          <w:p w14:paraId="7894F2DE"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w:t>
            </w:r>
          </w:p>
        </w:tc>
        <w:tc>
          <w:tcPr>
            <w:tcW w:w="1938" w:type="dxa"/>
            <w:hideMark/>
          </w:tcPr>
          <w:p w14:paraId="05361CB9"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5,8 %</w:t>
            </w:r>
          </w:p>
        </w:tc>
      </w:tr>
      <w:tr w:rsidR="00E43BC7" w:rsidRPr="00C24104" w14:paraId="32395910"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60F0E5E"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Kopřivnice</w:t>
            </w:r>
          </w:p>
        </w:tc>
        <w:tc>
          <w:tcPr>
            <w:tcW w:w="1937" w:type="dxa"/>
            <w:hideMark/>
          </w:tcPr>
          <w:p w14:paraId="6AA70EAD"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916</w:t>
            </w:r>
          </w:p>
        </w:tc>
        <w:tc>
          <w:tcPr>
            <w:tcW w:w="1937" w:type="dxa"/>
            <w:hideMark/>
          </w:tcPr>
          <w:p w14:paraId="25EAFD95"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47</w:t>
            </w:r>
          </w:p>
        </w:tc>
        <w:tc>
          <w:tcPr>
            <w:tcW w:w="1938" w:type="dxa"/>
            <w:hideMark/>
          </w:tcPr>
          <w:p w14:paraId="430F04D6"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5,1 %</w:t>
            </w:r>
          </w:p>
        </w:tc>
      </w:tr>
      <w:tr w:rsidR="00E43BC7" w:rsidRPr="00C24104" w14:paraId="30302116"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D1A940D"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Bohumín</w:t>
            </w:r>
          </w:p>
        </w:tc>
        <w:tc>
          <w:tcPr>
            <w:tcW w:w="1937" w:type="dxa"/>
            <w:hideMark/>
          </w:tcPr>
          <w:p w14:paraId="5FAE9D5F"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4265</w:t>
            </w:r>
          </w:p>
        </w:tc>
        <w:tc>
          <w:tcPr>
            <w:tcW w:w="1937" w:type="dxa"/>
            <w:hideMark/>
          </w:tcPr>
          <w:p w14:paraId="48D83FDF"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200</w:t>
            </w:r>
          </w:p>
        </w:tc>
        <w:tc>
          <w:tcPr>
            <w:tcW w:w="1938" w:type="dxa"/>
            <w:hideMark/>
          </w:tcPr>
          <w:p w14:paraId="2B17193E"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4,7 %</w:t>
            </w:r>
          </w:p>
        </w:tc>
      </w:tr>
      <w:tr w:rsidR="00E43BC7" w:rsidRPr="00C24104" w14:paraId="5CEAAE7D"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4172205C" w14:textId="77777777" w:rsidR="00E43BC7" w:rsidRPr="00C24104" w:rsidRDefault="00E43BC7" w:rsidP="00C82BD1">
            <w:pPr>
              <w:jc w:val="left"/>
              <w:rPr>
                <w:rFonts w:asciiTheme="minorHAnsi" w:eastAsia="Times New Roman" w:hAnsiTheme="minorHAnsi" w:cstheme="minorHAnsi"/>
                <w:b w:val="0"/>
                <w:szCs w:val="24"/>
                <w:lang w:eastAsia="cs-CZ"/>
              </w:rPr>
            </w:pPr>
            <w:r w:rsidRPr="00C24104">
              <w:rPr>
                <w:rFonts w:asciiTheme="minorHAnsi" w:hAnsiTheme="minorHAnsi" w:cstheme="minorHAnsi"/>
                <w:b w:val="0"/>
                <w:szCs w:val="24"/>
              </w:rPr>
              <w:t>Opava</w:t>
            </w:r>
          </w:p>
        </w:tc>
        <w:tc>
          <w:tcPr>
            <w:tcW w:w="1937" w:type="dxa"/>
          </w:tcPr>
          <w:p w14:paraId="52503B51"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cs-CZ"/>
              </w:rPr>
            </w:pPr>
            <w:r w:rsidRPr="00C24104">
              <w:rPr>
                <w:rFonts w:asciiTheme="minorHAnsi" w:hAnsiTheme="minorHAnsi" w:cstheme="minorHAnsi"/>
                <w:szCs w:val="24"/>
              </w:rPr>
              <w:t>548</w:t>
            </w:r>
          </w:p>
        </w:tc>
        <w:tc>
          <w:tcPr>
            <w:tcW w:w="1937" w:type="dxa"/>
          </w:tcPr>
          <w:p w14:paraId="6B0080B8"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cs-CZ"/>
              </w:rPr>
            </w:pPr>
            <w:r w:rsidRPr="00C24104">
              <w:rPr>
                <w:rFonts w:asciiTheme="minorHAnsi" w:hAnsiTheme="minorHAnsi" w:cstheme="minorHAnsi"/>
                <w:szCs w:val="24"/>
              </w:rPr>
              <w:t>25</w:t>
            </w:r>
          </w:p>
        </w:tc>
        <w:tc>
          <w:tcPr>
            <w:tcW w:w="1938" w:type="dxa"/>
          </w:tcPr>
          <w:p w14:paraId="0D56FB13" w14:textId="75CDEED5"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cs-CZ"/>
              </w:rPr>
            </w:pPr>
            <w:r w:rsidRPr="00C24104">
              <w:rPr>
                <w:rFonts w:asciiTheme="minorHAnsi" w:hAnsiTheme="minorHAnsi" w:cstheme="minorHAnsi"/>
                <w:szCs w:val="24"/>
              </w:rPr>
              <w:t>4,6 %</w:t>
            </w:r>
          </w:p>
        </w:tc>
      </w:tr>
      <w:tr w:rsidR="00E43BC7" w:rsidRPr="00C24104" w14:paraId="1C7FB5E6"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tcPr>
          <w:p w14:paraId="3234E028" w14:textId="77777777" w:rsidR="00E43BC7" w:rsidRPr="00C24104" w:rsidRDefault="00E43BC7" w:rsidP="00C82BD1">
            <w:pPr>
              <w:jc w:val="left"/>
              <w:rPr>
                <w:rFonts w:asciiTheme="minorHAnsi" w:hAnsiTheme="minorHAnsi" w:cstheme="minorHAnsi"/>
                <w:b w:val="0"/>
                <w:szCs w:val="24"/>
              </w:rPr>
            </w:pPr>
            <w:r w:rsidRPr="00C24104">
              <w:rPr>
                <w:rFonts w:asciiTheme="minorHAnsi" w:hAnsiTheme="minorHAnsi" w:cstheme="minorHAnsi"/>
                <w:b w:val="0"/>
                <w:szCs w:val="24"/>
              </w:rPr>
              <w:t>Rýmařov</w:t>
            </w:r>
          </w:p>
        </w:tc>
        <w:tc>
          <w:tcPr>
            <w:tcW w:w="1937" w:type="dxa"/>
          </w:tcPr>
          <w:p w14:paraId="318823D7"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24104">
              <w:rPr>
                <w:rFonts w:asciiTheme="minorHAnsi" w:hAnsiTheme="minorHAnsi" w:cstheme="minorHAnsi"/>
                <w:szCs w:val="24"/>
              </w:rPr>
              <w:t>1243</w:t>
            </w:r>
          </w:p>
        </w:tc>
        <w:tc>
          <w:tcPr>
            <w:tcW w:w="1937" w:type="dxa"/>
          </w:tcPr>
          <w:p w14:paraId="4ED3C99E"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24104">
              <w:rPr>
                <w:rFonts w:asciiTheme="minorHAnsi" w:hAnsiTheme="minorHAnsi" w:cstheme="minorHAnsi"/>
                <w:szCs w:val="24"/>
              </w:rPr>
              <w:t>57</w:t>
            </w:r>
          </w:p>
        </w:tc>
        <w:tc>
          <w:tcPr>
            <w:tcW w:w="1938" w:type="dxa"/>
          </w:tcPr>
          <w:p w14:paraId="2DEA9C6C" w14:textId="78D72882"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24104">
              <w:rPr>
                <w:rFonts w:asciiTheme="minorHAnsi" w:hAnsiTheme="minorHAnsi" w:cstheme="minorHAnsi"/>
                <w:szCs w:val="24"/>
              </w:rPr>
              <w:t>4,6 %</w:t>
            </w:r>
          </w:p>
        </w:tc>
      </w:tr>
      <w:tr w:rsidR="00E43BC7" w:rsidRPr="00C24104" w14:paraId="0ADF6BB8"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A720A26"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Bílovec</w:t>
            </w:r>
          </w:p>
        </w:tc>
        <w:tc>
          <w:tcPr>
            <w:tcW w:w="1937" w:type="dxa"/>
            <w:hideMark/>
          </w:tcPr>
          <w:p w14:paraId="33FC4C97"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339</w:t>
            </w:r>
          </w:p>
        </w:tc>
        <w:tc>
          <w:tcPr>
            <w:tcW w:w="1937" w:type="dxa"/>
            <w:hideMark/>
          </w:tcPr>
          <w:p w14:paraId="71130F33"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15</w:t>
            </w:r>
          </w:p>
        </w:tc>
        <w:tc>
          <w:tcPr>
            <w:tcW w:w="1938" w:type="dxa"/>
            <w:hideMark/>
          </w:tcPr>
          <w:p w14:paraId="033B0946"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4,4 %</w:t>
            </w:r>
          </w:p>
        </w:tc>
      </w:tr>
      <w:tr w:rsidR="00E43BC7" w:rsidRPr="00C24104" w14:paraId="18EF2E2D" w14:textId="77777777" w:rsidTr="00C82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834288B"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Bruntál</w:t>
            </w:r>
          </w:p>
        </w:tc>
        <w:tc>
          <w:tcPr>
            <w:tcW w:w="1937" w:type="dxa"/>
            <w:hideMark/>
          </w:tcPr>
          <w:p w14:paraId="44043DE5"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1309</w:t>
            </w:r>
          </w:p>
        </w:tc>
        <w:tc>
          <w:tcPr>
            <w:tcW w:w="1937" w:type="dxa"/>
            <w:hideMark/>
          </w:tcPr>
          <w:p w14:paraId="71C749D6"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53</w:t>
            </w:r>
          </w:p>
        </w:tc>
        <w:tc>
          <w:tcPr>
            <w:tcW w:w="1938" w:type="dxa"/>
            <w:hideMark/>
          </w:tcPr>
          <w:p w14:paraId="05689A2C" w14:textId="77777777" w:rsidR="00E43BC7" w:rsidRPr="00C24104" w:rsidRDefault="00E43BC7" w:rsidP="00C82BD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4,0 %</w:t>
            </w:r>
          </w:p>
        </w:tc>
      </w:tr>
      <w:tr w:rsidR="00E43BC7" w:rsidRPr="00C24104" w14:paraId="2EB13256" w14:textId="77777777" w:rsidTr="00C82BD1">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ACB43EC" w14:textId="77777777" w:rsidR="00E43BC7" w:rsidRPr="00C24104" w:rsidRDefault="00E43BC7" w:rsidP="00C82BD1">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Frenštát pod Radhoštěm</w:t>
            </w:r>
          </w:p>
        </w:tc>
        <w:tc>
          <w:tcPr>
            <w:tcW w:w="1937" w:type="dxa"/>
            <w:hideMark/>
          </w:tcPr>
          <w:p w14:paraId="52F98AD3"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900</w:t>
            </w:r>
          </w:p>
        </w:tc>
        <w:tc>
          <w:tcPr>
            <w:tcW w:w="1937" w:type="dxa"/>
            <w:hideMark/>
          </w:tcPr>
          <w:p w14:paraId="4A4FB58A"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0</w:t>
            </w:r>
          </w:p>
        </w:tc>
        <w:tc>
          <w:tcPr>
            <w:tcW w:w="1938" w:type="dxa"/>
            <w:hideMark/>
          </w:tcPr>
          <w:p w14:paraId="6EF456C2" w14:textId="77777777" w:rsidR="00E43BC7" w:rsidRPr="00C24104" w:rsidRDefault="00E43BC7" w:rsidP="00C82BD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0,0 %</w:t>
            </w:r>
          </w:p>
        </w:tc>
      </w:tr>
    </w:tbl>
    <w:p w14:paraId="36D26E59" w14:textId="1A17EC72" w:rsidR="00E630C5" w:rsidRPr="00C24104" w:rsidRDefault="00B75775" w:rsidP="00B75775">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4</w:t>
      </w:r>
      <w:r w:rsidR="009C7E3F" w:rsidRPr="00C24104">
        <w:rPr>
          <w:noProof/>
        </w:rPr>
        <w:fldChar w:fldCharType="end"/>
      </w:r>
      <w:r w:rsidR="00E630C5" w:rsidRPr="00C24104">
        <w:t xml:space="preserve">: (relativní) objem ročně distribuovaných obecních bytů u </w:t>
      </w:r>
      <w:proofErr w:type="spellStart"/>
      <w:r w:rsidR="00E630C5" w:rsidRPr="00C24104">
        <w:t>OsPOÚ</w:t>
      </w:r>
      <w:proofErr w:type="spellEnd"/>
    </w:p>
    <w:tbl>
      <w:tblPr>
        <w:tblStyle w:val="Tmavtabulkasmkou5zvraznn3"/>
        <w:tblW w:w="10060" w:type="dxa"/>
        <w:tblLook w:val="0480" w:firstRow="0" w:lastRow="0" w:firstColumn="1" w:lastColumn="0" w:noHBand="0" w:noVBand="1"/>
      </w:tblPr>
      <w:tblGrid>
        <w:gridCol w:w="4248"/>
        <w:gridCol w:w="1937"/>
        <w:gridCol w:w="1937"/>
        <w:gridCol w:w="1938"/>
      </w:tblGrid>
      <w:tr w:rsidR="00E630C5" w:rsidRPr="00C24104" w14:paraId="0AEF1CAB" w14:textId="77777777" w:rsidTr="00E630C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1E02BDE" w14:textId="77777777" w:rsidR="00E630C5" w:rsidRPr="00C24104" w:rsidRDefault="00E630C5" w:rsidP="00E630C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w:t>
            </w:r>
          </w:p>
        </w:tc>
        <w:tc>
          <w:tcPr>
            <w:tcW w:w="1937" w:type="dxa"/>
            <w:hideMark/>
          </w:tcPr>
          <w:p w14:paraId="4FFFADD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aktuální počet obecních bytů</w:t>
            </w:r>
          </w:p>
        </w:tc>
        <w:tc>
          <w:tcPr>
            <w:tcW w:w="1937" w:type="dxa"/>
            <w:hideMark/>
          </w:tcPr>
          <w:p w14:paraId="1EBC711D"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počet bytů uvolněných v roce 2023 k pronájmu</w:t>
            </w:r>
          </w:p>
        </w:tc>
        <w:tc>
          <w:tcPr>
            <w:tcW w:w="1938" w:type="dxa"/>
            <w:hideMark/>
          </w:tcPr>
          <w:p w14:paraId="3E4C29DF"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podíl bytů uvolněných v roce 2023 k pronájmu</w:t>
            </w:r>
          </w:p>
        </w:tc>
      </w:tr>
      <w:tr w:rsidR="00E630C5" w:rsidRPr="00C24104" w14:paraId="255FCC4B"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22B78A2"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Osoblaha</w:t>
            </w:r>
          </w:p>
        </w:tc>
        <w:tc>
          <w:tcPr>
            <w:tcW w:w="1937" w:type="dxa"/>
            <w:hideMark/>
          </w:tcPr>
          <w:p w14:paraId="28BF8E48"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131</w:t>
            </w:r>
          </w:p>
        </w:tc>
        <w:tc>
          <w:tcPr>
            <w:tcW w:w="1937" w:type="dxa"/>
            <w:hideMark/>
          </w:tcPr>
          <w:p w14:paraId="57C2392C"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14</w:t>
            </w:r>
          </w:p>
        </w:tc>
        <w:tc>
          <w:tcPr>
            <w:tcW w:w="1938" w:type="dxa"/>
            <w:hideMark/>
          </w:tcPr>
          <w:p w14:paraId="51181EBB"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10,7 %</w:t>
            </w:r>
          </w:p>
        </w:tc>
      </w:tr>
      <w:tr w:rsidR="00E630C5" w:rsidRPr="00C24104" w14:paraId="1998322C"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72D2359"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Vratimov</w:t>
            </w:r>
          </w:p>
        </w:tc>
        <w:tc>
          <w:tcPr>
            <w:tcW w:w="1937" w:type="dxa"/>
            <w:hideMark/>
          </w:tcPr>
          <w:p w14:paraId="49B1FFD2"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100</w:t>
            </w:r>
          </w:p>
        </w:tc>
        <w:tc>
          <w:tcPr>
            <w:tcW w:w="1937" w:type="dxa"/>
            <w:hideMark/>
          </w:tcPr>
          <w:p w14:paraId="4CB00A1C"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w:t>
            </w:r>
          </w:p>
        </w:tc>
        <w:tc>
          <w:tcPr>
            <w:tcW w:w="1938" w:type="dxa"/>
            <w:hideMark/>
          </w:tcPr>
          <w:p w14:paraId="1880A07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10,0 %</w:t>
            </w:r>
          </w:p>
        </w:tc>
      </w:tr>
      <w:tr w:rsidR="00E630C5" w:rsidRPr="00C24104" w14:paraId="51F00479"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EC98604"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Příbor</w:t>
            </w:r>
          </w:p>
        </w:tc>
        <w:tc>
          <w:tcPr>
            <w:tcW w:w="1937" w:type="dxa"/>
            <w:hideMark/>
          </w:tcPr>
          <w:p w14:paraId="142744F6"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553</w:t>
            </w:r>
          </w:p>
        </w:tc>
        <w:tc>
          <w:tcPr>
            <w:tcW w:w="1937" w:type="dxa"/>
            <w:hideMark/>
          </w:tcPr>
          <w:p w14:paraId="418D4E6F"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39</w:t>
            </w:r>
          </w:p>
        </w:tc>
        <w:tc>
          <w:tcPr>
            <w:tcW w:w="1938" w:type="dxa"/>
            <w:hideMark/>
          </w:tcPr>
          <w:p w14:paraId="6506D396"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7,1 %</w:t>
            </w:r>
          </w:p>
        </w:tc>
      </w:tr>
      <w:tr w:rsidR="00E630C5" w:rsidRPr="00C24104" w14:paraId="4CE25B2C"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FE86DC5"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Studénka</w:t>
            </w:r>
          </w:p>
        </w:tc>
        <w:tc>
          <w:tcPr>
            <w:tcW w:w="1937" w:type="dxa"/>
            <w:hideMark/>
          </w:tcPr>
          <w:p w14:paraId="12C81A47"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160</w:t>
            </w:r>
          </w:p>
        </w:tc>
        <w:tc>
          <w:tcPr>
            <w:tcW w:w="1937" w:type="dxa"/>
            <w:hideMark/>
          </w:tcPr>
          <w:p w14:paraId="21A4C513"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8</w:t>
            </w:r>
          </w:p>
        </w:tc>
        <w:tc>
          <w:tcPr>
            <w:tcW w:w="1938" w:type="dxa"/>
            <w:hideMark/>
          </w:tcPr>
          <w:p w14:paraId="492934FB"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5,0 %</w:t>
            </w:r>
          </w:p>
        </w:tc>
      </w:tr>
      <w:tr w:rsidR="00E630C5" w:rsidRPr="00C24104" w14:paraId="3AA32760"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2D08698"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Fulnek</w:t>
            </w:r>
          </w:p>
        </w:tc>
        <w:tc>
          <w:tcPr>
            <w:tcW w:w="1937" w:type="dxa"/>
            <w:hideMark/>
          </w:tcPr>
          <w:p w14:paraId="34C8465E"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216</w:t>
            </w:r>
          </w:p>
        </w:tc>
        <w:tc>
          <w:tcPr>
            <w:tcW w:w="1937" w:type="dxa"/>
            <w:hideMark/>
          </w:tcPr>
          <w:p w14:paraId="02405320"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w:t>
            </w:r>
          </w:p>
        </w:tc>
        <w:tc>
          <w:tcPr>
            <w:tcW w:w="1938" w:type="dxa"/>
            <w:hideMark/>
          </w:tcPr>
          <w:p w14:paraId="78C1B755"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2,8 %</w:t>
            </w:r>
          </w:p>
        </w:tc>
      </w:tr>
      <w:tr w:rsidR="00E630C5" w:rsidRPr="00C24104" w14:paraId="5F5B21F6"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02A6338"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Vrbno pod Pradědem</w:t>
            </w:r>
          </w:p>
        </w:tc>
        <w:tc>
          <w:tcPr>
            <w:tcW w:w="1937" w:type="dxa"/>
            <w:hideMark/>
          </w:tcPr>
          <w:p w14:paraId="152D30EA"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454</w:t>
            </w:r>
          </w:p>
        </w:tc>
        <w:tc>
          <w:tcPr>
            <w:tcW w:w="1937" w:type="dxa"/>
            <w:hideMark/>
          </w:tcPr>
          <w:p w14:paraId="01BA451F"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12</w:t>
            </w:r>
          </w:p>
        </w:tc>
        <w:tc>
          <w:tcPr>
            <w:tcW w:w="1938" w:type="dxa"/>
            <w:hideMark/>
          </w:tcPr>
          <w:p w14:paraId="61FA6E02"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2,6 %</w:t>
            </w:r>
          </w:p>
        </w:tc>
      </w:tr>
      <w:tr w:rsidR="00E630C5" w:rsidRPr="00C24104" w14:paraId="18E2FACB"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632C60A" w14:textId="77777777" w:rsidR="00E630C5" w:rsidRPr="00C24104" w:rsidRDefault="00E630C5" w:rsidP="00E630C5">
            <w:pPr>
              <w:jc w:val="left"/>
              <w:rPr>
                <w:rFonts w:asciiTheme="majorHAnsi" w:eastAsia="Times New Roman" w:hAnsiTheme="majorHAnsi" w:cstheme="majorHAnsi"/>
                <w:b w:val="0"/>
                <w:i/>
                <w:iCs/>
                <w:szCs w:val="24"/>
                <w:lang w:eastAsia="cs-CZ"/>
              </w:rPr>
            </w:pPr>
            <w:r w:rsidRPr="00C24104">
              <w:rPr>
                <w:rFonts w:asciiTheme="majorHAnsi" w:eastAsia="Times New Roman" w:hAnsiTheme="majorHAnsi" w:cstheme="majorHAnsi"/>
                <w:b w:val="0"/>
                <w:i/>
                <w:iCs/>
                <w:szCs w:val="24"/>
                <w:lang w:eastAsia="cs-CZ"/>
              </w:rPr>
              <w:t>Horní Benešov</w:t>
            </w:r>
          </w:p>
        </w:tc>
        <w:tc>
          <w:tcPr>
            <w:tcW w:w="1937" w:type="dxa"/>
            <w:hideMark/>
          </w:tcPr>
          <w:p w14:paraId="24E44826"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107</w:t>
            </w:r>
          </w:p>
        </w:tc>
        <w:tc>
          <w:tcPr>
            <w:tcW w:w="1937" w:type="dxa"/>
            <w:hideMark/>
          </w:tcPr>
          <w:p w14:paraId="64B09D77"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w:t>
            </w:r>
          </w:p>
        </w:tc>
        <w:tc>
          <w:tcPr>
            <w:tcW w:w="1938" w:type="dxa"/>
            <w:hideMark/>
          </w:tcPr>
          <w:p w14:paraId="6695B8E4"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0,9 %</w:t>
            </w:r>
          </w:p>
        </w:tc>
      </w:tr>
    </w:tbl>
    <w:p w14:paraId="50D70EAF" w14:textId="77777777" w:rsidR="00E43BC7" w:rsidRPr="00C24104" w:rsidRDefault="00E43BC7" w:rsidP="00B75775">
      <w:pPr>
        <w:pStyle w:val="Titulek"/>
      </w:pPr>
    </w:p>
    <w:p w14:paraId="1AD9F6F6" w14:textId="77777777" w:rsidR="00E43BC7" w:rsidRPr="00C24104" w:rsidRDefault="00E43BC7" w:rsidP="00B75775">
      <w:pPr>
        <w:pStyle w:val="Titulek"/>
      </w:pPr>
    </w:p>
    <w:p w14:paraId="21BFDCF2" w14:textId="26D81B81" w:rsidR="00E630C5" w:rsidRPr="00C24104" w:rsidRDefault="00B75775" w:rsidP="00B75775">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5</w:t>
      </w:r>
      <w:r w:rsidR="009C7E3F" w:rsidRPr="00C24104">
        <w:rPr>
          <w:noProof/>
        </w:rPr>
        <w:fldChar w:fldCharType="end"/>
      </w:r>
      <w:r w:rsidR="00E630C5" w:rsidRPr="00C24104">
        <w:t>: (relativní) objem ročně distribuovaných obecních bytů u MO Ostravy</w:t>
      </w:r>
    </w:p>
    <w:tbl>
      <w:tblPr>
        <w:tblStyle w:val="Tmavtabulkasmkou5zvraznn3"/>
        <w:tblW w:w="10060" w:type="dxa"/>
        <w:tblLook w:val="0480" w:firstRow="0" w:lastRow="0" w:firstColumn="1" w:lastColumn="0" w:noHBand="0" w:noVBand="1"/>
      </w:tblPr>
      <w:tblGrid>
        <w:gridCol w:w="4248"/>
        <w:gridCol w:w="1937"/>
        <w:gridCol w:w="1937"/>
        <w:gridCol w:w="1938"/>
      </w:tblGrid>
      <w:tr w:rsidR="00E630C5" w:rsidRPr="00C24104" w14:paraId="5B7F348F" w14:textId="77777777" w:rsidTr="00E630C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88BF991" w14:textId="77777777" w:rsidR="00E630C5" w:rsidRPr="00C24104" w:rsidRDefault="00E630C5" w:rsidP="00E630C5">
            <w:pPr>
              <w:jc w:val="left"/>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w:t>
            </w:r>
          </w:p>
        </w:tc>
        <w:tc>
          <w:tcPr>
            <w:tcW w:w="1937" w:type="dxa"/>
            <w:hideMark/>
          </w:tcPr>
          <w:p w14:paraId="0CF21EB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aktuální počet obecních bytů</w:t>
            </w:r>
          </w:p>
        </w:tc>
        <w:tc>
          <w:tcPr>
            <w:tcW w:w="1937" w:type="dxa"/>
            <w:hideMark/>
          </w:tcPr>
          <w:p w14:paraId="3F915A07"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počet bytů uvolněných v roce 2023 k pronájmu</w:t>
            </w:r>
          </w:p>
        </w:tc>
        <w:tc>
          <w:tcPr>
            <w:tcW w:w="1938" w:type="dxa"/>
            <w:hideMark/>
          </w:tcPr>
          <w:p w14:paraId="46378892"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aps/>
                <w:szCs w:val="24"/>
                <w:lang w:eastAsia="cs-CZ"/>
              </w:rPr>
            </w:pPr>
            <w:r w:rsidRPr="00C24104">
              <w:rPr>
                <w:rFonts w:asciiTheme="majorHAnsi" w:eastAsia="Times New Roman" w:hAnsiTheme="majorHAnsi" w:cstheme="majorHAnsi"/>
                <w:caps/>
                <w:szCs w:val="24"/>
                <w:lang w:eastAsia="cs-CZ"/>
              </w:rPr>
              <w:t>podíl bytů uvolněných v roce 2023 k pronájmu</w:t>
            </w:r>
          </w:p>
        </w:tc>
      </w:tr>
      <w:tr w:rsidR="00E630C5" w:rsidRPr="00C24104" w14:paraId="03E0293B"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A1044E4"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STARÁ BĚLÁ</w:t>
            </w:r>
          </w:p>
        </w:tc>
        <w:tc>
          <w:tcPr>
            <w:tcW w:w="1937" w:type="dxa"/>
            <w:hideMark/>
          </w:tcPr>
          <w:p w14:paraId="1D2FAABC"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32</w:t>
            </w:r>
          </w:p>
        </w:tc>
        <w:tc>
          <w:tcPr>
            <w:tcW w:w="1937" w:type="dxa"/>
            <w:hideMark/>
          </w:tcPr>
          <w:p w14:paraId="48B5A1D9"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w:t>
            </w:r>
          </w:p>
        </w:tc>
        <w:tc>
          <w:tcPr>
            <w:tcW w:w="1938" w:type="dxa"/>
            <w:hideMark/>
          </w:tcPr>
          <w:p w14:paraId="7B0EDA78"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31,3 %</w:t>
            </w:r>
          </w:p>
        </w:tc>
      </w:tr>
      <w:tr w:rsidR="00E630C5" w:rsidRPr="00C24104" w14:paraId="4F13E84F"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99A64D2"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PROSKOVICE</w:t>
            </w:r>
          </w:p>
        </w:tc>
        <w:tc>
          <w:tcPr>
            <w:tcW w:w="1937" w:type="dxa"/>
            <w:hideMark/>
          </w:tcPr>
          <w:p w14:paraId="431AA275"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25</w:t>
            </w:r>
          </w:p>
        </w:tc>
        <w:tc>
          <w:tcPr>
            <w:tcW w:w="1937" w:type="dxa"/>
            <w:hideMark/>
          </w:tcPr>
          <w:p w14:paraId="6FD737FF"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w:t>
            </w:r>
          </w:p>
        </w:tc>
        <w:tc>
          <w:tcPr>
            <w:tcW w:w="1938" w:type="dxa"/>
            <w:hideMark/>
          </w:tcPr>
          <w:p w14:paraId="2E8C1525"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16,0 %</w:t>
            </w:r>
          </w:p>
        </w:tc>
      </w:tr>
      <w:tr w:rsidR="00E630C5" w:rsidRPr="00C24104" w14:paraId="34AA1B29"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9C3FD8F"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POLANKA NAD ODROU</w:t>
            </w:r>
          </w:p>
        </w:tc>
        <w:tc>
          <w:tcPr>
            <w:tcW w:w="1937" w:type="dxa"/>
            <w:hideMark/>
          </w:tcPr>
          <w:p w14:paraId="7EE32F23"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27</w:t>
            </w:r>
          </w:p>
        </w:tc>
        <w:tc>
          <w:tcPr>
            <w:tcW w:w="1937" w:type="dxa"/>
            <w:hideMark/>
          </w:tcPr>
          <w:p w14:paraId="6C9449E6"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w:t>
            </w:r>
          </w:p>
        </w:tc>
        <w:tc>
          <w:tcPr>
            <w:tcW w:w="1938" w:type="dxa"/>
            <w:hideMark/>
          </w:tcPr>
          <w:p w14:paraId="0FE3E3E2"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11,1 %</w:t>
            </w:r>
          </w:p>
        </w:tc>
      </w:tr>
      <w:tr w:rsidR="00E630C5" w:rsidRPr="00C24104" w14:paraId="7701D0B5"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CE0C75C"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HOŠŤÁLKOVICE</w:t>
            </w:r>
          </w:p>
        </w:tc>
        <w:tc>
          <w:tcPr>
            <w:tcW w:w="1937" w:type="dxa"/>
            <w:hideMark/>
          </w:tcPr>
          <w:p w14:paraId="564D21F6"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22</w:t>
            </w:r>
          </w:p>
        </w:tc>
        <w:tc>
          <w:tcPr>
            <w:tcW w:w="1937" w:type="dxa"/>
            <w:hideMark/>
          </w:tcPr>
          <w:p w14:paraId="681CB8DA"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w:t>
            </w:r>
          </w:p>
        </w:tc>
        <w:tc>
          <w:tcPr>
            <w:tcW w:w="1938" w:type="dxa"/>
            <w:hideMark/>
          </w:tcPr>
          <w:p w14:paraId="30EC5EE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9,1 %</w:t>
            </w:r>
          </w:p>
        </w:tc>
      </w:tr>
      <w:tr w:rsidR="00E630C5" w:rsidRPr="00C24104" w14:paraId="0BCBD265"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BB09536"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NOVÁ VES</w:t>
            </w:r>
          </w:p>
        </w:tc>
        <w:tc>
          <w:tcPr>
            <w:tcW w:w="1937" w:type="dxa"/>
            <w:hideMark/>
          </w:tcPr>
          <w:p w14:paraId="6058E9FE"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11</w:t>
            </w:r>
          </w:p>
        </w:tc>
        <w:tc>
          <w:tcPr>
            <w:tcW w:w="1937" w:type="dxa"/>
            <w:hideMark/>
          </w:tcPr>
          <w:p w14:paraId="4E15AA03"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w:t>
            </w:r>
          </w:p>
        </w:tc>
        <w:tc>
          <w:tcPr>
            <w:tcW w:w="1938" w:type="dxa"/>
            <w:hideMark/>
          </w:tcPr>
          <w:p w14:paraId="30280EC8"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9,1 %</w:t>
            </w:r>
          </w:p>
        </w:tc>
      </w:tr>
      <w:tr w:rsidR="00E630C5" w:rsidRPr="00C24104" w14:paraId="5F5A742E"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55327F6"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SVINOV</w:t>
            </w:r>
          </w:p>
        </w:tc>
        <w:tc>
          <w:tcPr>
            <w:tcW w:w="1937" w:type="dxa"/>
            <w:hideMark/>
          </w:tcPr>
          <w:p w14:paraId="0230D5D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125</w:t>
            </w:r>
          </w:p>
        </w:tc>
        <w:tc>
          <w:tcPr>
            <w:tcW w:w="1937" w:type="dxa"/>
            <w:hideMark/>
          </w:tcPr>
          <w:p w14:paraId="2688924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w:t>
            </w:r>
          </w:p>
        </w:tc>
        <w:tc>
          <w:tcPr>
            <w:tcW w:w="1938" w:type="dxa"/>
            <w:hideMark/>
          </w:tcPr>
          <w:p w14:paraId="60600987"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7,2 %</w:t>
            </w:r>
          </w:p>
        </w:tc>
      </w:tr>
      <w:tr w:rsidR="00E630C5" w:rsidRPr="00C24104" w14:paraId="3BD4DF8B"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C27F762"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HRABOVÁ</w:t>
            </w:r>
          </w:p>
        </w:tc>
        <w:tc>
          <w:tcPr>
            <w:tcW w:w="1937" w:type="dxa"/>
            <w:hideMark/>
          </w:tcPr>
          <w:p w14:paraId="144A28F2"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221</w:t>
            </w:r>
          </w:p>
        </w:tc>
        <w:tc>
          <w:tcPr>
            <w:tcW w:w="1937" w:type="dxa"/>
            <w:hideMark/>
          </w:tcPr>
          <w:p w14:paraId="7C11842F"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14</w:t>
            </w:r>
          </w:p>
        </w:tc>
        <w:tc>
          <w:tcPr>
            <w:tcW w:w="1938" w:type="dxa"/>
            <w:hideMark/>
          </w:tcPr>
          <w:p w14:paraId="4708E8B9"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6,3 %</w:t>
            </w:r>
          </w:p>
        </w:tc>
      </w:tr>
      <w:tr w:rsidR="00E630C5" w:rsidRPr="00C24104" w14:paraId="66B08742"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090A545"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RADVANICE A BARTOVICE</w:t>
            </w:r>
          </w:p>
        </w:tc>
        <w:tc>
          <w:tcPr>
            <w:tcW w:w="1937" w:type="dxa"/>
            <w:hideMark/>
          </w:tcPr>
          <w:p w14:paraId="782136BB"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261</w:t>
            </w:r>
          </w:p>
        </w:tc>
        <w:tc>
          <w:tcPr>
            <w:tcW w:w="1937" w:type="dxa"/>
            <w:hideMark/>
          </w:tcPr>
          <w:p w14:paraId="2D3DAF1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15</w:t>
            </w:r>
          </w:p>
        </w:tc>
        <w:tc>
          <w:tcPr>
            <w:tcW w:w="1938" w:type="dxa"/>
            <w:hideMark/>
          </w:tcPr>
          <w:p w14:paraId="32725195"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5,7 %</w:t>
            </w:r>
          </w:p>
        </w:tc>
      </w:tr>
      <w:tr w:rsidR="00E630C5" w:rsidRPr="00C24104" w14:paraId="0C2AD035"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D41EFC8"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MARIÁNSKÉ HORY A HULVÁKY</w:t>
            </w:r>
          </w:p>
        </w:tc>
        <w:tc>
          <w:tcPr>
            <w:tcW w:w="1937" w:type="dxa"/>
            <w:hideMark/>
          </w:tcPr>
          <w:p w14:paraId="0598885A"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1934</w:t>
            </w:r>
          </w:p>
        </w:tc>
        <w:tc>
          <w:tcPr>
            <w:tcW w:w="1937" w:type="dxa"/>
            <w:hideMark/>
          </w:tcPr>
          <w:p w14:paraId="47B39D1E"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105</w:t>
            </w:r>
          </w:p>
        </w:tc>
        <w:tc>
          <w:tcPr>
            <w:tcW w:w="1938" w:type="dxa"/>
            <w:hideMark/>
          </w:tcPr>
          <w:p w14:paraId="509F591F"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5,4 %</w:t>
            </w:r>
          </w:p>
        </w:tc>
      </w:tr>
      <w:tr w:rsidR="00E630C5" w:rsidRPr="00C24104" w14:paraId="23ABD1F1"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18241D7"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NOVÁ BĚLÁ</w:t>
            </w:r>
          </w:p>
        </w:tc>
        <w:tc>
          <w:tcPr>
            <w:tcW w:w="1937" w:type="dxa"/>
            <w:hideMark/>
          </w:tcPr>
          <w:p w14:paraId="5D24C4F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20</w:t>
            </w:r>
          </w:p>
        </w:tc>
        <w:tc>
          <w:tcPr>
            <w:tcW w:w="1937" w:type="dxa"/>
            <w:hideMark/>
          </w:tcPr>
          <w:p w14:paraId="66A56590"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w:t>
            </w:r>
          </w:p>
        </w:tc>
        <w:tc>
          <w:tcPr>
            <w:tcW w:w="1938" w:type="dxa"/>
            <w:hideMark/>
          </w:tcPr>
          <w:p w14:paraId="72362EBC"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5,0 %</w:t>
            </w:r>
          </w:p>
        </w:tc>
      </w:tr>
      <w:tr w:rsidR="00E630C5" w:rsidRPr="00C24104" w14:paraId="1DCC91EC"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1A1D6E8"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VÍTKOVICE</w:t>
            </w:r>
          </w:p>
        </w:tc>
        <w:tc>
          <w:tcPr>
            <w:tcW w:w="1937" w:type="dxa"/>
            <w:hideMark/>
          </w:tcPr>
          <w:p w14:paraId="08BE3948"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724</w:t>
            </w:r>
          </w:p>
        </w:tc>
        <w:tc>
          <w:tcPr>
            <w:tcW w:w="1937" w:type="dxa"/>
            <w:hideMark/>
          </w:tcPr>
          <w:p w14:paraId="04A83F13"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31</w:t>
            </w:r>
          </w:p>
        </w:tc>
        <w:tc>
          <w:tcPr>
            <w:tcW w:w="1938" w:type="dxa"/>
            <w:hideMark/>
          </w:tcPr>
          <w:p w14:paraId="45886D0E"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4,3 %</w:t>
            </w:r>
          </w:p>
        </w:tc>
      </w:tr>
      <w:tr w:rsidR="00E630C5" w:rsidRPr="00C24104" w14:paraId="128673EF"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C06CA6C"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PORUBA</w:t>
            </w:r>
          </w:p>
        </w:tc>
        <w:tc>
          <w:tcPr>
            <w:tcW w:w="1937" w:type="dxa"/>
            <w:hideMark/>
          </w:tcPr>
          <w:p w14:paraId="3B907A36"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989</w:t>
            </w:r>
          </w:p>
        </w:tc>
        <w:tc>
          <w:tcPr>
            <w:tcW w:w="1937" w:type="dxa"/>
            <w:hideMark/>
          </w:tcPr>
          <w:p w14:paraId="30AD2F7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39</w:t>
            </w:r>
          </w:p>
        </w:tc>
        <w:tc>
          <w:tcPr>
            <w:tcW w:w="1938" w:type="dxa"/>
            <w:hideMark/>
          </w:tcPr>
          <w:p w14:paraId="7F0233B4"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3,9 %</w:t>
            </w:r>
          </w:p>
        </w:tc>
      </w:tr>
      <w:tr w:rsidR="00E630C5" w:rsidRPr="00C24104" w14:paraId="0B602547"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B1A4EE5"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MICHÁLKOVICE</w:t>
            </w:r>
          </w:p>
        </w:tc>
        <w:tc>
          <w:tcPr>
            <w:tcW w:w="1937" w:type="dxa"/>
            <w:hideMark/>
          </w:tcPr>
          <w:p w14:paraId="4B519470"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97</w:t>
            </w:r>
          </w:p>
        </w:tc>
        <w:tc>
          <w:tcPr>
            <w:tcW w:w="1937" w:type="dxa"/>
            <w:hideMark/>
          </w:tcPr>
          <w:p w14:paraId="13B86016"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w:t>
            </w:r>
          </w:p>
        </w:tc>
        <w:tc>
          <w:tcPr>
            <w:tcW w:w="1938" w:type="dxa"/>
            <w:hideMark/>
          </w:tcPr>
          <w:p w14:paraId="234AE5D7"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1,0 %</w:t>
            </w:r>
          </w:p>
        </w:tc>
      </w:tr>
      <w:tr w:rsidR="00E630C5" w:rsidRPr="00C24104" w14:paraId="0E658044" w14:textId="77777777" w:rsidTr="00E63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282C2CE"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TŘEBOVICE</w:t>
            </w:r>
          </w:p>
        </w:tc>
        <w:tc>
          <w:tcPr>
            <w:tcW w:w="1937" w:type="dxa"/>
            <w:hideMark/>
          </w:tcPr>
          <w:p w14:paraId="6D77FA2D"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27</w:t>
            </w:r>
          </w:p>
        </w:tc>
        <w:tc>
          <w:tcPr>
            <w:tcW w:w="1937" w:type="dxa"/>
            <w:hideMark/>
          </w:tcPr>
          <w:p w14:paraId="2EC58A0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0</w:t>
            </w:r>
          </w:p>
        </w:tc>
        <w:tc>
          <w:tcPr>
            <w:tcW w:w="1938" w:type="dxa"/>
            <w:hideMark/>
          </w:tcPr>
          <w:p w14:paraId="6B4D4539" w14:textId="77777777" w:rsidR="00E630C5" w:rsidRPr="00C24104" w:rsidRDefault="00E630C5" w:rsidP="00E630C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0,0 %</w:t>
            </w:r>
          </w:p>
        </w:tc>
      </w:tr>
      <w:tr w:rsidR="00E630C5" w:rsidRPr="00C24104" w14:paraId="2325A5FA" w14:textId="77777777" w:rsidTr="00E630C5">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6F65B2F" w14:textId="77777777" w:rsidR="00E630C5" w:rsidRPr="00C24104" w:rsidRDefault="00E630C5" w:rsidP="00E630C5">
            <w:pPr>
              <w:jc w:val="left"/>
              <w:rPr>
                <w:rFonts w:asciiTheme="majorHAnsi" w:eastAsia="Times New Roman" w:hAnsiTheme="majorHAnsi" w:cstheme="majorHAnsi"/>
                <w:b w:val="0"/>
                <w:szCs w:val="24"/>
                <w:lang w:eastAsia="cs-CZ"/>
              </w:rPr>
            </w:pPr>
            <w:r w:rsidRPr="00C24104">
              <w:rPr>
                <w:rFonts w:asciiTheme="majorHAnsi" w:eastAsia="Times New Roman" w:hAnsiTheme="majorHAnsi" w:cstheme="majorHAnsi"/>
                <w:b w:val="0"/>
                <w:szCs w:val="24"/>
                <w:lang w:eastAsia="cs-CZ"/>
              </w:rPr>
              <w:t>Ostrava – SLEZSKÁ OSTRAVA</w:t>
            </w:r>
          </w:p>
        </w:tc>
        <w:tc>
          <w:tcPr>
            <w:tcW w:w="1937" w:type="dxa"/>
            <w:hideMark/>
          </w:tcPr>
          <w:p w14:paraId="141519E8"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1163</w:t>
            </w:r>
          </w:p>
        </w:tc>
        <w:tc>
          <w:tcPr>
            <w:tcW w:w="1937" w:type="dxa"/>
            <w:hideMark/>
          </w:tcPr>
          <w:p w14:paraId="088F881D"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nelze zjistit</w:t>
            </w:r>
          </w:p>
        </w:tc>
        <w:tc>
          <w:tcPr>
            <w:tcW w:w="1938" w:type="dxa"/>
            <w:hideMark/>
          </w:tcPr>
          <w:p w14:paraId="0565882C" w14:textId="77777777" w:rsidR="00E630C5" w:rsidRPr="00C24104" w:rsidRDefault="00E630C5" w:rsidP="00E630C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nelze zjistit</w:t>
            </w:r>
          </w:p>
        </w:tc>
      </w:tr>
    </w:tbl>
    <w:p w14:paraId="0067B04E" w14:textId="1EC688FD" w:rsidR="00E630C5" w:rsidRPr="00C24104" w:rsidRDefault="00E630C5" w:rsidP="00E630C5">
      <w:pPr>
        <w:spacing w:before="120" w:after="0"/>
      </w:pPr>
      <w:r w:rsidRPr="00C24104">
        <w:t xml:space="preserve">Stěžejním tématem šetření pak byla pravidla distribuce bytového fondu v obcích a jejich komparace. Kritériem komparace přitom byla cílová případě specifická cílová skupina žadatelů o bydlení. </w:t>
      </w:r>
      <w:r w:rsidR="00B75775" w:rsidRPr="00C24104">
        <w:t>Tyto skupiny byly definovány na základě sekundární analýzy předcházející dotazníkovému šetření a jejich identifikace se tak promítla do struktury dotazníku. Zjištěná pravidla distribuce bytů tak byla lépe porovnatelná. Tabulk</w:t>
      </w:r>
      <w:r w:rsidR="00C121D6" w:rsidRPr="00C24104">
        <w:t>y</w:t>
      </w:r>
      <w:r w:rsidR="00B75775" w:rsidRPr="00C24104">
        <w:t xml:space="preserve"> 6 </w:t>
      </w:r>
      <w:r w:rsidR="00C121D6" w:rsidRPr="00C24104">
        <w:t xml:space="preserve">až </w:t>
      </w:r>
      <w:r w:rsidR="000E4FD4" w:rsidRPr="00C24104">
        <w:t xml:space="preserve">12 </w:t>
      </w:r>
      <w:r w:rsidR="00B75775" w:rsidRPr="00C24104">
        <w:t>suma</w:t>
      </w:r>
      <w:r w:rsidR="000E4FD4" w:rsidRPr="00C24104">
        <w:t>rizují</w:t>
      </w:r>
      <w:r w:rsidR="00B75775" w:rsidRPr="00C24104">
        <w:t xml:space="preserve"> zjištěná pravidla distribuce:</w:t>
      </w:r>
    </w:p>
    <w:p w14:paraId="7976AB43" w14:textId="28B12117"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6</w:t>
      </w:r>
      <w:r w:rsidR="009C7E3F" w:rsidRPr="00C24104">
        <w:rPr>
          <w:noProof/>
        </w:rPr>
        <w:fldChar w:fldCharType="end"/>
      </w:r>
      <w:r w:rsidRPr="00C24104">
        <w:t xml:space="preserve">: Sumarizace pravidel distribuce – </w:t>
      </w:r>
      <w:r w:rsidRPr="00C24104">
        <w:rPr>
          <w:smallCaps w:val="0"/>
        </w:rPr>
        <w:t>ŽADATELÉ BEZ SPECIFIKACE</w:t>
      </w:r>
    </w:p>
    <w:tbl>
      <w:tblPr>
        <w:tblStyle w:val="Tabulkasmkou4zvraznn3"/>
        <w:tblW w:w="10060" w:type="dxa"/>
        <w:tblLook w:val="0480" w:firstRow="0" w:lastRow="0" w:firstColumn="1" w:lastColumn="0" w:noHBand="0" w:noVBand="1"/>
      </w:tblPr>
      <w:tblGrid>
        <w:gridCol w:w="3681"/>
        <w:gridCol w:w="6379"/>
      </w:tblGrid>
      <w:tr w:rsidR="00C121D6" w:rsidRPr="00C24104" w14:paraId="17C7F225"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5FD55FC5"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ŽADATELÉ BEZ SPECIFIKACE</w:t>
            </w:r>
          </w:p>
        </w:tc>
      </w:tr>
      <w:tr w:rsidR="00C121D6" w:rsidRPr="00C24104" w14:paraId="2647B24A"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CA1264B"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POČET OBCÍ PRONAJÍMAJÍCH TÉTO SKUPINĚ BYTY PODLE SAMOSTATNÝCH PRAVIDEL</w:t>
            </w:r>
          </w:p>
        </w:tc>
        <w:tc>
          <w:tcPr>
            <w:tcW w:w="6379" w:type="dxa"/>
            <w:noWrap/>
            <w:hideMark/>
          </w:tcPr>
          <w:p w14:paraId="7D46F591"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35</w:t>
            </w:r>
          </w:p>
        </w:tc>
      </w:tr>
      <w:tr w:rsidR="00C121D6" w:rsidRPr="00C24104" w14:paraId="4EECFEEE"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78F890A"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NEJVÝZNAMNĚJŠÍ PODMÍNKY</w:t>
            </w:r>
          </w:p>
        </w:tc>
        <w:tc>
          <w:tcPr>
            <w:tcW w:w="6379" w:type="dxa"/>
            <w:noWrap/>
            <w:hideMark/>
          </w:tcPr>
          <w:p w14:paraId="48891B66"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Podmínky pronájmu zahrnují minimální věk 18 let, bezdlužnost vůči obci nebo organizacím města a splnění dalších kritérií souvisejících s finanční situací žadatele, dále také místo bydliště či pracoviště a státní občanství. </w:t>
            </w:r>
          </w:p>
        </w:tc>
      </w:tr>
      <w:tr w:rsidR="00C121D6" w:rsidRPr="00C24104" w14:paraId="5766606E"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4FCD95C"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O PŘIDĚLENÍ BYTU ROZHODUJE</w:t>
            </w:r>
          </w:p>
        </w:tc>
        <w:tc>
          <w:tcPr>
            <w:tcW w:w="6379" w:type="dxa"/>
            <w:noWrap/>
            <w:hideMark/>
          </w:tcPr>
          <w:p w14:paraId="232B83A7"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O přidělení bytu rozhoduje obvykle obálková metoda nebo délka podání či evidence žádosti.</w:t>
            </w:r>
          </w:p>
        </w:tc>
      </w:tr>
      <w:tr w:rsidR="00C121D6" w:rsidRPr="00C24104" w14:paraId="38E0A2B0"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D8E2FBC"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DÉLKA SMLOUVY</w:t>
            </w:r>
          </w:p>
        </w:tc>
        <w:tc>
          <w:tcPr>
            <w:tcW w:w="6379" w:type="dxa"/>
            <w:noWrap/>
            <w:hideMark/>
          </w:tcPr>
          <w:p w14:paraId="22C9F59F"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Smlouvy jsou obvykle poskytovány na dobu určitou, toto bydlení tedy pro žadatele nepředstavuje stabilní řešení. </w:t>
            </w:r>
          </w:p>
        </w:tc>
      </w:tr>
      <w:tr w:rsidR="00C121D6" w:rsidRPr="00C24104" w14:paraId="0F81245F"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CCE102F"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POPLATKY A KAUCE</w:t>
            </w:r>
          </w:p>
        </w:tc>
        <w:tc>
          <w:tcPr>
            <w:tcW w:w="6379" w:type="dxa"/>
            <w:noWrap/>
            <w:hideMark/>
          </w:tcPr>
          <w:p w14:paraId="284F912D" w14:textId="632CBDDA"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Poplatky za podání žádosti a kauce se většinou nevybírají, kauce zpravidla dosahuje trojnásobku měsíčního nájmu, což může pro některé žadatele představovat problém. </w:t>
            </w:r>
          </w:p>
        </w:tc>
      </w:tr>
      <w:tr w:rsidR="00C121D6" w:rsidRPr="00C24104" w14:paraId="43BFDCBA"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85D0CC0"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OBTÍŽNOST PODÁNÍ ŽÁDOSTI Z POHLEDU CHYB VE FORMULÁŘÍCH</w:t>
            </w:r>
          </w:p>
        </w:tc>
        <w:tc>
          <w:tcPr>
            <w:tcW w:w="6379" w:type="dxa"/>
            <w:noWrap/>
            <w:hideMark/>
          </w:tcPr>
          <w:p w14:paraId="54BF2373"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Vyplnění formuláře pro většinu žadatelů z této skupiny obejde bez chyb.</w:t>
            </w:r>
          </w:p>
        </w:tc>
      </w:tr>
      <w:tr w:rsidR="00C121D6" w:rsidRPr="00C24104" w14:paraId="54190648"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2839F44"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MOŽNOSTI PODÁNÍ ŽÁDOSTI</w:t>
            </w:r>
          </w:p>
        </w:tc>
        <w:tc>
          <w:tcPr>
            <w:tcW w:w="6379" w:type="dxa"/>
            <w:noWrap/>
            <w:hideMark/>
          </w:tcPr>
          <w:p w14:paraId="7E81C96B"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Různorodé – osobně, poštou, emailem.</w:t>
            </w:r>
          </w:p>
        </w:tc>
      </w:tr>
      <w:tr w:rsidR="00C121D6" w:rsidRPr="00C24104" w14:paraId="22982EC7"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F12CE19"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DÉLKA ZPRACOVÁNÍ ŽÁDOSTI</w:t>
            </w:r>
          </w:p>
        </w:tc>
        <w:tc>
          <w:tcPr>
            <w:tcW w:w="6379" w:type="dxa"/>
            <w:noWrap/>
            <w:hideMark/>
          </w:tcPr>
          <w:p w14:paraId="6F797C08"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Většina obcí žádosti zpracovává do 30 dnů.</w:t>
            </w:r>
          </w:p>
        </w:tc>
      </w:tr>
    </w:tbl>
    <w:p w14:paraId="426EE402" w14:textId="3B8F4007"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7</w:t>
      </w:r>
      <w:r w:rsidR="009C7E3F" w:rsidRPr="00C24104">
        <w:rPr>
          <w:noProof/>
        </w:rPr>
        <w:fldChar w:fldCharType="end"/>
      </w:r>
      <w:r w:rsidRPr="00C24104">
        <w:t>: Sumarizace pravidel distribuce – SENIOŘI</w:t>
      </w:r>
    </w:p>
    <w:tbl>
      <w:tblPr>
        <w:tblStyle w:val="Tabulkasmkou4zvraznn3"/>
        <w:tblW w:w="10060" w:type="dxa"/>
        <w:tblLook w:val="0480" w:firstRow="0" w:lastRow="0" w:firstColumn="1" w:lastColumn="0" w:noHBand="0" w:noVBand="1"/>
      </w:tblPr>
      <w:tblGrid>
        <w:gridCol w:w="3681"/>
        <w:gridCol w:w="6379"/>
      </w:tblGrid>
      <w:tr w:rsidR="00C121D6" w:rsidRPr="00C24104" w14:paraId="1FE67991"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4347431D"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SENIOŘI</w:t>
            </w:r>
          </w:p>
        </w:tc>
      </w:tr>
      <w:tr w:rsidR="00C121D6" w:rsidRPr="00C24104" w14:paraId="133ACFB2"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7D274D5"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POČET OBCÍ PRONAJÍMAJÍCH TÉTO SKUPINĚ BYTY PODLE SAMOSTATNÝCH PRAVIDEL</w:t>
            </w:r>
          </w:p>
        </w:tc>
        <w:tc>
          <w:tcPr>
            <w:tcW w:w="6379" w:type="dxa"/>
            <w:noWrap/>
            <w:hideMark/>
          </w:tcPr>
          <w:p w14:paraId="0FD90252"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32</w:t>
            </w:r>
          </w:p>
        </w:tc>
      </w:tr>
      <w:tr w:rsidR="00C121D6" w:rsidRPr="00C24104" w14:paraId="05BA1209"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23E9337"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NEJVÝZNAMNĚJŠÍ PODMÍNKY</w:t>
            </w:r>
          </w:p>
        </w:tc>
        <w:tc>
          <w:tcPr>
            <w:tcW w:w="6379" w:type="dxa"/>
            <w:noWrap/>
            <w:hideMark/>
          </w:tcPr>
          <w:p w14:paraId="45A27D9F" w14:textId="412E5D02"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Podmínky zahrnují bezdlužnost, vlastnictví bytu či rodinného domu, doporučení sociálního/lékařského pracovníka, starobní důchod, trvalý pobyt v obci a státní příslušnost. Některé obce zkoumají také finanční situaci žadatele, požadují, aby byl klientem pečovatelské služby či pobíral příspěvek na péči či měl minimálně 65 let.</w:t>
            </w:r>
          </w:p>
        </w:tc>
      </w:tr>
      <w:tr w:rsidR="00C121D6" w:rsidRPr="00C24104" w14:paraId="6436E03D"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E528B81"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 PŘIDĚLENÍ BYTU ROZHODUJE</w:t>
            </w:r>
          </w:p>
        </w:tc>
        <w:tc>
          <w:tcPr>
            <w:tcW w:w="6379" w:type="dxa"/>
            <w:noWrap/>
            <w:hideMark/>
          </w:tcPr>
          <w:p w14:paraId="4FBEC275"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O přidělení bytu v případě této skupiny rozhoduje často celkové zhodnocení situace žadatele, v mnoha obcích též délka podání či evidence žádosti.</w:t>
            </w:r>
          </w:p>
        </w:tc>
      </w:tr>
      <w:tr w:rsidR="00C121D6" w:rsidRPr="00C24104" w14:paraId="0F6C93DE"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4566EB"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SMLOUVY</w:t>
            </w:r>
          </w:p>
        </w:tc>
        <w:tc>
          <w:tcPr>
            <w:tcW w:w="6379" w:type="dxa"/>
            <w:noWrap/>
            <w:hideMark/>
          </w:tcPr>
          <w:p w14:paraId="098A0849"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Délka smluv je nicméně obvykle určitá, což pro nájemníky nevytváří stabilní řešení bytové problematiky. </w:t>
            </w:r>
          </w:p>
        </w:tc>
      </w:tr>
      <w:tr w:rsidR="00C121D6" w:rsidRPr="00C24104" w14:paraId="222514E0"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37159BA"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POPLATKY A KAUCE</w:t>
            </w:r>
          </w:p>
        </w:tc>
        <w:tc>
          <w:tcPr>
            <w:tcW w:w="6379" w:type="dxa"/>
            <w:noWrap/>
            <w:hideMark/>
          </w:tcPr>
          <w:p w14:paraId="3E8C299C"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nevybírá poplatek za žádost ani kauci, čímž se podstatně snižují finanční bariéry získání bydlení pro tuto specifickou cílovou skupinu</w:t>
            </w:r>
          </w:p>
        </w:tc>
      </w:tr>
      <w:tr w:rsidR="00C121D6" w:rsidRPr="00C24104" w14:paraId="4A29B45E"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39E88A1"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OBTÍŽNOST PODÁNÍ ŽÁDOSTI Z POHLEDU CHYB VE FORMULÁŘÍCH</w:t>
            </w:r>
          </w:p>
        </w:tc>
        <w:tc>
          <w:tcPr>
            <w:tcW w:w="6379" w:type="dxa"/>
            <w:noWrap/>
            <w:hideMark/>
          </w:tcPr>
          <w:p w14:paraId="73EC4541" w14:textId="50FD4738"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Vyplnění formuláře žádosti o bydlení obvykle z pohledu obcí nepředstavuje pro osoby z této skupiny problém. </w:t>
            </w:r>
          </w:p>
        </w:tc>
      </w:tr>
      <w:tr w:rsidR="00C121D6" w:rsidRPr="00C24104" w14:paraId="0526C9E4"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CF94766"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MOŽNOSTI PODÁNÍ ŽÁDOSTI</w:t>
            </w:r>
          </w:p>
        </w:tc>
        <w:tc>
          <w:tcPr>
            <w:tcW w:w="6379" w:type="dxa"/>
            <w:noWrap/>
            <w:hideMark/>
          </w:tcPr>
          <w:p w14:paraId="4234F84F"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Různorodé – osobně, poštou, emailem.</w:t>
            </w:r>
          </w:p>
        </w:tc>
      </w:tr>
      <w:tr w:rsidR="00C121D6" w:rsidRPr="00C24104" w14:paraId="39B699F2"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C1BE57A"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ZPRACOVÁNÍ ŽÁDOSTI</w:t>
            </w:r>
          </w:p>
        </w:tc>
        <w:tc>
          <w:tcPr>
            <w:tcW w:w="6379" w:type="dxa"/>
            <w:noWrap/>
            <w:hideMark/>
          </w:tcPr>
          <w:p w14:paraId="153F5543"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žádosti zpracovává do 30 dnů.</w:t>
            </w:r>
          </w:p>
        </w:tc>
      </w:tr>
    </w:tbl>
    <w:p w14:paraId="6E70E862" w14:textId="47508BA9"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8</w:t>
      </w:r>
      <w:r w:rsidR="009C7E3F" w:rsidRPr="00C24104">
        <w:rPr>
          <w:noProof/>
        </w:rPr>
        <w:fldChar w:fldCharType="end"/>
      </w:r>
      <w:r w:rsidRPr="00C24104">
        <w:t>: Sumarizace pravidel distribuce – ZAMĚSTNANCI OBCÍ, P. O. APOD., OSOBY VE SLUŽEBNÍM POMĚRU</w:t>
      </w:r>
    </w:p>
    <w:tbl>
      <w:tblPr>
        <w:tblStyle w:val="Tabulkasmkou4zvraznn3"/>
        <w:tblW w:w="10060" w:type="dxa"/>
        <w:tblLook w:val="0480" w:firstRow="0" w:lastRow="0" w:firstColumn="1" w:lastColumn="0" w:noHBand="0" w:noVBand="1"/>
      </w:tblPr>
      <w:tblGrid>
        <w:gridCol w:w="3681"/>
        <w:gridCol w:w="6379"/>
      </w:tblGrid>
      <w:tr w:rsidR="00C121D6" w:rsidRPr="00C24104" w14:paraId="0C85A915"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2D3CB201" w14:textId="42F3F56B"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ZAMĚSTNANCI OBCÍ, P. O. APOD.</w:t>
            </w:r>
          </w:p>
        </w:tc>
      </w:tr>
      <w:tr w:rsidR="00C121D6" w:rsidRPr="00C24104" w14:paraId="09257BBA"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EB44080"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POČET OBCÍ PRONAJÍMAJÍCH TÉTO SKUPINĚ BYTY PODLE SAMOSTATNÝCH PRAVIDEL</w:t>
            </w:r>
          </w:p>
        </w:tc>
        <w:tc>
          <w:tcPr>
            <w:tcW w:w="6379" w:type="dxa"/>
            <w:noWrap/>
            <w:hideMark/>
          </w:tcPr>
          <w:p w14:paraId="641B5F57"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17</w:t>
            </w:r>
          </w:p>
        </w:tc>
      </w:tr>
      <w:tr w:rsidR="00C121D6" w:rsidRPr="00C24104" w14:paraId="2C90457D"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E08505B"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NEJVÝZNAMNĚJŠÍ PODMÍNKY</w:t>
            </w:r>
          </w:p>
        </w:tc>
        <w:tc>
          <w:tcPr>
            <w:tcW w:w="6379" w:type="dxa"/>
            <w:noWrap/>
            <w:hideMark/>
          </w:tcPr>
          <w:p w14:paraId="1FFF9F55"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Kritéria pronájmu zahrnují minimální věk, bezdlužnost vůči obci, pracovní smlouvu s danou organizací, státní příslušnost a trvalý pobyt v obci. Některé obce zkoumají i finanční situaci žadatele. </w:t>
            </w:r>
          </w:p>
        </w:tc>
      </w:tr>
      <w:tr w:rsidR="00C121D6" w:rsidRPr="00C24104" w14:paraId="13422573"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5C69C6F"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SMLOUVY</w:t>
            </w:r>
          </w:p>
        </w:tc>
        <w:tc>
          <w:tcPr>
            <w:tcW w:w="6379" w:type="dxa"/>
            <w:noWrap/>
            <w:hideMark/>
          </w:tcPr>
          <w:p w14:paraId="1F6C27DE"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Délka nájemních smluv je obvykle určitá, což může snižovat zájem o tyto pronájmy.</w:t>
            </w:r>
          </w:p>
        </w:tc>
      </w:tr>
      <w:tr w:rsidR="00C121D6" w:rsidRPr="00C24104" w14:paraId="3B86A183"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BA37049"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POPLATKY A KAUCE</w:t>
            </w:r>
          </w:p>
        </w:tc>
        <w:tc>
          <w:tcPr>
            <w:tcW w:w="6379" w:type="dxa"/>
            <w:noWrap/>
            <w:hideMark/>
          </w:tcPr>
          <w:p w14:paraId="7817939B"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Finanční náročnost vstupu je obvykle nižší, protože většina obcí nevybírá poplatek ani kauci, a když ano, částky jsou často nízké. </w:t>
            </w:r>
          </w:p>
        </w:tc>
      </w:tr>
      <w:tr w:rsidR="00C121D6" w:rsidRPr="00C24104" w14:paraId="5F3C250C"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6EEF056"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OBTÍŽNOST PODÁNÍ ŽÁDOSTI Z POHLEDU CHYB VE FORMULÁŘÍCH</w:t>
            </w:r>
          </w:p>
        </w:tc>
        <w:tc>
          <w:tcPr>
            <w:tcW w:w="6379" w:type="dxa"/>
            <w:noWrap/>
            <w:hideMark/>
          </w:tcPr>
          <w:p w14:paraId="0786F39B" w14:textId="2BF03C8E"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Vyplnění formuláře žádosti o bydlení obvykle z pohledu obcí nepředstavuje pro osoby z této skupiny problém. </w:t>
            </w:r>
          </w:p>
        </w:tc>
      </w:tr>
      <w:tr w:rsidR="00C121D6" w:rsidRPr="00C24104" w14:paraId="74A880F1"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1662FDA"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MOŽNOSTI PODÁNÍ ŽÁDOSTI</w:t>
            </w:r>
          </w:p>
        </w:tc>
        <w:tc>
          <w:tcPr>
            <w:tcW w:w="6379" w:type="dxa"/>
            <w:noWrap/>
            <w:hideMark/>
          </w:tcPr>
          <w:p w14:paraId="684686A6"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Různorodé – osobně, poštou, emailem.</w:t>
            </w:r>
          </w:p>
        </w:tc>
      </w:tr>
      <w:tr w:rsidR="00C121D6" w:rsidRPr="00C24104" w14:paraId="0501BF63"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F679A4E"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ZPRACOVÁNÍ ŽÁDOSTI</w:t>
            </w:r>
          </w:p>
        </w:tc>
        <w:tc>
          <w:tcPr>
            <w:tcW w:w="6379" w:type="dxa"/>
            <w:noWrap/>
            <w:hideMark/>
          </w:tcPr>
          <w:p w14:paraId="44978CCF"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žádosti zpracovává do 30 dnů.</w:t>
            </w:r>
          </w:p>
        </w:tc>
      </w:tr>
    </w:tbl>
    <w:p w14:paraId="1FA89D36" w14:textId="30A60EEE"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9</w:t>
      </w:r>
      <w:r w:rsidR="009C7E3F" w:rsidRPr="00C24104">
        <w:rPr>
          <w:noProof/>
        </w:rPr>
        <w:fldChar w:fldCharType="end"/>
      </w:r>
      <w:r w:rsidRPr="00C24104">
        <w:t>: Sumarizace pravidel distribuce – OSOBY V NEPŘÍZNIVÉ SOCIÁLNÍ SITUACI V OBLASTI BYDLENÍ</w:t>
      </w:r>
    </w:p>
    <w:tbl>
      <w:tblPr>
        <w:tblStyle w:val="Tabulkasmkou4zvraznn3"/>
        <w:tblW w:w="10060" w:type="dxa"/>
        <w:tblLook w:val="0480" w:firstRow="0" w:lastRow="0" w:firstColumn="1" w:lastColumn="0" w:noHBand="0" w:noVBand="1"/>
      </w:tblPr>
      <w:tblGrid>
        <w:gridCol w:w="3681"/>
        <w:gridCol w:w="6379"/>
      </w:tblGrid>
      <w:tr w:rsidR="00C121D6" w:rsidRPr="00C24104" w14:paraId="45B0C762"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2F17F8CE"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OSOBY V NEPŘÍZNIVÉ SOCIÁLNÍ SITUACI V OBLASTI BYDLENÍ</w:t>
            </w:r>
          </w:p>
        </w:tc>
      </w:tr>
      <w:tr w:rsidR="00C121D6" w:rsidRPr="00C24104" w14:paraId="57489DD6"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9DDDE8F"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POČET OBCÍ PRONAJÍMAJÍCH TÉTO SKUPINĚ BYTY PODLE SAMOSTATNÝCH PRAVIDEL</w:t>
            </w:r>
          </w:p>
        </w:tc>
        <w:tc>
          <w:tcPr>
            <w:tcW w:w="6379" w:type="dxa"/>
            <w:noWrap/>
            <w:hideMark/>
          </w:tcPr>
          <w:p w14:paraId="3FAFD344"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16</w:t>
            </w:r>
          </w:p>
        </w:tc>
      </w:tr>
      <w:tr w:rsidR="00C121D6" w:rsidRPr="00C24104" w14:paraId="4B77E5FD"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7DBF52F"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NEJVÝZNAMNĚJŠÍ PODMÍNKY</w:t>
            </w:r>
          </w:p>
        </w:tc>
        <w:tc>
          <w:tcPr>
            <w:tcW w:w="6379" w:type="dxa"/>
            <w:noWrap/>
            <w:hideMark/>
          </w:tcPr>
          <w:p w14:paraId="6C59C8C4"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Podmínky pro získání bydlení zahrnují minimální věk, bezdlužnost, doklad o příjmu, státní příslušnost a trvalý pobyt v obci. Finanční situace a sociální situace jsou také posuzovány. </w:t>
            </w:r>
          </w:p>
        </w:tc>
      </w:tr>
      <w:tr w:rsidR="00C121D6" w:rsidRPr="00C24104" w14:paraId="3F595017"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1BEEC35"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O PŘIDĚLENÍ BYTU ROZHODUJE</w:t>
            </w:r>
          </w:p>
        </w:tc>
        <w:tc>
          <w:tcPr>
            <w:tcW w:w="6379" w:type="dxa"/>
            <w:noWrap/>
            <w:hideMark/>
          </w:tcPr>
          <w:p w14:paraId="24788A2B" w14:textId="42CF8096"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Rozhodnutí o přidělení bytu je založeno na celkovém zhodnocení situace žadatele, včetně aspektů sociálních a ekonomických.</w:t>
            </w:r>
          </w:p>
        </w:tc>
      </w:tr>
      <w:tr w:rsidR="00C121D6" w:rsidRPr="00C24104" w14:paraId="23D7BF6C"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0624C3C"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DÉLKA SMLOUVY</w:t>
            </w:r>
          </w:p>
        </w:tc>
        <w:tc>
          <w:tcPr>
            <w:tcW w:w="6379" w:type="dxa"/>
            <w:noWrap/>
            <w:hideMark/>
          </w:tcPr>
          <w:p w14:paraId="36137762"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Doba trvání nájemní smlouvy je ale obvykle určitá, což odráží nejistotu vlastníků nemovitostí.</w:t>
            </w:r>
          </w:p>
        </w:tc>
      </w:tr>
      <w:tr w:rsidR="00C121D6" w:rsidRPr="00C24104" w14:paraId="73065C38"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6D75D64"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POPLATKY A KAUCE</w:t>
            </w:r>
          </w:p>
        </w:tc>
        <w:tc>
          <w:tcPr>
            <w:tcW w:w="6379" w:type="dxa"/>
            <w:noWrap/>
            <w:hideMark/>
          </w:tcPr>
          <w:p w14:paraId="2F267FEC"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Finanční náročnost vstupu do bydlení je klíčovým faktorem, přičemž většina obcí nevybírá poplatky ani kauce. </w:t>
            </w:r>
          </w:p>
        </w:tc>
      </w:tr>
      <w:tr w:rsidR="00C121D6" w:rsidRPr="00C24104" w14:paraId="5FC7BCEE"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60CC83A"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OBTÍŽNOST PODÁNÍ ŽÁDOSTI Z POHLEDU CHYB VE FORMULÁŘÍCH</w:t>
            </w:r>
          </w:p>
        </w:tc>
        <w:tc>
          <w:tcPr>
            <w:tcW w:w="6379" w:type="dxa"/>
            <w:noWrap/>
            <w:hideMark/>
          </w:tcPr>
          <w:p w14:paraId="436A4AE3"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 xml:space="preserve">Některé obce zaznamenávají v případě této specifické cílové skupiny podání žádosti s chybami, což může být způsobeno sníženou gramotností některých osob či nedostatkem pomoci při podávání žádosti. </w:t>
            </w:r>
          </w:p>
        </w:tc>
      </w:tr>
      <w:tr w:rsidR="00C121D6" w:rsidRPr="00C24104" w14:paraId="5730D3FF"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CA7E7D5"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MOŽNOSTI PODÁNÍ ŽÁDOSTI</w:t>
            </w:r>
          </w:p>
        </w:tc>
        <w:tc>
          <w:tcPr>
            <w:tcW w:w="6379" w:type="dxa"/>
            <w:noWrap/>
            <w:hideMark/>
          </w:tcPr>
          <w:p w14:paraId="2075830A"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Různorodé – osobně, poštou, emailem.</w:t>
            </w:r>
          </w:p>
        </w:tc>
      </w:tr>
      <w:tr w:rsidR="00C121D6" w:rsidRPr="00C24104" w14:paraId="407468EA"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741D4C7" w14:textId="77777777" w:rsidR="00C121D6" w:rsidRPr="00C24104" w:rsidRDefault="00C121D6" w:rsidP="00C121D6">
            <w:pPr>
              <w:jc w:val="left"/>
              <w:rPr>
                <w:rFonts w:asciiTheme="majorHAnsi" w:eastAsia="Times New Roman" w:hAnsiTheme="majorHAnsi" w:cstheme="majorHAnsi"/>
                <w:b w:val="0"/>
                <w:color w:val="000000"/>
                <w:szCs w:val="24"/>
                <w:lang w:eastAsia="cs-CZ"/>
              </w:rPr>
            </w:pPr>
            <w:r w:rsidRPr="00C24104">
              <w:rPr>
                <w:rFonts w:asciiTheme="majorHAnsi" w:eastAsia="Times New Roman" w:hAnsiTheme="majorHAnsi" w:cstheme="majorHAnsi"/>
                <w:b w:val="0"/>
                <w:color w:val="000000"/>
                <w:szCs w:val="24"/>
                <w:lang w:eastAsia="cs-CZ"/>
              </w:rPr>
              <w:t>DÉLKA ZPRACOVÁNÍ ŽÁDOSTI</w:t>
            </w:r>
          </w:p>
        </w:tc>
        <w:tc>
          <w:tcPr>
            <w:tcW w:w="6379" w:type="dxa"/>
            <w:noWrap/>
            <w:hideMark/>
          </w:tcPr>
          <w:p w14:paraId="038C826E"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4"/>
                <w:lang w:eastAsia="cs-CZ"/>
              </w:rPr>
            </w:pPr>
            <w:r w:rsidRPr="00C24104">
              <w:rPr>
                <w:rFonts w:asciiTheme="majorHAnsi" w:eastAsia="Times New Roman" w:hAnsiTheme="majorHAnsi" w:cstheme="majorHAnsi"/>
                <w:color w:val="000000"/>
                <w:szCs w:val="24"/>
                <w:lang w:eastAsia="cs-CZ"/>
              </w:rPr>
              <w:t>Většina obcí žádosti zpracovává do 30 dnů.</w:t>
            </w:r>
          </w:p>
        </w:tc>
      </w:tr>
    </w:tbl>
    <w:p w14:paraId="0645A821" w14:textId="1748C598"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10</w:t>
      </w:r>
      <w:r w:rsidR="009C7E3F" w:rsidRPr="00C24104">
        <w:rPr>
          <w:noProof/>
        </w:rPr>
        <w:fldChar w:fldCharType="end"/>
      </w:r>
      <w:r w:rsidRPr="00C24104">
        <w:t>: Sumarizace pravidel distribuce – OZP A OSOBY S DUŠEVNÍM ONEMCONĚNÍM</w:t>
      </w:r>
    </w:p>
    <w:tbl>
      <w:tblPr>
        <w:tblStyle w:val="Tabulkasmkou4zvraznn3"/>
        <w:tblW w:w="10060" w:type="dxa"/>
        <w:tblLook w:val="0480" w:firstRow="0" w:lastRow="0" w:firstColumn="1" w:lastColumn="0" w:noHBand="0" w:noVBand="1"/>
      </w:tblPr>
      <w:tblGrid>
        <w:gridCol w:w="3681"/>
        <w:gridCol w:w="6379"/>
      </w:tblGrid>
      <w:tr w:rsidR="00C121D6" w:rsidRPr="00C24104" w14:paraId="39B62094"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4CE9A044"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OZP A OSOBY S DUŠEVNÍM ONEMCONĚNÍM</w:t>
            </w:r>
          </w:p>
        </w:tc>
      </w:tr>
      <w:tr w:rsidR="00C121D6" w:rsidRPr="00C24104" w14:paraId="25E3FD59"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B0C995F"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POČET OBCÍ PRONAJÍMAJÍCH TÉTO SKUPINĚ BYTY PODLE SAMOSTATNÝCH PRAVIDEL</w:t>
            </w:r>
          </w:p>
        </w:tc>
        <w:tc>
          <w:tcPr>
            <w:tcW w:w="6379" w:type="dxa"/>
            <w:noWrap/>
            <w:hideMark/>
          </w:tcPr>
          <w:p w14:paraId="4D648F8D"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13</w:t>
            </w:r>
          </w:p>
        </w:tc>
      </w:tr>
      <w:tr w:rsidR="00C121D6" w:rsidRPr="00C24104" w14:paraId="3D9D4B47"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67B131A"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NEJVÝZNAMNĚJŠÍ PODMÍNKY</w:t>
            </w:r>
          </w:p>
        </w:tc>
        <w:tc>
          <w:tcPr>
            <w:tcW w:w="6379" w:type="dxa"/>
            <w:noWrap/>
            <w:hideMark/>
          </w:tcPr>
          <w:p w14:paraId="2A98A922" w14:textId="5C58CBBF"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Podmínky pronájmu se často překrývají s podmínkami pro seniory a osoby v nepříznivé sociální situaci. Většina obcí vyžaduje plnoletost, bezdlužnost a sociální nebo lékařské doporučení. Finanční situace je také důležitým faktorem. Některé obce také vyžadují pobírání příspěvku na péči či spolupráci se sociální službou. </w:t>
            </w:r>
          </w:p>
        </w:tc>
      </w:tr>
      <w:tr w:rsidR="00C121D6" w:rsidRPr="00C24104" w14:paraId="135B6752"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65DB909"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 PŘIDĚLENÍ BYTU ROZHODUJE</w:t>
            </w:r>
          </w:p>
        </w:tc>
        <w:tc>
          <w:tcPr>
            <w:tcW w:w="6379" w:type="dxa"/>
            <w:noWrap/>
            <w:hideMark/>
          </w:tcPr>
          <w:p w14:paraId="64906ABB"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Při rozhodování o přidělení bytu jsou obvykle určující celkové zhodnocení situace žadatele, ale také délka podání a evidence žádosti, případně návrh příslušného odboru na obecním úřadu.</w:t>
            </w:r>
          </w:p>
        </w:tc>
      </w:tr>
      <w:tr w:rsidR="00C121D6" w:rsidRPr="00C24104" w14:paraId="6D9A0378"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4977108"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SMLOUVY</w:t>
            </w:r>
          </w:p>
        </w:tc>
        <w:tc>
          <w:tcPr>
            <w:tcW w:w="6379" w:type="dxa"/>
            <w:noWrap/>
            <w:hideMark/>
          </w:tcPr>
          <w:p w14:paraId="30D81B3F"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Doba trvání nájemní smlouvy je i v tomto případě obvykle určitá, bydlení tedy není vždy stabilní. </w:t>
            </w:r>
          </w:p>
        </w:tc>
      </w:tr>
      <w:tr w:rsidR="00C121D6" w:rsidRPr="00C24104" w14:paraId="7710DFE1"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8840CA7"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POPLATKY A KAUCE</w:t>
            </w:r>
          </w:p>
        </w:tc>
        <w:tc>
          <w:tcPr>
            <w:tcW w:w="6379" w:type="dxa"/>
            <w:noWrap/>
            <w:hideMark/>
          </w:tcPr>
          <w:p w14:paraId="0CE63877"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Ve většině obcí nejsou požadovány poplatky za podání žádosti ani kauce. </w:t>
            </w:r>
          </w:p>
        </w:tc>
      </w:tr>
      <w:tr w:rsidR="00C121D6" w:rsidRPr="00C24104" w14:paraId="65F974C6"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D69B2D9"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OBTÍŽNOST PODÁNÍ ŽÁDOSTI Z POHLEDU CHYB VE FORMULÁŘÍCH</w:t>
            </w:r>
          </w:p>
        </w:tc>
        <w:tc>
          <w:tcPr>
            <w:tcW w:w="6379" w:type="dxa"/>
            <w:noWrap/>
            <w:hideMark/>
          </w:tcPr>
          <w:p w14:paraId="3AFF0F44"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Vyplnění formuláře pro většinu žadatelů z této skupiny nepředstavuje významnější problém.</w:t>
            </w:r>
          </w:p>
        </w:tc>
      </w:tr>
      <w:tr w:rsidR="00C121D6" w:rsidRPr="00C24104" w14:paraId="39D19F98"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E01BE4D"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MOŽNOSTI PODÁNÍ ŽÁDOSTI</w:t>
            </w:r>
          </w:p>
        </w:tc>
        <w:tc>
          <w:tcPr>
            <w:tcW w:w="6379" w:type="dxa"/>
            <w:noWrap/>
            <w:hideMark/>
          </w:tcPr>
          <w:p w14:paraId="13EE58CE"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Různorodé – osobně, poštou, emailem.</w:t>
            </w:r>
          </w:p>
        </w:tc>
      </w:tr>
      <w:tr w:rsidR="00C121D6" w:rsidRPr="00C24104" w14:paraId="13EC68C0"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9E44C02"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ZPRACOVÁNÍ ŽÁDOSTI</w:t>
            </w:r>
          </w:p>
        </w:tc>
        <w:tc>
          <w:tcPr>
            <w:tcW w:w="6379" w:type="dxa"/>
            <w:noWrap/>
            <w:hideMark/>
          </w:tcPr>
          <w:p w14:paraId="0644AEA3"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žádosti zpracovává do 30 dnů.</w:t>
            </w:r>
          </w:p>
        </w:tc>
      </w:tr>
    </w:tbl>
    <w:p w14:paraId="7DEBB704" w14:textId="163F5726"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11</w:t>
      </w:r>
      <w:r w:rsidR="009C7E3F" w:rsidRPr="00C24104">
        <w:rPr>
          <w:noProof/>
        </w:rPr>
        <w:fldChar w:fldCharType="end"/>
      </w:r>
      <w:r w:rsidRPr="00C24104">
        <w:t>: Sumarizace pravidel distribuce – UPRCHLÍCI, OSOBY S DOČASNOU OCHRANOU</w:t>
      </w:r>
    </w:p>
    <w:tbl>
      <w:tblPr>
        <w:tblStyle w:val="Tabulkasmkou4zvraznn3"/>
        <w:tblW w:w="10060" w:type="dxa"/>
        <w:tblLook w:val="0480" w:firstRow="0" w:lastRow="0" w:firstColumn="1" w:lastColumn="0" w:noHBand="0" w:noVBand="1"/>
      </w:tblPr>
      <w:tblGrid>
        <w:gridCol w:w="3681"/>
        <w:gridCol w:w="6379"/>
      </w:tblGrid>
      <w:tr w:rsidR="00C121D6" w:rsidRPr="00C24104" w14:paraId="69BDFA7E"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6F7B56CD"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UPRCHLÍCI, OSOBY S DOČASNOU OCHRANOU</w:t>
            </w:r>
          </w:p>
        </w:tc>
      </w:tr>
      <w:tr w:rsidR="00C121D6" w:rsidRPr="00C24104" w14:paraId="40F2031A"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83FB613"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POČET OBCÍ PRONAJÍMAJÍCH TÉTO SKUPINĚ BYTY PODLE SAMOSTATNÝCH PRAVIDEL</w:t>
            </w:r>
          </w:p>
        </w:tc>
        <w:tc>
          <w:tcPr>
            <w:tcW w:w="6379" w:type="dxa"/>
            <w:noWrap/>
            <w:hideMark/>
          </w:tcPr>
          <w:p w14:paraId="7F38CBDE"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9</w:t>
            </w:r>
          </w:p>
        </w:tc>
      </w:tr>
      <w:tr w:rsidR="00C121D6" w:rsidRPr="00C24104" w14:paraId="5FE2E6B8"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6DD53D"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NEJVÝZNAMNĚJŠÍ PODMÍNKY</w:t>
            </w:r>
          </w:p>
        </w:tc>
        <w:tc>
          <w:tcPr>
            <w:tcW w:w="6379" w:type="dxa"/>
            <w:noWrap/>
            <w:hideMark/>
          </w:tcPr>
          <w:p w14:paraId="539A4200"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Podmínky pronájmu zahrnují plnoletost a zaměstnání v obci, některé obce vyžadují doklady o příjmu a bezdlužnost.</w:t>
            </w:r>
          </w:p>
        </w:tc>
      </w:tr>
      <w:tr w:rsidR="00C121D6" w:rsidRPr="00C24104" w14:paraId="586F49E5"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BA1031"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 PŘIDĚLENÍ BYTU ROZHODUJE</w:t>
            </w:r>
          </w:p>
        </w:tc>
        <w:tc>
          <w:tcPr>
            <w:tcW w:w="6379" w:type="dxa"/>
            <w:noWrap/>
            <w:hideMark/>
          </w:tcPr>
          <w:p w14:paraId="630BD821"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Při rozhodování o přidělení bytu se obce řídí různými kritérii souvisejícími nejčastěji s potřebami žadatele a konkrétní nabídkou bydlení. </w:t>
            </w:r>
          </w:p>
        </w:tc>
      </w:tr>
      <w:tr w:rsidR="00C121D6" w:rsidRPr="00C24104" w14:paraId="60388F2A"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072C336"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SMLOUVY</w:t>
            </w:r>
          </w:p>
        </w:tc>
        <w:tc>
          <w:tcPr>
            <w:tcW w:w="6379" w:type="dxa"/>
            <w:noWrap/>
            <w:hideMark/>
          </w:tcPr>
          <w:p w14:paraId="0DB7D379"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Délka nájemních smluv je obvykle na dobu určitou, což ztěžuje uprchlíkům získání dlouhodobého bydlení. </w:t>
            </w:r>
          </w:p>
        </w:tc>
      </w:tr>
      <w:tr w:rsidR="00C121D6" w:rsidRPr="00C24104" w14:paraId="5481B489"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4D91FA9"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POPLATKY A KAUCE</w:t>
            </w:r>
          </w:p>
        </w:tc>
        <w:tc>
          <w:tcPr>
            <w:tcW w:w="6379" w:type="dxa"/>
            <w:noWrap/>
            <w:hideMark/>
          </w:tcPr>
          <w:p w14:paraId="48A09BB1"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Většina obcí nevybírá poplatky za podání žádosti ani kauci. </w:t>
            </w:r>
          </w:p>
        </w:tc>
      </w:tr>
      <w:tr w:rsidR="00C121D6" w:rsidRPr="00C24104" w14:paraId="45AC55E7"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EF7C071"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OBTÍŽNOST PODÁNÍ ŽÁDOSTI Z POHLEDU CHYB VE FORMULÁŘÍCH</w:t>
            </w:r>
          </w:p>
        </w:tc>
        <w:tc>
          <w:tcPr>
            <w:tcW w:w="6379" w:type="dxa"/>
            <w:noWrap/>
            <w:hideMark/>
          </w:tcPr>
          <w:p w14:paraId="519E6C44" w14:textId="4419C91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Některé obce zaznamenávají v případě této specifické cílové skupiny podání žádosti s chybami, což může být způsobeno jazykovými bariérami a nedostatkem pomoci. </w:t>
            </w:r>
          </w:p>
        </w:tc>
      </w:tr>
      <w:tr w:rsidR="00C121D6" w:rsidRPr="00C24104" w14:paraId="16546E09"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F6859A7"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MOŽNOSTI PODÁNÍ ŽÁDOSTI</w:t>
            </w:r>
          </w:p>
        </w:tc>
        <w:tc>
          <w:tcPr>
            <w:tcW w:w="6379" w:type="dxa"/>
            <w:noWrap/>
            <w:hideMark/>
          </w:tcPr>
          <w:p w14:paraId="61445A98"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Různorodé – osobně, poštou, emailem.</w:t>
            </w:r>
          </w:p>
        </w:tc>
      </w:tr>
      <w:tr w:rsidR="00C121D6" w:rsidRPr="00C24104" w14:paraId="73645BE3"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00E0990"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ZPRACOVÁNÍ ŽÁDOSTI</w:t>
            </w:r>
          </w:p>
        </w:tc>
        <w:tc>
          <w:tcPr>
            <w:tcW w:w="6379" w:type="dxa"/>
            <w:noWrap/>
            <w:hideMark/>
          </w:tcPr>
          <w:p w14:paraId="7591BF49"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žádosti zpracovává do 30 dnů.</w:t>
            </w:r>
          </w:p>
        </w:tc>
      </w:tr>
    </w:tbl>
    <w:p w14:paraId="4825D72B" w14:textId="5E838866" w:rsidR="00C121D6" w:rsidRPr="00C24104" w:rsidRDefault="00C121D6" w:rsidP="00C121D6">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12</w:t>
      </w:r>
      <w:r w:rsidR="009C7E3F" w:rsidRPr="00C24104">
        <w:rPr>
          <w:noProof/>
        </w:rPr>
        <w:fldChar w:fldCharType="end"/>
      </w:r>
      <w:r w:rsidRPr="00C24104">
        <w:t>: Sumarizace pravidel distribuce – MLADÍ DOSPĚLÍ DO 30 LET</w:t>
      </w:r>
    </w:p>
    <w:tbl>
      <w:tblPr>
        <w:tblStyle w:val="Tabulkasmkou4zvraznn3"/>
        <w:tblW w:w="10060" w:type="dxa"/>
        <w:tblLook w:val="0480" w:firstRow="0" w:lastRow="0" w:firstColumn="1" w:lastColumn="0" w:noHBand="0" w:noVBand="1"/>
      </w:tblPr>
      <w:tblGrid>
        <w:gridCol w:w="3681"/>
        <w:gridCol w:w="6379"/>
      </w:tblGrid>
      <w:tr w:rsidR="00C121D6" w:rsidRPr="00C24104" w14:paraId="096BF44A"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0" w:type="dxa"/>
            <w:gridSpan w:val="2"/>
            <w:noWrap/>
            <w:hideMark/>
          </w:tcPr>
          <w:p w14:paraId="6C2603C8" w14:textId="18914D74"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MLADÍ DOSPĚLÍ DO 30 LET</w:t>
            </w:r>
          </w:p>
        </w:tc>
      </w:tr>
      <w:tr w:rsidR="00C121D6" w:rsidRPr="00C24104" w14:paraId="04948A2C"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D876C44"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POČET OBCÍ PRONAJÍMAJÍCH TÉTO SKUPINĚ BYTY PODLE SAMOSTATNÝCH PRAVIDEL</w:t>
            </w:r>
          </w:p>
        </w:tc>
        <w:tc>
          <w:tcPr>
            <w:tcW w:w="6379" w:type="dxa"/>
            <w:noWrap/>
            <w:hideMark/>
          </w:tcPr>
          <w:p w14:paraId="1F5114B8"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9</w:t>
            </w:r>
          </w:p>
        </w:tc>
      </w:tr>
      <w:tr w:rsidR="00C121D6" w:rsidRPr="00C24104" w14:paraId="4C215ECC"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1857DB8"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NEJVÝZNAMNĚJŠÍ PODMÍNKY</w:t>
            </w:r>
          </w:p>
        </w:tc>
        <w:tc>
          <w:tcPr>
            <w:tcW w:w="6379" w:type="dxa"/>
            <w:noWrap/>
            <w:hideMark/>
          </w:tcPr>
          <w:p w14:paraId="0934DD7B" w14:textId="72A3B431"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 xml:space="preserve">Podmínky poskytování se liší, samozřejmou podmínkou je plnoletost. Většina obcí také vyžaduje bezdlužnost, trvalý pobyt v obcí a státní příslušnost ČR. Dále jsou také požadovány různé doklady související s ověřením bonity žadatele. Některé obce stanovují také maximální věk jednotlivce či součet věků dvojice. S výjimkou jedné obce není požadováno po žadatelích doložení o spoření apod. </w:t>
            </w:r>
          </w:p>
        </w:tc>
      </w:tr>
      <w:tr w:rsidR="00C121D6" w:rsidRPr="00C24104" w14:paraId="0D27A9F3"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73E8AE8"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 PŘIDĚLENÍ BYTU ROZHODUJE</w:t>
            </w:r>
          </w:p>
        </w:tc>
        <w:tc>
          <w:tcPr>
            <w:tcW w:w="6379" w:type="dxa"/>
            <w:noWrap/>
            <w:hideMark/>
          </w:tcPr>
          <w:p w14:paraId="7563B51A" w14:textId="3F27494F"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Při rozhodování o přidělení bytu jsou klíčové celkové zhodnocení situace žadatele a délka podání a evidence žádosti.</w:t>
            </w:r>
          </w:p>
        </w:tc>
      </w:tr>
      <w:tr w:rsidR="00C121D6" w:rsidRPr="00C24104" w14:paraId="345B5FA8"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5AF7A5C"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SMLOUVY</w:t>
            </w:r>
          </w:p>
        </w:tc>
        <w:tc>
          <w:tcPr>
            <w:tcW w:w="6379" w:type="dxa"/>
            <w:noWrap/>
            <w:hideMark/>
          </w:tcPr>
          <w:p w14:paraId="77F60644"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Nájemní smlouvy jsou často na dobu určitou.</w:t>
            </w:r>
          </w:p>
        </w:tc>
      </w:tr>
      <w:tr w:rsidR="00C121D6" w:rsidRPr="00C24104" w14:paraId="6694E20C"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0717ABC"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POPLATKY A KAUCE</w:t>
            </w:r>
          </w:p>
        </w:tc>
        <w:tc>
          <w:tcPr>
            <w:tcW w:w="6379" w:type="dxa"/>
            <w:noWrap/>
            <w:hideMark/>
          </w:tcPr>
          <w:p w14:paraId="0C7E5BD0"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nevyžaduje poplatek za podání žádosti, kauce však obvykle vyžadována je.</w:t>
            </w:r>
          </w:p>
        </w:tc>
      </w:tr>
      <w:tr w:rsidR="00C121D6" w:rsidRPr="00C24104" w14:paraId="4B99916D"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8B0DBFE"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OBTÍŽNOST PODÁNÍ ŽÁDOSTI Z POHLEDU CHYB VE FORMULÁŘÍCH</w:t>
            </w:r>
          </w:p>
        </w:tc>
        <w:tc>
          <w:tcPr>
            <w:tcW w:w="6379" w:type="dxa"/>
            <w:noWrap/>
            <w:hideMark/>
          </w:tcPr>
          <w:p w14:paraId="33F4A638"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Vyplnění formuláře pro většinu žadatelů z této skupiny nepředstavuje významnější problém.</w:t>
            </w:r>
          </w:p>
        </w:tc>
      </w:tr>
      <w:tr w:rsidR="00C121D6" w:rsidRPr="00C24104" w14:paraId="6B4C9EB6" w14:textId="77777777" w:rsidTr="00C121D6">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D6CEFB1"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MOŽNOSTI PODÁNÍ ŽÁDOSTI</w:t>
            </w:r>
          </w:p>
        </w:tc>
        <w:tc>
          <w:tcPr>
            <w:tcW w:w="6379" w:type="dxa"/>
            <w:noWrap/>
            <w:hideMark/>
          </w:tcPr>
          <w:p w14:paraId="37344520" w14:textId="77777777" w:rsidR="00C121D6" w:rsidRPr="00C24104" w:rsidRDefault="00C121D6" w:rsidP="00C121D6">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Různorodé – osobně, poštou, emailem.</w:t>
            </w:r>
          </w:p>
        </w:tc>
      </w:tr>
      <w:tr w:rsidR="00C121D6" w:rsidRPr="00C24104" w14:paraId="3FD25398" w14:textId="77777777" w:rsidTr="00C121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5718DE5" w14:textId="77777777" w:rsidR="00C121D6" w:rsidRPr="00C24104" w:rsidRDefault="00C121D6" w:rsidP="00C121D6">
            <w:pPr>
              <w:jc w:val="left"/>
              <w:rPr>
                <w:rFonts w:asciiTheme="majorHAnsi" w:eastAsia="Times New Roman" w:hAnsiTheme="majorHAnsi" w:cstheme="majorHAnsi"/>
                <w:b w:val="0"/>
                <w:color w:val="000000"/>
                <w:lang w:eastAsia="cs-CZ"/>
              </w:rPr>
            </w:pPr>
            <w:r w:rsidRPr="00C24104">
              <w:rPr>
                <w:rFonts w:asciiTheme="majorHAnsi" w:eastAsia="Times New Roman" w:hAnsiTheme="majorHAnsi" w:cstheme="majorHAnsi"/>
                <w:b w:val="0"/>
                <w:color w:val="000000"/>
                <w:lang w:eastAsia="cs-CZ"/>
              </w:rPr>
              <w:t>DÉLKA ZPRACOVÁNÍ ŽÁDOSTI</w:t>
            </w:r>
          </w:p>
        </w:tc>
        <w:tc>
          <w:tcPr>
            <w:tcW w:w="6379" w:type="dxa"/>
            <w:noWrap/>
            <w:hideMark/>
          </w:tcPr>
          <w:p w14:paraId="205D8C0B" w14:textId="77777777" w:rsidR="00C121D6" w:rsidRPr="00C24104" w:rsidRDefault="00C121D6" w:rsidP="00C121D6">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cs-CZ"/>
              </w:rPr>
            </w:pPr>
            <w:r w:rsidRPr="00C24104">
              <w:rPr>
                <w:rFonts w:asciiTheme="majorHAnsi" w:eastAsia="Times New Roman" w:hAnsiTheme="majorHAnsi" w:cstheme="majorHAnsi"/>
                <w:color w:val="000000"/>
                <w:lang w:eastAsia="cs-CZ"/>
              </w:rPr>
              <w:t>Většina obcí žádosti zpracovává do 30 dnů.</w:t>
            </w:r>
          </w:p>
        </w:tc>
      </w:tr>
    </w:tbl>
    <w:p w14:paraId="2A0F125F" w14:textId="1FB06BDA" w:rsidR="00E557EA" w:rsidRPr="00C24104" w:rsidRDefault="000E4FD4" w:rsidP="000E4FD4">
      <w:pPr>
        <w:spacing w:before="120" w:after="0"/>
      </w:pPr>
      <w:bookmarkStart w:id="5" w:name="_Toc158788431"/>
      <w:r w:rsidRPr="00C24104">
        <w:t xml:space="preserve">Text analýzy se dále zaměřuje na </w:t>
      </w:r>
      <w:bookmarkStart w:id="6" w:name="_Hlk169112106"/>
      <w:bookmarkStart w:id="7" w:name="_Toc169114162"/>
      <w:r w:rsidRPr="00C24104">
        <w:t>p</w:t>
      </w:r>
      <w:r w:rsidR="00B320EE" w:rsidRPr="00C24104">
        <w:t>opis</w:t>
      </w:r>
      <w:r w:rsidR="00EE0708" w:rsidRPr="00C24104">
        <w:t xml:space="preserve"> typických situací při </w:t>
      </w:r>
      <w:r w:rsidR="00B320EE" w:rsidRPr="00C24104">
        <w:t>d</w:t>
      </w:r>
      <w:r w:rsidR="00635DD8" w:rsidRPr="00C24104">
        <w:t>istribuc</w:t>
      </w:r>
      <w:r w:rsidR="00EE0708" w:rsidRPr="00C24104">
        <w:t>i</w:t>
      </w:r>
      <w:r w:rsidR="00635DD8" w:rsidRPr="00C24104">
        <w:t xml:space="preserve"> bytů ve vlastn</w:t>
      </w:r>
      <w:r w:rsidR="00430D0B" w:rsidRPr="00C24104">
        <w:t>i</w:t>
      </w:r>
      <w:r w:rsidR="00635DD8" w:rsidRPr="00C24104">
        <w:t xml:space="preserve">ctví </w:t>
      </w:r>
      <w:r w:rsidR="00F5617D" w:rsidRPr="00C24104">
        <w:t>vybraných obcí</w:t>
      </w:r>
      <w:bookmarkEnd w:id="6"/>
      <w:bookmarkEnd w:id="7"/>
      <w:r w:rsidRPr="00C24104">
        <w:t xml:space="preserve"> </w:t>
      </w:r>
      <w:r w:rsidR="00E557EA" w:rsidRPr="00C24104">
        <w:t>– Bruntál</w:t>
      </w:r>
      <w:r w:rsidRPr="00C24104">
        <w:t>u, Studénky</w:t>
      </w:r>
      <w:r w:rsidR="00E557EA" w:rsidRPr="00C24104">
        <w:t>, Osoblah</w:t>
      </w:r>
      <w:r w:rsidRPr="00C24104">
        <w:t>y</w:t>
      </w:r>
      <w:r w:rsidR="00E557EA" w:rsidRPr="00C24104">
        <w:t xml:space="preserve"> a Opav</w:t>
      </w:r>
      <w:r w:rsidRPr="00C24104">
        <w:t xml:space="preserve">y prostřednictvím provedení kvalitativní sondy sestávající se s hloubkového rozhovoru a analýzy dostupných dokumentů obcí vztahujících se ke zkoumané problematice. </w:t>
      </w:r>
      <w:r w:rsidR="00E557EA" w:rsidRPr="00C24104">
        <w:t xml:space="preserve">Tyto obce byly pro kvalitativní sondu vybrány na základě domluvy se zadavatelem Analýzy. Tabulka </w:t>
      </w:r>
      <w:r w:rsidRPr="00C24104">
        <w:t>13</w:t>
      </w:r>
      <w:r w:rsidR="00E557EA" w:rsidRPr="00C24104">
        <w:t xml:space="preserve"> uvádí jejich charakteristiku z hlediska některých podstatných proměnných týkajících se tématu Analýzy.</w:t>
      </w:r>
    </w:p>
    <w:p w14:paraId="6BD467F6" w14:textId="77777777" w:rsidR="00B03F37" w:rsidRPr="00C24104" w:rsidRDefault="00B03F37" w:rsidP="000E4FD4">
      <w:pPr>
        <w:pStyle w:val="Titulek"/>
      </w:pPr>
    </w:p>
    <w:p w14:paraId="7E4FF0A4" w14:textId="77777777" w:rsidR="00B03F37" w:rsidRPr="00C24104" w:rsidRDefault="00B03F37" w:rsidP="000E4FD4">
      <w:pPr>
        <w:pStyle w:val="Titulek"/>
      </w:pPr>
    </w:p>
    <w:p w14:paraId="00E9BB66" w14:textId="77777777" w:rsidR="00B03F37" w:rsidRPr="00C24104" w:rsidRDefault="00B03F37" w:rsidP="000E4FD4">
      <w:pPr>
        <w:pStyle w:val="Titulek"/>
      </w:pPr>
    </w:p>
    <w:p w14:paraId="123AF4E9" w14:textId="77777777" w:rsidR="00B03F37" w:rsidRPr="00C24104" w:rsidRDefault="00B03F37" w:rsidP="000E4FD4">
      <w:pPr>
        <w:pStyle w:val="Titulek"/>
      </w:pPr>
    </w:p>
    <w:p w14:paraId="0C29A4E9" w14:textId="77777777" w:rsidR="00B03F37" w:rsidRPr="00C24104" w:rsidRDefault="00B03F37" w:rsidP="000E4FD4">
      <w:pPr>
        <w:pStyle w:val="Titulek"/>
      </w:pPr>
    </w:p>
    <w:p w14:paraId="0E6D3A3A" w14:textId="77777777" w:rsidR="00B03F37" w:rsidRPr="00C24104" w:rsidRDefault="00B03F37" w:rsidP="000E4FD4">
      <w:pPr>
        <w:pStyle w:val="Titulek"/>
      </w:pPr>
    </w:p>
    <w:p w14:paraId="071C9F24" w14:textId="77777777" w:rsidR="00B03F37" w:rsidRPr="00C24104" w:rsidRDefault="00B03F37" w:rsidP="000E4FD4">
      <w:pPr>
        <w:pStyle w:val="Titulek"/>
      </w:pPr>
    </w:p>
    <w:p w14:paraId="32C1DAE8" w14:textId="24C07A32" w:rsidR="00E557EA" w:rsidRPr="00C24104" w:rsidRDefault="000E4FD4" w:rsidP="000E4FD4">
      <w:pPr>
        <w:pStyle w:val="Titulek"/>
        <w:rPr>
          <w:color w:val="000000"/>
          <w:lang w:eastAsia="cs-CZ"/>
        </w:rPr>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13</w:t>
      </w:r>
      <w:r w:rsidR="009C7E3F" w:rsidRPr="00C24104">
        <w:rPr>
          <w:noProof/>
        </w:rPr>
        <w:fldChar w:fldCharType="end"/>
      </w:r>
      <w:r w:rsidR="00E557EA" w:rsidRPr="00C24104">
        <w:t xml:space="preserve">: </w:t>
      </w:r>
      <w:r w:rsidR="00E557EA" w:rsidRPr="00C24104">
        <w:rPr>
          <w:lang w:eastAsia="cs-CZ"/>
        </w:rPr>
        <w:t>Obce, v nichž byly provedeny kvalitativní rozhovory</w:t>
      </w:r>
    </w:p>
    <w:tbl>
      <w:tblPr>
        <w:tblStyle w:val="Tmavtabulkasmkou5zvraznn3"/>
        <w:tblW w:w="10060" w:type="dxa"/>
        <w:tblLook w:val="0480" w:firstRow="0" w:lastRow="0" w:firstColumn="1" w:lastColumn="0" w:noHBand="0" w:noVBand="1"/>
      </w:tblPr>
      <w:tblGrid>
        <w:gridCol w:w="1418"/>
        <w:gridCol w:w="1129"/>
        <w:gridCol w:w="1843"/>
        <w:gridCol w:w="1701"/>
        <w:gridCol w:w="1701"/>
        <w:gridCol w:w="2268"/>
      </w:tblGrid>
      <w:tr w:rsidR="00E557EA" w:rsidRPr="00C24104" w14:paraId="31D55112" w14:textId="77777777" w:rsidTr="005D3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1F7D7D6" w14:textId="77777777" w:rsidR="00E557EA" w:rsidRPr="00C24104" w:rsidRDefault="00E557EA" w:rsidP="005D33F5">
            <w:pPr>
              <w:pStyle w:val="Odstavecseseznamem"/>
              <w:ind w:left="0"/>
              <w:jc w:val="left"/>
              <w:rPr>
                <w:rFonts w:asciiTheme="majorHAnsi" w:hAnsiTheme="majorHAnsi" w:cstheme="majorHAnsi"/>
                <w:b w:val="0"/>
                <w:lang w:eastAsia="cs-CZ"/>
              </w:rPr>
            </w:pPr>
            <w:r w:rsidRPr="00C24104">
              <w:rPr>
                <w:rFonts w:asciiTheme="majorHAnsi" w:hAnsiTheme="majorHAnsi" w:cstheme="majorHAnsi"/>
                <w:b w:val="0"/>
                <w:caps/>
                <w:lang w:eastAsia="cs-CZ"/>
              </w:rPr>
              <w:t>Název obce</w:t>
            </w:r>
            <w:r w:rsidRPr="00C24104">
              <w:rPr>
                <w:rFonts w:asciiTheme="majorHAnsi" w:hAnsiTheme="majorHAnsi" w:cstheme="majorHAnsi"/>
                <w:b w:val="0"/>
                <w:lang w:eastAsia="cs-CZ"/>
              </w:rPr>
              <w:t>: obce navrhované MSK</w:t>
            </w:r>
          </w:p>
        </w:tc>
        <w:tc>
          <w:tcPr>
            <w:tcW w:w="1129" w:type="dxa"/>
            <w:vMerge w:val="restart"/>
            <w:vAlign w:val="center"/>
          </w:tcPr>
          <w:p w14:paraId="2C20199D" w14:textId="77777777" w:rsidR="00E557EA" w:rsidRPr="00C24104" w:rsidRDefault="00E557EA" w:rsidP="005D33F5">
            <w:pPr>
              <w:pStyle w:val="Odstavecseseznamem"/>
              <w:ind w:left="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TYP</w:t>
            </w:r>
          </w:p>
        </w:tc>
        <w:tc>
          <w:tcPr>
            <w:tcW w:w="1843" w:type="dxa"/>
            <w:vMerge w:val="restart"/>
            <w:vAlign w:val="center"/>
          </w:tcPr>
          <w:p w14:paraId="668372F3"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VELIKOST BYTOVÉHO FONDU: počet disponibilních bytů v roce 2021 (ČSÚ)</w:t>
            </w:r>
          </w:p>
        </w:tc>
        <w:tc>
          <w:tcPr>
            <w:tcW w:w="3402" w:type="dxa"/>
            <w:gridSpan w:val="2"/>
            <w:vAlign w:val="center"/>
          </w:tcPr>
          <w:p w14:paraId="5BDDC917"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MÍRA SOCIÁLNÍHO VYLOUČENÍ v roce 2021 (Agentura pro sociální začleňování)</w:t>
            </w:r>
            <w:r w:rsidRPr="00C24104">
              <w:rPr>
                <w:rStyle w:val="Znakapoznpodarou"/>
                <w:rFonts w:asciiTheme="majorHAnsi" w:hAnsiTheme="majorHAnsi" w:cstheme="majorHAnsi"/>
                <w:lang w:eastAsia="cs-CZ"/>
              </w:rPr>
              <w:footnoteReference w:id="3"/>
            </w:r>
          </w:p>
        </w:tc>
        <w:tc>
          <w:tcPr>
            <w:tcW w:w="2268" w:type="dxa"/>
            <w:vMerge w:val="restart"/>
            <w:vAlign w:val="center"/>
          </w:tcPr>
          <w:p w14:paraId="66785803"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 xml:space="preserve">VELIKOST OBCE </w:t>
            </w:r>
            <w:r w:rsidRPr="00C24104">
              <w:rPr>
                <w:rFonts w:asciiTheme="majorHAnsi" w:hAnsiTheme="majorHAnsi" w:cstheme="majorHAnsi"/>
                <w:caps/>
                <w:lang w:eastAsia="cs-CZ"/>
              </w:rPr>
              <w:t>podle počtu obyvate</w:t>
            </w:r>
            <w:r w:rsidRPr="00C24104">
              <w:rPr>
                <w:rFonts w:asciiTheme="majorHAnsi" w:hAnsiTheme="majorHAnsi" w:cstheme="majorHAnsi"/>
                <w:lang w:eastAsia="cs-CZ"/>
              </w:rPr>
              <w:t>L: počet obyvatel v roce 2021 (ČSÚ)</w:t>
            </w:r>
          </w:p>
        </w:tc>
      </w:tr>
      <w:tr w:rsidR="00E557EA" w:rsidRPr="00C24104" w14:paraId="43E61E5D" w14:textId="77777777" w:rsidTr="005D33F5">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F93DB2E" w14:textId="77777777" w:rsidR="00E557EA" w:rsidRPr="00C24104" w:rsidRDefault="00E557EA" w:rsidP="005D33F5">
            <w:pPr>
              <w:pStyle w:val="Odstavecseseznamem"/>
              <w:ind w:left="0"/>
              <w:jc w:val="left"/>
              <w:rPr>
                <w:rFonts w:asciiTheme="majorHAnsi" w:hAnsiTheme="majorHAnsi" w:cstheme="majorHAnsi"/>
                <w:b w:val="0"/>
                <w:color w:val="000000"/>
                <w:lang w:eastAsia="cs-CZ"/>
              </w:rPr>
            </w:pPr>
          </w:p>
        </w:tc>
        <w:tc>
          <w:tcPr>
            <w:tcW w:w="1129" w:type="dxa"/>
            <w:vMerge/>
            <w:vAlign w:val="center"/>
          </w:tcPr>
          <w:p w14:paraId="464C6407" w14:textId="77777777" w:rsidR="00E557EA" w:rsidRPr="00C24104" w:rsidRDefault="00E557EA" w:rsidP="005D33F5">
            <w:pPr>
              <w:pStyle w:val="Odstavecseseznamem"/>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p>
        </w:tc>
        <w:tc>
          <w:tcPr>
            <w:tcW w:w="1843" w:type="dxa"/>
            <w:vMerge/>
            <w:vAlign w:val="center"/>
          </w:tcPr>
          <w:p w14:paraId="7BA64518"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p>
        </w:tc>
        <w:tc>
          <w:tcPr>
            <w:tcW w:w="1701" w:type="dxa"/>
            <w:shd w:val="clear" w:color="auto" w:fill="F3D5A7" w:themeFill="accent3" w:themeFillTint="66"/>
            <w:vAlign w:val="center"/>
          </w:tcPr>
          <w:p w14:paraId="34B5A0C8"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 xml:space="preserve">index sociálního vyloučení </w:t>
            </w:r>
          </w:p>
        </w:tc>
        <w:tc>
          <w:tcPr>
            <w:tcW w:w="1701" w:type="dxa"/>
            <w:shd w:val="clear" w:color="auto" w:fill="F3D5A7" w:themeFill="accent3" w:themeFillTint="66"/>
            <w:vAlign w:val="center"/>
          </w:tcPr>
          <w:p w14:paraId="36E5E443"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cs-CZ"/>
              </w:rPr>
            </w:pPr>
            <w:r w:rsidRPr="00C24104">
              <w:rPr>
                <w:rFonts w:asciiTheme="majorHAnsi" w:hAnsiTheme="majorHAnsi" w:cstheme="majorHAnsi"/>
                <w:lang w:eastAsia="cs-CZ"/>
              </w:rPr>
              <w:t>stupeň sociálního vyloučení</w:t>
            </w:r>
          </w:p>
        </w:tc>
        <w:tc>
          <w:tcPr>
            <w:tcW w:w="2268" w:type="dxa"/>
            <w:vMerge/>
            <w:vAlign w:val="center"/>
          </w:tcPr>
          <w:p w14:paraId="2C729C62"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p>
        </w:tc>
      </w:tr>
      <w:tr w:rsidR="00E557EA" w:rsidRPr="00C24104" w14:paraId="3E06362A" w14:textId="77777777" w:rsidTr="005D3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E27A98D" w14:textId="77777777" w:rsidR="00E557EA" w:rsidRPr="00C24104" w:rsidRDefault="00E557EA" w:rsidP="005D33F5">
            <w:pPr>
              <w:pStyle w:val="Odstavecseseznamem"/>
              <w:ind w:left="0"/>
              <w:jc w:val="left"/>
              <w:rPr>
                <w:rFonts w:asciiTheme="majorHAnsi" w:hAnsiTheme="majorHAnsi" w:cstheme="majorHAnsi"/>
                <w:b w:val="0"/>
                <w:lang w:eastAsia="cs-CZ"/>
              </w:rPr>
            </w:pPr>
            <w:r w:rsidRPr="00C24104">
              <w:rPr>
                <w:rFonts w:asciiTheme="majorHAnsi" w:hAnsiTheme="majorHAnsi" w:cstheme="majorHAnsi"/>
                <w:b w:val="0"/>
                <w:lang w:eastAsia="cs-CZ"/>
              </w:rPr>
              <w:t>Bruntál</w:t>
            </w:r>
          </w:p>
        </w:tc>
        <w:tc>
          <w:tcPr>
            <w:tcW w:w="1129" w:type="dxa"/>
            <w:vAlign w:val="center"/>
          </w:tcPr>
          <w:p w14:paraId="02A08947" w14:textId="77777777" w:rsidR="00E557EA" w:rsidRPr="00C24104" w:rsidRDefault="00E557EA" w:rsidP="005D33F5">
            <w:pPr>
              <w:pStyle w:val="Odstavecseseznamem"/>
              <w:ind w:left="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ORP</w:t>
            </w:r>
          </w:p>
        </w:tc>
        <w:tc>
          <w:tcPr>
            <w:tcW w:w="1843" w:type="dxa"/>
            <w:vAlign w:val="center"/>
          </w:tcPr>
          <w:p w14:paraId="63BF106E"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977</w:t>
            </w:r>
          </w:p>
        </w:tc>
        <w:tc>
          <w:tcPr>
            <w:tcW w:w="1701" w:type="dxa"/>
            <w:vAlign w:val="center"/>
          </w:tcPr>
          <w:p w14:paraId="33E6292D"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16</w:t>
            </w:r>
          </w:p>
        </w:tc>
        <w:tc>
          <w:tcPr>
            <w:tcW w:w="1701" w:type="dxa"/>
            <w:vAlign w:val="center"/>
          </w:tcPr>
          <w:p w14:paraId="1FC66C55"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4</w:t>
            </w:r>
          </w:p>
        </w:tc>
        <w:tc>
          <w:tcPr>
            <w:tcW w:w="2268" w:type="dxa"/>
            <w:vAlign w:val="center"/>
          </w:tcPr>
          <w:p w14:paraId="1A36A936"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14936</w:t>
            </w:r>
          </w:p>
        </w:tc>
      </w:tr>
      <w:tr w:rsidR="00E557EA" w:rsidRPr="00C24104" w14:paraId="7D3F3E24" w14:textId="77777777" w:rsidTr="005D33F5">
        <w:tc>
          <w:tcPr>
            <w:cnfStyle w:val="001000000000" w:firstRow="0" w:lastRow="0" w:firstColumn="1" w:lastColumn="0" w:oddVBand="0" w:evenVBand="0" w:oddHBand="0" w:evenHBand="0" w:firstRowFirstColumn="0" w:firstRowLastColumn="0" w:lastRowFirstColumn="0" w:lastRowLastColumn="0"/>
            <w:tcW w:w="1418" w:type="dxa"/>
            <w:vAlign w:val="center"/>
          </w:tcPr>
          <w:p w14:paraId="0F58AFEB" w14:textId="77777777" w:rsidR="00E557EA" w:rsidRPr="00C24104" w:rsidRDefault="00E557EA" w:rsidP="005D33F5">
            <w:pPr>
              <w:pStyle w:val="Odstavecseseznamem"/>
              <w:ind w:left="0"/>
              <w:jc w:val="left"/>
              <w:rPr>
                <w:rFonts w:asciiTheme="majorHAnsi" w:hAnsiTheme="majorHAnsi" w:cstheme="majorHAnsi"/>
                <w:b w:val="0"/>
                <w:lang w:eastAsia="cs-CZ"/>
              </w:rPr>
            </w:pPr>
            <w:r w:rsidRPr="00C24104">
              <w:rPr>
                <w:rFonts w:asciiTheme="majorHAnsi" w:hAnsiTheme="majorHAnsi" w:cstheme="majorHAnsi"/>
                <w:b w:val="0"/>
                <w:lang w:eastAsia="cs-CZ"/>
              </w:rPr>
              <w:t>Opava</w:t>
            </w:r>
          </w:p>
        </w:tc>
        <w:tc>
          <w:tcPr>
            <w:tcW w:w="1129" w:type="dxa"/>
            <w:vAlign w:val="center"/>
          </w:tcPr>
          <w:p w14:paraId="586188DC" w14:textId="77777777" w:rsidR="00E557EA" w:rsidRPr="00C24104" w:rsidRDefault="00E557EA" w:rsidP="005D33F5">
            <w:pPr>
              <w:pStyle w:val="Odstavecseseznamem"/>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SM ORP</w:t>
            </w:r>
          </w:p>
        </w:tc>
        <w:tc>
          <w:tcPr>
            <w:tcW w:w="1843" w:type="dxa"/>
            <w:vAlign w:val="center"/>
          </w:tcPr>
          <w:p w14:paraId="30CC4C7F"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513</w:t>
            </w:r>
          </w:p>
        </w:tc>
        <w:tc>
          <w:tcPr>
            <w:tcW w:w="1701" w:type="dxa"/>
            <w:vAlign w:val="center"/>
          </w:tcPr>
          <w:p w14:paraId="289F5F2F"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14</w:t>
            </w:r>
          </w:p>
        </w:tc>
        <w:tc>
          <w:tcPr>
            <w:tcW w:w="1701" w:type="dxa"/>
            <w:vAlign w:val="center"/>
          </w:tcPr>
          <w:p w14:paraId="051346A6"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4</w:t>
            </w:r>
          </w:p>
        </w:tc>
        <w:tc>
          <w:tcPr>
            <w:tcW w:w="2268" w:type="dxa"/>
            <w:vAlign w:val="center"/>
          </w:tcPr>
          <w:p w14:paraId="4F8A071A"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55146</w:t>
            </w:r>
          </w:p>
        </w:tc>
      </w:tr>
      <w:tr w:rsidR="00E557EA" w:rsidRPr="00C24104" w14:paraId="0795463E" w14:textId="77777777" w:rsidTr="005D3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E3FF924" w14:textId="77777777" w:rsidR="00E557EA" w:rsidRPr="00C24104" w:rsidRDefault="00E557EA" w:rsidP="005D33F5">
            <w:pPr>
              <w:pStyle w:val="Odstavecseseznamem"/>
              <w:ind w:left="0"/>
              <w:jc w:val="left"/>
              <w:rPr>
                <w:rFonts w:asciiTheme="majorHAnsi" w:hAnsiTheme="majorHAnsi" w:cstheme="majorHAnsi"/>
                <w:b w:val="0"/>
                <w:lang w:eastAsia="cs-CZ"/>
              </w:rPr>
            </w:pPr>
            <w:r w:rsidRPr="00C24104">
              <w:rPr>
                <w:rFonts w:asciiTheme="majorHAnsi" w:hAnsiTheme="majorHAnsi" w:cstheme="majorHAnsi"/>
                <w:b w:val="0"/>
                <w:lang w:eastAsia="cs-CZ"/>
              </w:rPr>
              <w:t>Osoblaha</w:t>
            </w:r>
          </w:p>
        </w:tc>
        <w:tc>
          <w:tcPr>
            <w:tcW w:w="1129" w:type="dxa"/>
            <w:vAlign w:val="center"/>
          </w:tcPr>
          <w:p w14:paraId="7745C2E6" w14:textId="77777777" w:rsidR="00E557EA" w:rsidRPr="00C24104" w:rsidRDefault="00E557EA" w:rsidP="005D33F5">
            <w:pPr>
              <w:pStyle w:val="Odstavecseseznamem"/>
              <w:ind w:left="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proofErr w:type="spellStart"/>
            <w:r w:rsidRPr="00C24104">
              <w:rPr>
                <w:rFonts w:asciiTheme="majorHAnsi" w:hAnsiTheme="majorHAnsi" w:cstheme="majorHAnsi"/>
                <w:color w:val="000000"/>
                <w:lang w:eastAsia="cs-CZ"/>
              </w:rPr>
              <w:t>OsPOÚ</w:t>
            </w:r>
            <w:proofErr w:type="spellEnd"/>
          </w:p>
        </w:tc>
        <w:tc>
          <w:tcPr>
            <w:tcW w:w="1843" w:type="dxa"/>
            <w:vAlign w:val="center"/>
          </w:tcPr>
          <w:p w14:paraId="4A52F641"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137</w:t>
            </w:r>
          </w:p>
        </w:tc>
        <w:tc>
          <w:tcPr>
            <w:tcW w:w="1701" w:type="dxa"/>
            <w:vAlign w:val="center"/>
          </w:tcPr>
          <w:p w14:paraId="6BBDE976"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23</w:t>
            </w:r>
          </w:p>
        </w:tc>
        <w:tc>
          <w:tcPr>
            <w:tcW w:w="1701" w:type="dxa"/>
            <w:vAlign w:val="center"/>
          </w:tcPr>
          <w:p w14:paraId="6FB24981"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4</w:t>
            </w:r>
          </w:p>
        </w:tc>
        <w:tc>
          <w:tcPr>
            <w:tcW w:w="2268" w:type="dxa"/>
            <w:vAlign w:val="center"/>
          </w:tcPr>
          <w:p w14:paraId="25BABA99" w14:textId="77777777" w:rsidR="00E557EA" w:rsidRPr="00C24104" w:rsidRDefault="00E557EA" w:rsidP="005D33F5">
            <w:pPr>
              <w:pStyle w:val="Odstavecseseznamem"/>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978</w:t>
            </w:r>
          </w:p>
        </w:tc>
      </w:tr>
      <w:tr w:rsidR="00E557EA" w:rsidRPr="00C24104" w14:paraId="021BEAF4" w14:textId="77777777" w:rsidTr="005D33F5">
        <w:tc>
          <w:tcPr>
            <w:cnfStyle w:val="001000000000" w:firstRow="0" w:lastRow="0" w:firstColumn="1" w:lastColumn="0" w:oddVBand="0" w:evenVBand="0" w:oddHBand="0" w:evenHBand="0" w:firstRowFirstColumn="0" w:firstRowLastColumn="0" w:lastRowFirstColumn="0" w:lastRowLastColumn="0"/>
            <w:tcW w:w="1418" w:type="dxa"/>
            <w:vAlign w:val="center"/>
          </w:tcPr>
          <w:p w14:paraId="04B47705" w14:textId="77777777" w:rsidR="00E557EA" w:rsidRPr="00C24104" w:rsidRDefault="00E557EA" w:rsidP="005D33F5">
            <w:pPr>
              <w:pStyle w:val="Odstavecseseznamem"/>
              <w:ind w:left="0"/>
              <w:jc w:val="left"/>
              <w:rPr>
                <w:rFonts w:asciiTheme="majorHAnsi" w:hAnsiTheme="majorHAnsi" w:cstheme="majorHAnsi"/>
                <w:b w:val="0"/>
                <w:lang w:eastAsia="cs-CZ"/>
              </w:rPr>
            </w:pPr>
            <w:r w:rsidRPr="00C24104">
              <w:rPr>
                <w:rFonts w:asciiTheme="majorHAnsi" w:hAnsiTheme="majorHAnsi" w:cstheme="majorHAnsi"/>
                <w:b w:val="0"/>
                <w:lang w:eastAsia="cs-CZ"/>
              </w:rPr>
              <w:t>Studénka</w:t>
            </w:r>
          </w:p>
        </w:tc>
        <w:tc>
          <w:tcPr>
            <w:tcW w:w="1129" w:type="dxa"/>
            <w:vAlign w:val="center"/>
          </w:tcPr>
          <w:p w14:paraId="1A469AAA" w14:textId="77777777" w:rsidR="00E557EA" w:rsidRPr="00C24104" w:rsidRDefault="00E557EA" w:rsidP="005D33F5">
            <w:pPr>
              <w:pStyle w:val="Odstavecseseznamem"/>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proofErr w:type="spellStart"/>
            <w:r w:rsidRPr="00C24104">
              <w:rPr>
                <w:rFonts w:asciiTheme="majorHAnsi" w:hAnsiTheme="majorHAnsi" w:cstheme="majorHAnsi"/>
                <w:color w:val="000000"/>
                <w:lang w:eastAsia="cs-CZ"/>
              </w:rPr>
              <w:t>OsPOÚ</w:t>
            </w:r>
            <w:proofErr w:type="spellEnd"/>
          </w:p>
        </w:tc>
        <w:tc>
          <w:tcPr>
            <w:tcW w:w="1843" w:type="dxa"/>
            <w:vAlign w:val="center"/>
          </w:tcPr>
          <w:p w14:paraId="21A826CE"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149</w:t>
            </w:r>
          </w:p>
        </w:tc>
        <w:tc>
          <w:tcPr>
            <w:tcW w:w="1701" w:type="dxa"/>
            <w:vAlign w:val="center"/>
          </w:tcPr>
          <w:p w14:paraId="4AE56568"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11</w:t>
            </w:r>
          </w:p>
        </w:tc>
        <w:tc>
          <w:tcPr>
            <w:tcW w:w="1701" w:type="dxa"/>
            <w:vAlign w:val="center"/>
          </w:tcPr>
          <w:p w14:paraId="5D7025F0"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3</w:t>
            </w:r>
          </w:p>
        </w:tc>
        <w:tc>
          <w:tcPr>
            <w:tcW w:w="2268" w:type="dxa"/>
            <w:vAlign w:val="center"/>
          </w:tcPr>
          <w:p w14:paraId="326C5C41" w14:textId="77777777" w:rsidR="00E557EA" w:rsidRPr="00C24104" w:rsidRDefault="00E557EA" w:rsidP="005D33F5">
            <w:pPr>
              <w:pStyle w:val="Odstavecseseznamem"/>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eastAsia="cs-CZ"/>
              </w:rPr>
            </w:pPr>
            <w:r w:rsidRPr="00C24104">
              <w:rPr>
                <w:rFonts w:asciiTheme="majorHAnsi" w:hAnsiTheme="majorHAnsi" w:cstheme="majorHAnsi"/>
                <w:color w:val="000000"/>
                <w:lang w:eastAsia="cs-CZ"/>
              </w:rPr>
              <w:t>8981</w:t>
            </w:r>
          </w:p>
        </w:tc>
      </w:tr>
    </w:tbl>
    <w:p w14:paraId="75248939" w14:textId="77777777" w:rsidR="000E4FD4" w:rsidRPr="00C24104" w:rsidRDefault="000E4FD4" w:rsidP="000E4FD4">
      <w:pPr>
        <w:spacing w:before="120" w:after="120"/>
      </w:pPr>
      <w:r w:rsidRPr="00C24104">
        <w:t>Kvalitativní sonda ukázala následující zjištění:</w:t>
      </w:r>
    </w:p>
    <w:p w14:paraId="7CC3209D" w14:textId="7B4F8846" w:rsidR="000E4FD4" w:rsidRPr="00C24104" w:rsidRDefault="00003275" w:rsidP="000E4FD4">
      <w:pPr>
        <w:pStyle w:val="Odstavecseseznamem"/>
        <w:numPr>
          <w:ilvl w:val="0"/>
          <w:numId w:val="44"/>
        </w:numPr>
      </w:pPr>
      <w:r w:rsidRPr="00C24104">
        <w:t>Bruntál a Opava, jako zástupci obcí s vyšší počtem obyvatel a větším bytovým fondem, dovedou v rámci své politiky nájemního bydlení reagovat na potřeby širšího spektra cílových skupin</w:t>
      </w:r>
      <w:r w:rsidR="008B2D68" w:rsidRPr="00C24104">
        <w:t xml:space="preserve">. </w:t>
      </w:r>
    </w:p>
    <w:p w14:paraId="5C52A2B7" w14:textId="77777777" w:rsidR="000E4FD4" w:rsidRPr="00C24104" w:rsidRDefault="008B2D68" w:rsidP="000E4FD4">
      <w:pPr>
        <w:pStyle w:val="Odstavecseseznamem"/>
        <w:numPr>
          <w:ilvl w:val="0"/>
          <w:numId w:val="44"/>
        </w:numPr>
      </w:pPr>
      <w:r w:rsidRPr="00C24104">
        <w:t>Pravidla pro přidělování obecních bytů jsou dle komunikačních partnerů upravována na zákla</w:t>
      </w:r>
      <w:r w:rsidR="000E4FD4" w:rsidRPr="00C24104">
        <w:t>dě předchozích zkušeností obcí.</w:t>
      </w:r>
    </w:p>
    <w:p w14:paraId="125DF162" w14:textId="77777777" w:rsidR="000E4FD4" w:rsidRPr="00C24104" w:rsidRDefault="008B2D68" w:rsidP="000E4FD4">
      <w:pPr>
        <w:pStyle w:val="Odstavecseseznamem"/>
        <w:numPr>
          <w:ilvl w:val="0"/>
          <w:numId w:val="44"/>
        </w:numPr>
      </w:pPr>
      <w:r w:rsidRPr="00C24104">
        <w:t>Obce s vyšším počtem bytů ve svém majetku mají složitější pravidla pro jejich přidělování a tato pravidla jsou rozpracována do více dokumentů, pro konkrétní specifikované cílové skupiny. Tři ze čtyř obcí poskytují byty zvláštního určení, obvykle v domech s pečovatelskou službou. Potřeby bydlení cílových skupin seniorů a zdravotně znevýhodněných osob jsou v obcích tematizovány a je zde snaha vytvářet dostatečné možnosti pro uspokojení potřeb těchto skupin. Pouze jedna obec má vymezeny zásady pro osoby se sociálním znevýhodněním (nízkopříjmové skupiny obyvatel). Jako nejčastější bariéra pro přidělení nájemního obecního bytu je uváděno splnění podmínky bezdlužnosti vůči městu, vznikají dluhy zejména za svoz komunálního odpadu.</w:t>
      </w:r>
      <w:r w:rsidR="000E4FD4" w:rsidRPr="00C24104">
        <w:t xml:space="preserve"> </w:t>
      </w:r>
    </w:p>
    <w:p w14:paraId="700C098A" w14:textId="77777777" w:rsidR="000E4FD4" w:rsidRPr="00C24104" w:rsidRDefault="008B2D68" w:rsidP="000E4FD4">
      <w:pPr>
        <w:pStyle w:val="Odstavecseseznamem"/>
        <w:numPr>
          <w:ilvl w:val="0"/>
          <w:numId w:val="44"/>
        </w:numPr>
      </w:pPr>
      <w:r w:rsidRPr="00C24104">
        <w:t>Obce obvykle uplatňují podmínku trvalého pobytu žadatele na svém území, případně žadatele s trvalým pobytem na svém území bodově zvýhodňují. Chtějí uspokojit zejména poptávku občanů,</w:t>
      </w:r>
      <w:r w:rsidR="000E4FD4" w:rsidRPr="00C24104">
        <w:t xml:space="preserve"> kteří v obci dlouhodobě žijí. </w:t>
      </w:r>
    </w:p>
    <w:p w14:paraId="1D8BFEBA" w14:textId="6F537713" w:rsidR="008B2D68" w:rsidRPr="00C24104" w:rsidRDefault="008B2D68" w:rsidP="000E4FD4">
      <w:pPr>
        <w:pStyle w:val="Odstavecseseznamem"/>
        <w:numPr>
          <w:ilvl w:val="0"/>
          <w:numId w:val="44"/>
        </w:numPr>
      </w:pPr>
      <w:r w:rsidRPr="00C24104">
        <w:t>Obce přidělují byty nejčastěji (uplatňují všechny obce alespoň u části bytového fondu) na základě posouzení žádostí vedených v seznamu či evidenci žádostí. Část bytového fondu, obvykle ta nejvíce žádaná pro svou polohu nebo z důvodu investice do jeho oprav, bývá soutěžena obálkovou metodou (uplatňují tři ze čtyř obcí).</w:t>
      </w:r>
    </w:p>
    <w:p w14:paraId="67C40D58" w14:textId="1389B264" w:rsidR="00853EF6" w:rsidRPr="00C24104" w:rsidRDefault="000E4FD4" w:rsidP="00853EF6">
      <w:pPr>
        <w:spacing w:before="120" w:after="0"/>
      </w:pPr>
      <w:r w:rsidRPr="00C24104">
        <w:t>Analytická část se zaměřuje na politiku pronajímání bytů společnosti Heimstaden, která je významným poskytovatelem nájemního bydlení v Moravskoslezském kraji, kde vlastní přes 42 000 bytů.</w:t>
      </w:r>
      <w:r w:rsidR="00853EF6" w:rsidRPr="00C24104">
        <w:t xml:space="preserve"> Přehled počtu bytů v jednotlivých obcích nabízí tabulka 14.</w:t>
      </w:r>
    </w:p>
    <w:p w14:paraId="79A06822" w14:textId="798A0F4F" w:rsidR="00853EF6" w:rsidRPr="00C24104" w:rsidRDefault="00853EF6" w:rsidP="00853EF6">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14</w:t>
      </w:r>
      <w:r w:rsidR="009C7E3F" w:rsidRPr="00C24104">
        <w:rPr>
          <w:noProof/>
        </w:rPr>
        <w:fldChar w:fldCharType="end"/>
      </w:r>
      <w:r w:rsidRPr="00C24104">
        <w:t>: Přehled počtu bytů ve vlastnictví společnosti Heimstaden v obcích MSK</w:t>
      </w:r>
      <w:r w:rsidRPr="00C24104">
        <w:rPr>
          <w:rStyle w:val="Znakapoznpodarou"/>
        </w:rPr>
        <w:footnoteReference w:id="4"/>
      </w:r>
      <w:r w:rsidRPr="00C24104">
        <w:t xml:space="preserve"> </w:t>
      </w:r>
    </w:p>
    <w:tbl>
      <w:tblPr>
        <w:tblStyle w:val="Tmavtabulkasmkou5zvraznn3"/>
        <w:tblW w:w="9978" w:type="dxa"/>
        <w:tblLook w:val="0480" w:firstRow="0" w:lastRow="0" w:firstColumn="1" w:lastColumn="0" w:noHBand="0" w:noVBand="1"/>
      </w:tblPr>
      <w:tblGrid>
        <w:gridCol w:w="7710"/>
        <w:gridCol w:w="2268"/>
      </w:tblGrid>
      <w:tr w:rsidR="00853EF6" w:rsidRPr="00C24104" w14:paraId="206CFA55" w14:textId="77777777" w:rsidTr="00BC7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0" w:type="dxa"/>
          </w:tcPr>
          <w:p w14:paraId="19C7C91B"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NÁZEV OBCE</w:t>
            </w:r>
          </w:p>
        </w:tc>
        <w:tc>
          <w:tcPr>
            <w:tcW w:w="2268" w:type="dxa"/>
          </w:tcPr>
          <w:p w14:paraId="207AC1E4" w14:textId="77777777" w:rsidR="00853EF6" w:rsidRPr="00C24104" w:rsidRDefault="00853EF6" w:rsidP="00BC79E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POČET BYTŮ</w:t>
            </w:r>
          </w:p>
        </w:tc>
      </w:tr>
      <w:tr w:rsidR="00853EF6" w:rsidRPr="00C24104" w14:paraId="3B0D017D" w14:textId="77777777" w:rsidTr="00BC79E4">
        <w:tc>
          <w:tcPr>
            <w:cnfStyle w:val="001000000000" w:firstRow="0" w:lastRow="0" w:firstColumn="1" w:lastColumn="0" w:oddVBand="0" w:evenVBand="0" w:oddHBand="0" w:evenHBand="0" w:firstRowFirstColumn="0" w:firstRowLastColumn="0" w:lastRowFirstColumn="0" w:lastRowLastColumn="0"/>
            <w:tcW w:w="7710" w:type="dxa"/>
          </w:tcPr>
          <w:p w14:paraId="0FCC52B1"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Ostrava</w:t>
            </w:r>
          </w:p>
        </w:tc>
        <w:tc>
          <w:tcPr>
            <w:tcW w:w="2268" w:type="dxa"/>
          </w:tcPr>
          <w:p w14:paraId="2C8D128A" w14:textId="77777777" w:rsidR="00853EF6" w:rsidRPr="00C24104" w:rsidRDefault="00853EF6" w:rsidP="00BC79E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14 533</w:t>
            </w:r>
          </w:p>
        </w:tc>
      </w:tr>
      <w:tr w:rsidR="00853EF6" w:rsidRPr="00C24104" w14:paraId="5A1F30EE" w14:textId="77777777" w:rsidTr="00BC7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0" w:type="dxa"/>
          </w:tcPr>
          <w:p w14:paraId="7CFEEB94"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Havířov</w:t>
            </w:r>
          </w:p>
        </w:tc>
        <w:tc>
          <w:tcPr>
            <w:tcW w:w="2268" w:type="dxa"/>
          </w:tcPr>
          <w:p w14:paraId="5AA07E6E" w14:textId="77777777" w:rsidR="00853EF6" w:rsidRPr="00C24104" w:rsidRDefault="00853EF6" w:rsidP="00BC79E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12 099</w:t>
            </w:r>
          </w:p>
        </w:tc>
      </w:tr>
      <w:tr w:rsidR="00853EF6" w:rsidRPr="00C24104" w14:paraId="0E8847DD" w14:textId="77777777" w:rsidTr="00BC79E4">
        <w:tc>
          <w:tcPr>
            <w:cnfStyle w:val="001000000000" w:firstRow="0" w:lastRow="0" w:firstColumn="1" w:lastColumn="0" w:oddVBand="0" w:evenVBand="0" w:oddHBand="0" w:evenHBand="0" w:firstRowFirstColumn="0" w:firstRowLastColumn="0" w:lastRowFirstColumn="0" w:lastRowLastColumn="0"/>
            <w:tcW w:w="7710" w:type="dxa"/>
          </w:tcPr>
          <w:p w14:paraId="79A4F4AC"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Karviná</w:t>
            </w:r>
          </w:p>
        </w:tc>
        <w:tc>
          <w:tcPr>
            <w:tcW w:w="2268" w:type="dxa"/>
          </w:tcPr>
          <w:p w14:paraId="484B5EFF" w14:textId="77777777" w:rsidR="00853EF6" w:rsidRPr="00C24104" w:rsidRDefault="00853EF6" w:rsidP="00BC79E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7 134</w:t>
            </w:r>
          </w:p>
        </w:tc>
      </w:tr>
      <w:tr w:rsidR="00853EF6" w:rsidRPr="00C24104" w14:paraId="251C4B07" w14:textId="77777777" w:rsidTr="00BC7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0" w:type="dxa"/>
          </w:tcPr>
          <w:p w14:paraId="1D3999FE"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jiné obce MSK (například Český Těšín, Hlučín, Kopřivnice, Petřvald)</w:t>
            </w:r>
          </w:p>
        </w:tc>
        <w:tc>
          <w:tcPr>
            <w:tcW w:w="2268" w:type="dxa"/>
          </w:tcPr>
          <w:p w14:paraId="45D55B4C" w14:textId="77777777" w:rsidR="00853EF6" w:rsidRPr="00C24104" w:rsidRDefault="00853EF6" w:rsidP="00BC79E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3 746</w:t>
            </w:r>
          </w:p>
        </w:tc>
      </w:tr>
      <w:tr w:rsidR="00853EF6" w:rsidRPr="00C24104" w14:paraId="53939DFE" w14:textId="77777777" w:rsidTr="00BC79E4">
        <w:tc>
          <w:tcPr>
            <w:cnfStyle w:val="001000000000" w:firstRow="0" w:lastRow="0" w:firstColumn="1" w:lastColumn="0" w:oddVBand="0" w:evenVBand="0" w:oddHBand="0" w:evenHBand="0" w:firstRowFirstColumn="0" w:firstRowLastColumn="0" w:lastRowFirstColumn="0" w:lastRowLastColumn="0"/>
            <w:tcW w:w="7710" w:type="dxa"/>
          </w:tcPr>
          <w:p w14:paraId="49770BE8"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Frýdek-Místek</w:t>
            </w:r>
          </w:p>
        </w:tc>
        <w:tc>
          <w:tcPr>
            <w:tcW w:w="2268" w:type="dxa"/>
          </w:tcPr>
          <w:p w14:paraId="77109E3E" w14:textId="77777777" w:rsidR="00853EF6" w:rsidRPr="00C24104" w:rsidRDefault="00853EF6" w:rsidP="00BC79E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2 393</w:t>
            </w:r>
          </w:p>
        </w:tc>
      </w:tr>
      <w:tr w:rsidR="00853EF6" w:rsidRPr="00C24104" w14:paraId="712F166E" w14:textId="77777777" w:rsidTr="00BC7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0" w:type="dxa"/>
          </w:tcPr>
          <w:p w14:paraId="612101A6"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Orlová</w:t>
            </w:r>
          </w:p>
        </w:tc>
        <w:tc>
          <w:tcPr>
            <w:tcW w:w="2268" w:type="dxa"/>
          </w:tcPr>
          <w:p w14:paraId="4A49181E" w14:textId="77777777" w:rsidR="00853EF6" w:rsidRPr="00C24104" w:rsidRDefault="00853EF6" w:rsidP="00BC79E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2 025</w:t>
            </w:r>
          </w:p>
        </w:tc>
      </w:tr>
      <w:tr w:rsidR="00853EF6" w:rsidRPr="00C24104" w14:paraId="73A0C671" w14:textId="77777777" w:rsidTr="00BC79E4">
        <w:tc>
          <w:tcPr>
            <w:cnfStyle w:val="001000000000" w:firstRow="0" w:lastRow="0" w:firstColumn="1" w:lastColumn="0" w:oddVBand="0" w:evenVBand="0" w:oddHBand="0" w:evenHBand="0" w:firstRowFirstColumn="0" w:firstRowLastColumn="0" w:lastRowFirstColumn="0" w:lastRowLastColumn="0"/>
            <w:tcW w:w="7710" w:type="dxa"/>
          </w:tcPr>
          <w:p w14:paraId="367C6A81" w14:textId="77777777" w:rsidR="00853EF6" w:rsidRPr="00C24104" w:rsidRDefault="00853EF6" w:rsidP="00BC79E4">
            <w:pPr>
              <w:rPr>
                <w:rFonts w:asciiTheme="majorHAnsi" w:hAnsiTheme="majorHAnsi" w:cstheme="majorHAnsi"/>
                <w:b w:val="0"/>
              </w:rPr>
            </w:pPr>
            <w:r w:rsidRPr="00C24104">
              <w:rPr>
                <w:rFonts w:asciiTheme="majorHAnsi" w:hAnsiTheme="majorHAnsi" w:cstheme="majorHAnsi"/>
                <w:b w:val="0"/>
              </w:rPr>
              <w:t>Opava</w:t>
            </w:r>
          </w:p>
        </w:tc>
        <w:tc>
          <w:tcPr>
            <w:tcW w:w="2268" w:type="dxa"/>
          </w:tcPr>
          <w:p w14:paraId="5E0EAA1B" w14:textId="77777777" w:rsidR="00853EF6" w:rsidRPr="00C24104" w:rsidRDefault="00853EF6" w:rsidP="00BC79E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436</w:t>
            </w:r>
          </w:p>
        </w:tc>
      </w:tr>
    </w:tbl>
    <w:p w14:paraId="46FD93F7" w14:textId="2456150C" w:rsidR="00853EF6" w:rsidRPr="00C24104" w:rsidRDefault="00853EF6" w:rsidP="00853EF6">
      <w:pPr>
        <w:spacing w:before="120" w:after="0"/>
      </w:pPr>
      <w:r w:rsidRPr="00C24104">
        <w:t>Heimstaden se zaměřuje na běžné zájemce z řad dospělé populace, ale i některé specifické skupiny žadatelů, jako jsou studenti, zaměstnanci velkých organizací, senioři či uprchlíci, kterým nabízí v rámci standardního nájemního bydlení některé služby</w:t>
      </w:r>
      <w:r w:rsidR="00BC79E4" w:rsidRPr="00C24104">
        <w:rPr>
          <w:rStyle w:val="Znakapoznpodarou"/>
        </w:rPr>
        <w:footnoteReference w:id="5"/>
      </w:r>
      <w:r w:rsidRPr="00C24104">
        <w:t>.</w:t>
      </w:r>
    </w:p>
    <w:p w14:paraId="0922532F" w14:textId="77777777" w:rsidR="00853EF6" w:rsidRPr="00C24104" w:rsidRDefault="00853EF6" w:rsidP="00853EF6">
      <w:pPr>
        <w:spacing w:before="120" w:after="0"/>
      </w:pPr>
      <w:r w:rsidRPr="00C24104">
        <w:t>Podmínky poskytování nájmu se týkají zejména bonity zájemců. Základními podmínkami pro poskytnutí nájmu jsou také složení kauce ve výši dvojnásobku měsíčního nájmu, zaplacení administrativního poplatku za vyřízení nájmu a zaplacení nájmu na první měsíc s měsíčním předstihem. Proces žádání o byt obvykle zahrnuje i prohlídku bytu. Podmínky pro poskytování nájmů jsou stejné ve všech lokalitách, ale ceny nájmů se liší podle lokality, technického stavu bytu a domu, vybavení bytu, podlaží, velikosti bytu a dalších faktorů. Smluvní podmínky zahrnují každoroční navýšení nájmu o inflaci a případný růst daně z nemovitostí. Společnost nepoužívá při výběru zájemců bodový systém nebo licitaci, jako je tomu u mnohých obcí. K inzerci volných bytů využívá společnost vlastní elektronický katalog zveřejněný na svém webu, společnost disponuje ale i sítí kontaktních míst. Žadatelé reagují na konkrétní uvolněný byt nabízený k pronájmu nebo poptávají určitou velikost bytu v konkrétní lokalitě a následně je jim zprostředkována nabídka odpovídajících nemovitostí k pronájmu. Distribuce bytů se tedy řídí principem nabídky a poptávky.</w:t>
      </w:r>
    </w:p>
    <w:p w14:paraId="04DDED7F" w14:textId="03BF5F67" w:rsidR="00853EF6" w:rsidRPr="00C24104" w:rsidRDefault="00853EF6" w:rsidP="00853EF6">
      <w:pPr>
        <w:spacing w:before="120" w:after="0"/>
      </w:pPr>
      <w:r w:rsidRPr="00C24104">
        <w:t>Společnost podniká kroky ke zvýšení atraktivity a kvality svého bydlení – rozšiřuje nabídku poptávaných menších bytů, vytváří nové bytové kapacity v atraktivních lokalitách, investuje do renovací bytů a bytových domů. Heimstaden aktivně pracuje na co nejvyšší obsazenosti svého bytového fondu prostřednictvím různých strategií, včetně propagace a komunikace s potenciálními zájemci o nájem.</w:t>
      </w:r>
    </w:p>
    <w:p w14:paraId="5FBB99FA" w14:textId="08461DA5" w:rsidR="00003275" w:rsidRPr="00C24104" w:rsidRDefault="00003275" w:rsidP="00853EF6">
      <w:pPr>
        <w:spacing w:before="120" w:after="0"/>
      </w:pPr>
      <w:r w:rsidRPr="00C24104">
        <w:t>Heimstaden má rovněž navázánu spolupráci se dvěma městy v MSK – Ostravou a Frýdkem-Místkem, kterým nabízí přibližně 30 svých bytů. Tato města realizují projekty zaměřené na prevenci bezdomovectví nebo na sociální bydlení. V rámci těchto projektů jsou vyhledáváni vhodní nájemci, kteří by na volném trhu byt spíše nezískali. Město těmto klientům poskytuje určité služby, podmínky v těchto projektech jsou ale nastaveny tak, že vyhledaní vhodní nájemci jsou přímo klienty Heimstaden. Ostrava a Frýdek-Místek tedy v rámci těchto projektů nejsou zprostředkovateli bydlení u společnosti Heimstaden.</w:t>
      </w:r>
    </w:p>
    <w:p w14:paraId="4FEB49D6" w14:textId="7C7DAB8B" w:rsidR="000E4FD4" w:rsidRPr="00C24104" w:rsidRDefault="00853EF6" w:rsidP="00853EF6">
      <w:pPr>
        <w:spacing w:before="120" w:after="0"/>
      </w:pPr>
      <w:r w:rsidRPr="00C24104">
        <w:t xml:space="preserve">Společnost Heimstaden pronajímá více než 1000 bytů prostřednictvím neziskových organizací skupinám, které by na standardní bydlení u Heimstaden nedosáhly. </w:t>
      </w:r>
      <w:r w:rsidR="00BC79E4" w:rsidRPr="00C24104">
        <w:t xml:space="preserve">Celkem se jedná o 18 organizací s 1165 byty. </w:t>
      </w:r>
      <w:r w:rsidRPr="00C24104">
        <w:t>Největšími nájemci jsou Spolek PORTAVITA</w:t>
      </w:r>
      <w:r w:rsidR="00BC79E4" w:rsidRPr="00C24104">
        <w:t xml:space="preserve"> (993 bytů)</w:t>
      </w:r>
      <w:r w:rsidRPr="00C24104">
        <w:t>, Armáda spásy</w:t>
      </w:r>
      <w:r w:rsidR="00BC79E4" w:rsidRPr="00C24104">
        <w:t xml:space="preserve"> v České republice (145 bytů)</w:t>
      </w:r>
      <w:r w:rsidRPr="00C24104">
        <w:t>, Charita Ostrava</w:t>
      </w:r>
      <w:r w:rsidR="00BC79E4" w:rsidRPr="00C24104">
        <w:t xml:space="preserve"> (6 bytů)</w:t>
      </w:r>
      <w:r w:rsidRPr="00C24104">
        <w:t xml:space="preserve"> a RUBIKON Centrum</w:t>
      </w:r>
      <w:r w:rsidR="00BC79E4" w:rsidRPr="00C24104">
        <w:t xml:space="preserve"> (5 bytů)</w:t>
      </w:r>
      <w:r w:rsidR="00BC79E4" w:rsidRPr="00C24104">
        <w:rPr>
          <w:rStyle w:val="Znakapoznpodarou"/>
        </w:rPr>
        <w:footnoteReference w:id="6"/>
      </w:r>
      <w:r w:rsidRPr="00C24104">
        <w:t>. Tyto organizace cílí na osoby v nepříznivé sociální situaci v oblasti bydlení – zejména nízkopříjmové skupiny osob, dále také osoby po výkonu trestu odnětí svobody (RUBIKON), osoby bez domova či ohrožené</w:t>
      </w:r>
      <w:r w:rsidR="00BC57B1" w:rsidRPr="00C24104">
        <w:t xml:space="preserve"> ztrátou domova (Armáda spásy).</w:t>
      </w:r>
    </w:p>
    <w:p w14:paraId="5DB132E0" w14:textId="724FCE31" w:rsidR="000E4FD4" w:rsidRPr="00C24104" w:rsidRDefault="00853EF6" w:rsidP="000E4FD4">
      <w:pPr>
        <w:spacing w:before="120" w:after="0"/>
      </w:pPr>
      <w:r w:rsidRPr="00C24104">
        <w:t xml:space="preserve">Konečně </w:t>
      </w:r>
      <w:r w:rsidR="000E4FD4" w:rsidRPr="00C24104">
        <w:t xml:space="preserve">Analýza </w:t>
      </w:r>
      <w:r w:rsidRPr="00C24104">
        <w:t xml:space="preserve">nabízí také detailní rozbor </w:t>
      </w:r>
      <w:r w:rsidR="000E4FD4" w:rsidRPr="00C24104">
        <w:t>strategických materiálů obcí v oblasti bydlení</w:t>
      </w:r>
      <w:r w:rsidRPr="00C24104">
        <w:t xml:space="preserve"> se zaměřením na:</w:t>
      </w:r>
    </w:p>
    <w:p w14:paraId="5C8CC10E" w14:textId="784C77FD" w:rsidR="00853EF6" w:rsidRPr="00C24104" w:rsidRDefault="00B03F37" w:rsidP="00853EF6">
      <w:pPr>
        <w:pStyle w:val="Odstavecseseznamem"/>
        <w:numPr>
          <w:ilvl w:val="0"/>
          <w:numId w:val="45"/>
        </w:numPr>
        <w:spacing w:before="120" w:after="0"/>
      </w:pPr>
      <w:r w:rsidRPr="00C24104">
        <w:t>cíle</w:t>
      </w:r>
      <w:r w:rsidR="00853EF6" w:rsidRPr="00C24104">
        <w:t xml:space="preserve"> </w:t>
      </w:r>
    </w:p>
    <w:p w14:paraId="7CAC6860" w14:textId="77777777" w:rsidR="00B03F37" w:rsidRPr="00C24104" w:rsidRDefault="00853EF6" w:rsidP="00F7495D">
      <w:pPr>
        <w:pStyle w:val="Odstavecseseznamem"/>
        <w:numPr>
          <w:ilvl w:val="0"/>
          <w:numId w:val="45"/>
        </w:numPr>
        <w:spacing w:before="120" w:after="0"/>
      </w:pPr>
      <w:r w:rsidRPr="00C24104">
        <w:t>cílové skupiny těchto materiálů</w:t>
      </w:r>
      <w:r w:rsidR="00B03F37" w:rsidRPr="00C24104">
        <w:t xml:space="preserve"> a</w:t>
      </w:r>
    </w:p>
    <w:p w14:paraId="37ABF983" w14:textId="1145EC3B" w:rsidR="00BC57B1" w:rsidRPr="00C24104" w:rsidRDefault="00B03F37" w:rsidP="00F7495D">
      <w:pPr>
        <w:pStyle w:val="Odstavecseseznamem"/>
        <w:numPr>
          <w:ilvl w:val="0"/>
          <w:numId w:val="45"/>
        </w:numPr>
        <w:spacing w:before="120" w:after="0"/>
      </w:pPr>
      <w:r w:rsidRPr="00C24104">
        <w:t>subjekty zapojené do implementace opatření stanovených ve strategických materiálech</w:t>
      </w:r>
      <w:r w:rsidR="00853EF6" w:rsidRPr="00C24104">
        <w:t>.</w:t>
      </w:r>
    </w:p>
    <w:p w14:paraId="10E4B984" w14:textId="35B6EC1E" w:rsidR="00B227D4" w:rsidRPr="00C24104" w:rsidRDefault="00EE5E44" w:rsidP="00BC57B1">
      <w:pPr>
        <w:spacing w:before="120" w:after="0"/>
      </w:pPr>
      <w:r w:rsidRPr="00C24104">
        <w:t>Za tímto účelem byla provedena sekundární analýza materiálů obcí. Volna ko</w:t>
      </w:r>
      <w:r w:rsidR="00F444F2" w:rsidRPr="00C24104">
        <w:t xml:space="preserve">nkrétního typu </w:t>
      </w:r>
      <w:r w:rsidR="00C1330F" w:rsidRPr="00C24104">
        <w:t>materiál</w:t>
      </w:r>
      <w:r w:rsidR="00F444F2" w:rsidRPr="00C24104">
        <w:t>u</w:t>
      </w:r>
      <w:r w:rsidR="00C1330F" w:rsidRPr="00C24104">
        <w:t xml:space="preserve"> </w:t>
      </w:r>
      <w:r w:rsidR="00F444F2" w:rsidRPr="00C24104">
        <w:t>s</w:t>
      </w:r>
      <w:r w:rsidR="00C1330F" w:rsidRPr="00C24104">
        <w:t>ouvisela především s </w:t>
      </w:r>
      <w:r w:rsidR="00F444F2" w:rsidRPr="00C24104">
        <w:t>jeho</w:t>
      </w:r>
      <w:r w:rsidR="00C1330F" w:rsidRPr="00C24104">
        <w:t xml:space="preserve"> faktickou existencí, resp. veřejnou dostupností</w:t>
      </w:r>
      <w:r w:rsidR="00F444F2" w:rsidRPr="00C24104">
        <w:t>. V ideálním případě se přitom jednalo o „koncepci bydlení“, případně „koncepci sociálního bydlení“, jejichž obsah nejlépe odpovídal zadání. Jiné typy materiálů byly analyzovány v případě, že obsahovaly podstatné informace k problematice bydlení. V kategorii „jiný materiál“ byly analyzovány například zápisy z jednání (rady města či pracovních skupin) či metodiky. Z tabulky plyne, že nejčastěji analyzovanými materiály byly strategické plány/vize rozvoje obcí (28</w:t>
      </w:r>
      <w:r w:rsidR="00B227D4" w:rsidRPr="00C24104">
        <w:t xml:space="preserve"> obcí</w:t>
      </w:r>
      <w:r w:rsidR="00F444F2" w:rsidRPr="00C24104">
        <w:t>) a komunitní plány (rozvoje) služeb případně sociálních služeb (</w:t>
      </w:r>
      <w:r w:rsidR="00B227D4" w:rsidRPr="00C24104">
        <w:t>22 obcí).</w:t>
      </w:r>
      <w:r w:rsidRPr="00C24104">
        <w:t xml:space="preserve"> Dle požadavků zadavatele nebyly do analýzy zahrnovány dokumenty starší 6 let, pokud ano, tak pouze v případě, že byly stále platné. Celkem bylo analyzováno 64 dokumentů na úrovni 33 obcí v MSK. </w:t>
      </w:r>
      <w:r w:rsidR="00B227D4" w:rsidRPr="00C24104">
        <w:t>Typologii materiálů uvádí tabulka</w:t>
      </w:r>
      <w:r w:rsidR="00522094" w:rsidRPr="00C24104">
        <w:t xml:space="preserve"> </w:t>
      </w:r>
      <w:r w:rsidRPr="00C24104">
        <w:t>15</w:t>
      </w:r>
      <w:r w:rsidR="00B227D4" w:rsidRPr="00C24104">
        <w:t>.</w:t>
      </w:r>
    </w:p>
    <w:p w14:paraId="469BFE2C" w14:textId="06D55306" w:rsidR="00B227D4" w:rsidRPr="00C24104" w:rsidRDefault="00EE5E44" w:rsidP="00EE5E44">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15</w:t>
      </w:r>
      <w:r w:rsidR="009C7E3F" w:rsidRPr="00C24104">
        <w:rPr>
          <w:noProof/>
        </w:rPr>
        <w:fldChar w:fldCharType="end"/>
      </w:r>
      <w:r w:rsidR="00B227D4" w:rsidRPr="00C24104">
        <w:t>: Typologie analyzovaných strategických materiálů</w:t>
      </w:r>
    </w:p>
    <w:tbl>
      <w:tblPr>
        <w:tblStyle w:val="Tmavtabulkasmkou5zvraznn3"/>
        <w:tblW w:w="0" w:type="auto"/>
        <w:tblLook w:val="0480" w:firstRow="0" w:lastRow="0" w:firstColumn="1" w:lastColumn="0" w:noHBand="0" w:noVBand="1"/>
      </w:tblPr>
      <w:tblGrid>
        <w:gridCol w:w="6658"/>
        <w:gridCol w:w="3366"/>
      </w:tblGrid>
      <w:tr w:rsidR="00FA6B32" w:rsidRPr="00C24104" w14:paraId="48AF186A" w14:textId="77777777" w:rsidTr="00F4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523A5BAE" w14:textId="427EC50E" w:rsidR="00FA6B32" w:rsidRPr="00C24104" w:rsidRDefault="00C1330F" w:rsidP="00090FBE">
            <w:pPr>
              <w:jc w:val="left"/>
              <w:rPr>
                <w:rFonts w:asciiTheme="majorHAnsi" w:hAnsiTheme="majorHAnsi" w:cstheme="majorHAnsi"/>
                <w:b w:val="0"/>
                <w:caps/>
              </w:rPr>
            </w:pPr>
            <w:r w:rsidRPr="00C24104">
              <w:rPr>
                <w:rFonts w:asciiTheme="majorHAnsi" w:hAnsiTheme="majorHAnsi" w:cstheme="majorHAnsi"/>
                <w:b w:val="0"/>
                <w:caps/>
              </w:rPr>
              <w:t>typologie</w:t>
            </w:r>
            <w:r w:rsidR="00FA6B32" w:rsidRPr="00C24104">
              <w:rPr>
                <w:rFonts w:asciiTheme="majorHAnsi" w:hAnsiTheme="majorHAnsi" w:cstheme="majorHAnsi"/>
                <w:b w:val="0"/>
                <w:caps/>
              </w:rPr>
              <w:t xml:space="preserve"> strategických materiálů</w:t>
            </w:r>
          </w:p>
        </w:tc>
        <w:tc>
          <w:tcPr>
            <w:tcW w:w="3366" w:type="dxa"/>
            <w:vAlign w:val="center"/>
          </w:tcPr>
          <w:p w14:paraId="23DBF768" w14:textId="3772363A" w:rsidR="00FA6B32" w:rsidRPr="00C24104" w:rsidRDefault="00FA6B32"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aps/>
              </w:rPr>
            </w:pPr>
            <w:r w:rsidRPr="00C24104">
              <w:rPr>
                <w:rFonts w:asciiTheme="majorHAnsi" w:hAnsiTheme="majorHAnsi" w:cstheme="majorHAnsi"/>
                <w:caps/>
              </w:rPr>
              <w:t>počet</w:t>
            </w:r>
            <w:r w:rsidR="00F40473" w:rsidRPr="00C24104">
              <w:rPr>
                <w:rFonts w:asciiTheme="majorHAnsi" w:hAnsiTheme="majorHAnsi" w:cstheme="majorHAnsi"/>
                <w:caps/>
              </w:rPr>
              <w:t xml:space="preserve"> OBCÍ, U NICHŽ BYLY ANALYZOVÁNY DANÉ MATERIÁLY</w:t>
            </w:r>
          </w:p>
        </w:tc>
      </w:tr>
      <w:tr w:rsidR="00FA6B32" w:rsidRPr="00C24104" w14:paraId="0E822770" w14:textId="77777777" w:rsidTr="00F40473">
        <w:tc>
          <w:tcPr>
            <w:cnfStyle w:val="001000000000" w:firstRow="0" w:lastRow="0" w:firstColumn="1" w:lastColumn="0" w:oddVBand="0" w:evenVBand="0" w:oddHBand="0" w:evenHBand="0" w:firstRowFirstColumn="0" w:firstRowLastColumn="0" w:lastRowFirstColumn="0" w:lastRowLastColumn="0"/>
            <w:tcW w:w="6658" w:type="dxa"/>
            <w:vAlign w:val="center"/>
          </w:tcPr>
          <w:p w14:paraId="004866DD" w14:textId="3AFFF492" w:rsidR="00FA6B32" w:rsidRPr="00C24104" w:rsidRDefault="00FA6B32" w:rsidP="00090FBE">
            <w:pPr>
              <w:jc w:val="left"/>
              <w:rPr>
                <w:rFonts w:asciiTheme="majorHAnsi" w:hAnsiTheme="majorHAnsi" w:cstheme="majorHAnsi"/>
                <w:b w:val="0"/>
              </w:rPr>
            </w:pPr>
            <w:r w:rsidRPr="00C24104">
              <w:rPr>
                <w:rFonts w:asciiTheme="majorHAnsi" w:hAnsiTheme="majorHAnsi" w:cstheme="majorHAnsi"/>
                <w:b w:val="0"/>
              </w:rPr>
              <w:t>koncepce bydlení</w:t>
            </w:r>
          </w:p>
        </w:tc>
        <w:tc>
          <w:tcPr>
            <w:tcW w:w="3366" w:type="dxa"/>
            <w:vAlign w:val="center"/>
          </w:tcPr>
          <w:p w14:paraId="749EE348" w14:textId="67E8B463" w:rsidR="00FA6B32" w:rsidRPr="00C24104" w:rsidRDefault="00FA6B32"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3</w:t>
            </w:r>
          </w:p>
        </w:tc>
      </w:tr>
      <w:tr w:rsidR="00FA6B32" w:rsidRPr="00C24104" w14:paraId="3E8DD123" w14:textId="77777777" w:rsidTr="00F4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322FB34E" w14:textId="599B97CE" w:rsidR="00FA6B32" w:rsidRPr="00C24104" w:rsidRDefault="00FA6B32" w:rsidP="00090FBE">
            <w:pPr>
              <w:jc w:val="left"/>
              <w:rPr>
                <w:rFonts w:asciiTheme="majorHAnsi" w:hAnsiTheme="majorHAnsi" w:cstheme="majorHAnsi"/>
                <w:b w:val="0"/>
              </w:rPr>
            </w:pPr>
            <w:r w:rsidRPr="00C24104">
              <w:rPr>
                <w:rFonts w:asciiTheme="majorHAnsi" w:hAnsiTheme="majorHAnsi" w:cstheme="majorHAnsi"/>
                <w:b w:val="0"/>
              </w:rPr>
              <w:t>koncepce sociálního bydlení</w:t>
            </w:r>
            <w:r w:rsidR="00B03F37" w:rsidRPr="00C24104">
              <w:rPr>
                <w:rStyle w:val="Znakapoznpodarou"/>
                <w:rFonts w:asciiTheme="majorHAnsi" w:hAnsiTheme="majorHAnsi" w:cstheme="majorHAnsi"/>
                <w:b w:val="0"/>
              </w:rPr>
              <w:footnoteReference w:id="7"/>
            </w:r>
          </w:p>
        </w:tc>
        <w:tc>
          <w:tcPr>
            <w:tcW w:w="3366" w:type="dxa"/>
            <w:vAlign w:val="center"/>
          </w:tcPr>
          <w:p w14:paraId="6AFE72FA" w14:textId="43202AD8" w:rsidR="00FA6B32" w:rsidRPr="00C24104" w:rsidRDefault="00FA6B32"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w:t>
            </w:r>
          </w:p>
        </w:tc>
      </w:tr>
      <w:tr w:rsidR="00FA6B32" w:rsidRPr="00C24104" w14:paraId="59C54F9F" w14:textId="77777777" w:rsidTr="00F40473">
        <w:tc>
          <w:tcPr>
            <w:cnfStyle w:val="001000000000" w:firstRow="0" w:lastRow="0" w:firstColumn="1" w:lastColumn="0" w:oddVBand="0" w:evenVBand="0" w:oddHBand="0" w:evenHBand="0" w:firstRowFirstColumn="0" w:firstRowLastColumn="0" w:lastRowFirstColumn="0" w:lastRowLastColumn="0"/>
            <w:tcW w:w="6658" w:type="dxa"/>
            <w:vAlign w:val="center"/>
          </w:tcPr>
          <w:p w14:paraId="619D1058" w14:textId="070A32AE" w:rsidR="00FA6B32" w:rsidRPr="00C24104" w:rsidRDefault="00FA6B32" w:rsidP="00090FBE">
            <w:pPr>
              <w:jc w:val="left"/>
              <w:rPr>
                <w:rFonts w:asciiTheme="majorHAnsi" w:hAnsiTheme="majorHAnsi" w:cstheme="majorHAnsi"/>
                <w:b w:val="0"/>
              </w:rPr>
            </w:pPr>
            <w:r w:rsidRPr="00C24104">
              <w:rPr>
                <w:rFonts w:asciiTheme="majorHAnsi" w:hAnsiTheme="majorHAnsi" w:cstheme="majorHAnsi"/>
                <w:b w:val="0"/>
              </w:rPr>
              <w:t xml:space="preserve">komunitní plán </w:t>
            </w:r>
            <w:r w:rsidR="00F40473" w:rsidRPr="00C24104">
              <w:rPr>
                <w:rFonts w:asciiTheme="majorHAnsi" w:hAnsiTheme="majorHAnsi" w:cstheme="majorHAnsi"/>
                <w:b w:val="0"/>
              </w:rPr>
              <w:t>(rozvoje) služeb/</w:t>
            </w:r>
            <w:r w:rsidRPr="00C24104">
              <w:rPr>
                <w:rFonts w:asciiTheme="majorHAnsi" w:hAnsiTheme="majorHAnsi" w:cstheme="majorHAnsi"/>
                <w:b w:val="0"/>
              </w:rPr>
              <w:t>sociálních služeb</w:t>
            </w:r>
          </w:p>
        </w:tc>
        <w:tc>
          <w:tcPr>
            <w:tcW w:w="3366" w:type="dxa"/>
            <w:vAlign w:val="center"/>
          </w:tcPr>
          <w:p w14:paraId="6188D7A2" w14:textId="33B8628C" w:rsidR="00FA6B32" w:rsidRPr="00C24104" w:rsidRDefault="00FA6B32"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22</w:t>
            </w:r>
          </w:p>
        </w:tc>
      </w:tr>
      <w:tr w:rsidR="00FA6B32" w:rsidRPr="00C24104" w14:paraId="19D803FF" w14:textId="77777777" w:rsidTr="00F4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018C6493" w14:textId="7902580E" w:rsidR="00FA6B32" w:rsidRPr="00C24104" w:rsidRDefault="00F40473" w:rsidP="00090FBE">
            <w:pPr>
              <w:jc w:val="left"/>
              <w:rPr>
                <w:rFonts w:asciiTheme="majorHAnsi" w:hAnsiTheme="majorHAnsi" w:cstheme="majorHAnsi"/>
                <w:b w:val="0"/>
              </w:rPr>
            </w:pPr>
            <w:r w:rsidRPr="00C24104">
              <w:rPr>
                <w:rFonts w:asciiTheme="majorHAnsi" w:hAnsiTheme="majorHAnsi" w:cstheme="majorHAnsi"/>
                <w:b w:val="0"/>
              </w:rPr>
              <w:t xml:space="preserve">strategie/plán </w:t>
            </w:r>
            <w:r w:rsidR="00FA6B32" w:rsidRPr="00C24104">
              <w:rPr>
                <w:rFonts w:asciiTheme="majorHAnsi" w:hAnsiTheme="majorHAnsi" w:cstheme="majorHAnsi"/>
                <w:b w:val="0"/>
              </w:rPr>
              <w:t>sociálního začleňování</w:t>
            </w:r>
          </w:p>
        </w:tc>
        <w:tc>
          <w:tcPr>
            <w:tcW w:w="3366" w:type="dxa"/>
            <w:vAlign w:val="center"/>
          </w:tcPr>
          <w:p w14:paraId="01FB1EC4" w14:textId="72F7DB80" w:rsidR="00FA6B32" w:rsidRPr="00C24104" w:rsidRDefault="00FA6B32"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4</w:t>
            </w:r>
          </w:p>
        </w:tc>
      </w:tr>
      <w:tr w:rsidR="00FA6B32" w:rsidRPr="00C24104" w14:paraId="3EE05B89" w14:textId="77777777" w:rsidTr="00F40473">
        <w:tc>
          <w:tcPr>
            <w:cnfStyle w:val="001000000000" w:firstRow="0" w:lastRow="0" w:firstColumn="1" w:lastColumn="0" w:oddVBand="0" w:evenVBand="0" w:oddHBand="0" w:evenHBand="0" w:firstRowFirstColumn="0" w:firstRowLastColumn="0" w:lastRowFirstColumn="0" w:lastRowLastColumn="0"/>
            <w:tcW w:w="6658" w:type="dxa"/>
            <w:vAlign w:val="center"/>
          </w:tcPr>
          <w:p w14:paraId="0F1E14DB" w14:textId="0794F683" w:rsidR="00FA6B32" w:rsidRPr="00C24104" w:rsidRDefault="00FA6B32" w:rsidP="00090FBE">
            <w:pPr>
              <w:jc w:val="left"/>
              <w:rPr>
                <w:rFonts w:asciiTheme="majorHAnsi" w:hAnsiTheme="majorHAnsi" w:cstheme="majorHAnsi"/>
                <w:b w:val="0"/>
              </w:rPr>
            </w:pPr>
            <w:r w:rsidRPr="00C24104">
              <w:rPr>
                <w:rFonts w:asciiTheme="majorHAnsi" w:hAnsiTheme="majorHAnsi" w:cstheme="majorHAnsi"/>
                <w:b w:val="0"/>
              </w:rPr>
              <w:t>strategický plán/</w:t>
            </w:r>
            <w:r w:rsidR="00F40473" w:rsidRPr="00C24104">
              <w:rPr>
                <w:rFonts w:asciiTheme="majorHAnsi" w:hAnsiTheme="majorHAnsi" w:cstheme="majorHAnsi"/>
                <w:b w:val="0"/>
              </w:rPr>
              <w:t>vize rozvoje obc</w:t>
            </w:r>
            <w:r w:rsidR="00F444F2" w:rsidRPr="00C24104">
              <w:rPr>
                <w:rFonts w:asciiTheme="majorHAnsi" w:hAnsiTheme="majorHAnsi" w:cstheme="majorHAnsi"/>
                <w:b w:val="0"/>
              </w:rPr>
              <w:t>í</w:t>
            </w:r>
          </w:p>
        </w:tc>
        <w:tc>
          <w:tcPr>
            <w:tcW w:w="3366" w:type="dxa"/>
            <w:vAlign w:val="center"/>
          </w:tcPr>
          <w:p w14:paraId="1012DE21" w14:textId="27FC2782" w:rsidR="00FA6B32" w:rsidRPr="00C24104" w:rsidRDefault="00FA6B32"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28</w:t>
            </w:r>
          </w:p>
        </w:tc>
      </w:tr>
      <w:tr w:rsidR="00FA6B32" w:rsidRPr="00C24104" w14:paraId="160B505B" w14:textId="77777777" w:rsidTr="00F40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40247A2A" w14:textId="05EDBC19" w:rsidR="00FA6B32" w:rsidRPr="00C24104" w:rsidRDefault="00F40473" w:rsidP="00090FBE">
            <w:pPr>
              <w:jc w:val="left"/>
              <w:rPr>
                <w:rFonts w:asciiTheme="majorHAnsi" w:hAnsiTheme="majorHAnsi" w:cstheme="majorHAnsi"/>
                <w:b w:val="0"/>
              </w:rPr>
            </w:pPr>
            <w:r w:rsidRPr="00C24104">
              <w:rPr>
                <w:rFonts w:asciiTheme="majorHAnsi" w:hAnsiTheme="majorHAnsi" w:cstheme="majorHAnsi"/>
                <w:b w:val="0"/>
              </w:rPr>
              <w:t>jiný materiál</w:t>
            </w:r>
          </w:p>
        </w:tc>
        <w:tc>
          <w:tcPr>
            <w:tcW w:w="3366" w:type="dxa"/>
            <w:vAlign w:val="center"/>
          </w:tcPr>
          <w:p w14:paraId="526F61E4" w14:textId="7F234B46" w:rsidR="00FA6B32" w:rsidRPr="00C24104" w:rsidRDefault="008D61D6"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5</w:t>
            </w:r>
          </w:p>
        </w:tc>
      </w:tr>
      <w:tr w:rsidR="008D61D6" w:rsidRPr="00C24104" w14:paraId="18C182B1" w14:textId="77777777" w:rsidTr="00F40473">
        <w:tc>
          <w:tcPr>
            <w:cnfStyle w:val="001000000000" w:firstRow="0" w:lastRow="0" w:firstColumn="1" w:lastColumn="0" w:oddVBand="0" w:evenVBand="0" w:oddHBand="0" w:evenHBand="0" w:firstRowFirstColumn="0" w:firstRowLastColumn="0" w:lastRowFirstColumn="0" w:lastRowLastColumn="0"/>
            <w:tcW w:w="6658" w:type="dxa"/>
            <w:vAlign w:val="center"/>
          </w:tcPr>
          <w:p w14:paraId="4A57792E" w14:textId="76319408" w:rsidR="008D61D6" w:rsidRPr="00C24104" w:rsidRDefault="008D61D6" w:rsidP="00090FBE">
            <w:pPr>
              <w:jc w:val="left"/>
              <w:rPr>
                <w:rFonts w:asciiTheme="majorHAnsi" w:hAnsiTheme="majorHAnsi" w:cstheme="majorHAnsi"/>
                <w:b w:val="0"/>
              </w:rPr>
            </w:pPr>
            <w:r w:rsidRPr="00C24104">
              <w:rPr>
                <w:rFonts w:asciiTheme="majorHAnsi" w:hAnsiTheme="majorHAnsi" w:cstheme="majorHAnsi"/>
                <w:b w:val="0"/>
              </w:rPr>
              <w:t>celkem</w:t>
            </w:r>
          </w:p>
        </w:tc>
        <w:tc>
          <w:tcPr>
            <w:tcW w:w="3366" w:type="dxa"/>
            <w:vAlign w:val="center"/>
          </w:tcPr>
          <w:p w14:paraId="18D0AE75" w14:textId="611154DF" w:rsidR="008D61D6" w:rsidRPr="00C24104" w:rsidRDefault="008D61D6"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64</w:t>
            </w:r>
          </w:p>
        </w:tc>
      </w:tr>
    </w:tbl>
    <w:p w14:paraId="3BF03570" w14:textId="3DCEB4F0" w:rsidR="00EE5E44" w:rsidRPr="00C24104" w:rsidRDefault="00EE5E44" w:rsidP="00EE5E44">
      <w:pPr>
        <w:spacing w:before="120" w:after="0"/>
        <w:rPr>
          <w:shd w:val="clear" w:color="auto" w:fill="FFFFFF"/>
        </w:rPr>
      </w:pPr>
      <w:r w:rsidRPr="00C24104">
        <w:rPr>
          <w:shd w:val="clear" w:color="auto" w:fill="FFFFFF"/>
        </w:rPr>
        <w:t>Analýza identifikovala strategické cíle v oblasti bydlení, které si obce stanovily. Jak ukazuje tabulka 16, nejčastějším cílem byl rozvoj a propagace (sociálních) služeb, následovaný zvyšováním kvality a dostupnosti bydlení. Menší část obcí pak zahrnula do svých strategických materiálů opatření směřující k zajištění určité podoby sociálního bydlení, ačkoliv zákon o sociálním bydlení v ČR ještě neplatí. Obce se ve svých strategických materiálech zaměřovaly také na optimalizaci hospodaření s obecním majetkem a tvorbu podmínek pro kooperaci aktérů bydlení.</w:t>
      </w:r>
    </w:p>
    <w:p w14:paraId="74D52897" w14:textId="5B345F53" w:rsidR="004B7201" w:rsidRPr="00C24104" w:rsidRDefault="004B7201" w:rsidP="00090FBE">
      <w:pPr>
        <w:pStyle w:val="Titulek"/>
        <w:spacing w:after="0"/>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00C13B6F" w:rsidRPr="00C24104">
        <w:rPr>
          <w:noProof/>
        </w:rPr>
        <w:t>16</w:t>
      </w:r>
      <w:r w:rsidR="009C7E3F" w:rsidRPr="00C24104">
        <w:rPr>
          <w:noProof/>
        </w:rPr>
        <w:fldChar w:fldCharType="end"/>
      </w:r>
      <w:r w:rsidR="006D1F71" w:rsidRPr="00C24104">
        <w:t>: Cíle stanovené</w:t>
      </w:r>
      <w:r w:rsidRPr="00C24104">
        <w:t xml:space="preserve"> ve strategických materiálech obcí</w:t>
      </w:r>
    </w:p>
    <w:tbl>
      <w:tblPr>
        <w:tblStyle w:val="Tmavtabulkasmkou5zvraznn3"/>
        <w:tblW w:w="0" w:type="auto"/>
        <w:tblLook w:val="0480" w:firstRow="0" w:lastRow="0" w:firstColumn="1" w:lastColumn="0" w:noHBand="0" w:noVBand="1"/>
      </w:tblPr>
      <w:tblGrid>
        <w:gridCol w:w="2689"/>
        <w:gridCol w:w="1701"/>
        <w:gridCol w:w="5634"/>
      </w:tblGrid>
      <w:tr w:rsidR="009D04E7" w:rsidRPr="00C24104" w14:paraId="28EF014D" w14:textId="77777777" w:rsidTr="009D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712DDD4" w14:textId="3946B018" w:rsidR="009D04E7" w:rsidRPr="00C24104" w:rsidRDefault="00620AC7" w:rsidP="00090FBE">
            <w:pPr>
              <w:jc w:val="left"/>
              <w:rPr>
                <w:rFonts w:asciiTheme="majorHAnsi" w:hAnsiTheme="majorHAnsi" w:cstheme="majorHAnsi"/>
                <w:b w:val="0"/>
              </w:rPr>
            </w:pPr>
            <w:r w:rsidRPr="00C24104">
              <w:rPr>
                <w:rFonts w:asciiTheme="majorHAnsi" w:hAnsiTheme="majorHAnsi" w:cstheme="majorHAnsi"/>
                <w:b w:val="0"/>
              </w:rPr>
              <w:t>KATEGORIE CÍLŮ</w:t>
            </w:r>
          </w:p>
        </w:tc>
        <w:tc>
          <w:tcPr>
            <w:tcW w:w="1701" w:type="dxa"/>
          </w:tcPr>
          <w:p w14:paraId="7FB730D6" w14:textId="5B69DB7B" w:rsidR="009D04E7" w:rsidRPr="00C24104" w:rsidRDefault="009D04E7"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aps/>
              </w:rPr>
            </w:pPr>
            <w:r w:rsidRPr="00C24104">
              <w:rPr>
                <w:rFonts w:asciiTheme="majorHAnsi" w:hAnsiTheme="majorHAnsi" w:cstheme="majorHAnsi"/>
                <w:caps/>
              </w:rPr>
              <w:t xml:space="preserve">POČET </w:t>
            </w:r>
            <w:r w:rsidR="004B7201" w:rsidRPr="00C24104">
              <w:rPr>
                <w:rFonts w:asciiTheme="majorHAnsi" w:hAnsiTheme="majorHAnsi" w:cstheme="majorHAnsi"/>
                <w:caps/>
              </w:rPr>
              <w:t>OBCÍ</w:t>
            </w:r>
          </w:p>
        </w:tc>
        <w:tc>
          <w:tcPr>
            <w:tcW w:w="5634" w:type="dxa"/>
            <w:vAlign w:val="center"/>
          </w:tcPr>
          <w:p w14:paraId="69D4EF58" w14:textId="56069B25" w:rsidR="009D04E7" w:rsidRPr="00C24104" w:rsidRDefault="009D04E7"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aps/>
              </w:rPr>
            </w:pPr>
            <w:r w:rsidRPr="00C24104">
              <w:rPr>
                <w:rFonts w:asciiTheme="majorHAnsi" w:hAnsiTheme="majorHAnsi" w:cstheme="majorHAnsi"/>
                <w:caps/>
              </w:rPr>
              <w:t>výčet obcí</w:t>
            </w:r>
            <w:r w:rsidR="006D1F71" w:rsidRPr="00C24104">
              <w:rPr>
                <w:rFonts w:asciiTheme="majorHAnsi" w:hAnsiTheme="majorHAnsi" w:cstheme="majorHAnsi"/>
                <w:caps/>
              </w:rPr>
              <w:t>, KTERÉ SI STANOVILY DANÝ CÍL</w:t>
            </w:r>
          </w:p>
        </w:tc>
      </w:tr>
      <w:tr w:rsidR="009D04E7" w:rsidRPr="00C24104" w14:paraId="3822D664" w14:textId="77777777" w:rsidTr="009D04E7">
        <w:tc>
          <w:tcPr>
            <w:cnfStyle w:val="001000000000" w:firstRow="0" w:lastRow="0" w:firstColumn="1" w:lastColumn="0" w:oddVBand="0" w:evenVBand="0" w:oddHBand="0" w:evenHBand="0" w:firstRowFirstColumn="0" w:firstRowLastColumn="0" w:lastRowFirstColumn="0" w:lastRowLastColumn="0"/>
            <w:tcW w:w="2689" w:type="dxa"/>
            <w:vAlign w:val="center"/>
          </w:tcPr>
          <w:p w14:paraId="7411A3E3" w14:textId="7EF8380A" w:rsidR="009D04E7" w:rsidRPr="00C24104" w:rsidRDefault="009D04E7" w:rsidP="00090FBE">
            <w:pPr>
              <w:jc w:val="left"/>
              <w:rPr>
                <w:rFonts w:asciiTheme="majorHAnsi" w:hAnsiTheme="majorHAnsi" w:cstheme="majorHAnsi"/>
                <w:b w:val="0"/>
              </w:rPr>
            </w:pPr>
            <w:r w:rsidRPr="00C24104">
              <w:rPr>
                <w:rFonts w:asciiTheme="majorHAnsi" w:hAnsiTheme="majorHAnsi" w:cstheme="majorHAnsi"/>
                <w:b w:val="0"/>
              </w:rPr>
              <w:t>rozvoj a propagace (sociálních) služeb či aktivit v oblasti bydlení</w:t>
            </w:r>
          </w:p>
        </w:tc>
        <w:tc>
          <w:tcPr>
            <w:tcW w:w="1701" w:type="dxa"/>
            <w:vAlign w:val="center"/>
          </w:tcPr>
          <w:p w14:paraId="7F6F3D43" w14:textId="54DAC597" w:rsidR="009D04E7" w:rsidRPr="00C24104" w:rsidRDefault="009D04E7"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32</w:t>
            </w:r>
          </w:p>
        </w:tc>
        <w:tc>
          <w:tcPr>
            <w:tcW w:w="5634" w:type="dxa"/>
            <w:vAlign w:val="center"/>
          </w:tcPr>
          <w:p w14:paraId="63C92F27" w14:textId="31D97BCD" w:rsidR="009D04E7" w:rsidRPr="00C24104" w:rsidRDefault="009D04E7"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všechny kromě Bruntálu</w:t>
            </w:r>
          </w:p>
        </w:tc>
      </w:tr>
      <w:tr w:rsidR="009D04E7" w:rsidRPr="00C24104" w14:paraId="6D4E8FBD" w14:textId="77777777" w:rsidTr="009D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A12FBB1" w14:textId="4A21D5B7" w:rsidR="009D04E7" w:rsidRPr="00C24104" w:rsidRDefault="009D04E7" w:rsidP="00090FBE">
            <w:pPr>
              <w:jc w:val="left"/>
              <w:rPr>
                <w:rFonts w:asciiTheme="majorHAnsi" w:hAnsiTheme="majorHAnsi" w:cstheme="majorHAnsi"/>
                <w:b w:val="0"/>
              </w:rPr>
            </w:pPr>
            <w:r w:rsidRPr="00C24104">
              <w:rPr>
                <w:rFonts w:asciiTheme="majorHAnsi" w:hAnsiTheme="majorHAnsi" w:cstheme="majorHAnsi"/>
                <w:b w:val="0"/>
              </w:rPr>
              <w:t>zvyšování kvality nebo dostupnosti (obecního) bydlení</w:t>
            </w:r>
          </w:p>
        </w:tc>
        <w:tc>
          <w:tcPr>
            <w:tcW w:w="1701" w:type="dxa"/>
            <w:vAlign w:val="center"/>
          </w:tcPr>
          <w:p w14:paraId="554E9A61" w14:textId="0F10B52F" w:rsidR="009D04E7" w:rsidRPr="00C24104" w:rsidRDefault="009D04E7"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31</w:t>
            </w:r>
          </w:p>
        </w:tc>
        <w:tc>
          <w:tcPr>
            <w:tcW w:w="5634" w:type="dxa"/>
            <w:vAlign w:val="center"/>
          </w:tcPr>
          <w:p w14:paraId="4385565A" w14:textId="75D4D0EC" w:rsidR="009D04E7" w:rsidRPr="00C24104" w:rsidRDefault="009D04E7"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všechny kromě Horního Benešova</w:t>
            </w:r>
            <w:r w:rsidR="005951F7" w:rsidRPr="00C24104">
              <w:rPr>
                <w:rFonts w:asciiTheme="majorHAnsi" w:hAnsiTheme="majorHAnsi" w:cstheme="majorHAnsi"/>
              </w:rPr>
              <w:t xml:space="preserve"> a Kravař</w:t>
            </w:r>
          </w:p>
        </w:tc>
      </w:tr>
      <w:tr w:rsidR="009D04E7" w:rsidRPr="00C24104" w14:paraId="0E9353AF" w14:textId="77777777" w:rsidTr="009D04E7">
        <w:tc>
          <w:tcPr>
            <w:cnfStyle w:val="001000000000" w:firstRow="0" w:lastRow="0" w:firstColumn="1" w:lastColumn="0" w:oddVBand="0" w:evenVBand="0" w:oddHBand="0" w:evenHBand="0" w:firstRowFirstColumn="0" w:firstRowLastColumn="0" w:lastRowFirstColumn="0" w:lastRowLastColumn="0"/>
            <w:tcW w:w="2689" w:type="dxa"/>
            <w:vAlign w:val="center"/>
          </w:tcPr>
          <w:p w14:paraId="2B879165" w14:textId="08BE2D89" w:rsidR="009D04E7" w:rsidRPr="00C24104" w:rsidRDefault="009D04E7" w:rsidP="00090FBE">
            <w:pPr>
              <w:jc w:val="left"/>
              <w:rPr>
                <w:rFonts w:asciiTheme="majorHAnsi" w:hAnsiTheme="majorHAnsi" w:cstheme="majorHAnsi"/>
                <w:b w:val="0"/>
              </w:rPr>
            </w:pPr>
            <w:r w:rsidRPr="00C24104">
              <w:rPr>
                <w:rFonts w:asciiTheme="majorHAnsi" w:hAnsiTheme="majorHAnsi" w:cstheme="majorHAnsi"/>
                <w:b w:val="0"/>
              </w:rPr>
              <w:t>sociální bydlení</w:t>
            </w:r>
          </w:p>
        </w:tc>
        <w:tc>
          <w:tcPr>
            <w:tcW w:w="1701" w:type="dxa"/>
            <w:vAlign w:val="center"/>
          </w:tcPr>
          <w:p w14:paraId="0F3C8E98" w14:textId="2A6D0A16" w:rsidR="009D04E7" w:rsidRPr="00C24104" w:rsidRDefault="009D04E7"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12</w:t>
            </w:r>
          </w:p>
        </w:tc>
        <w:tc>
          <w:tcPr>
            <w:tcW w:w="5634" w:type="dxa"/>
            <w:vAlign w:val="center"/>
          </w:tcPr>
          <w:p w14:paraId="0AE1AC15" w14:textId="698E32B7" w:rsidR="009D04E7" w:rsidRPr="00C24104" w:rsidRDefault="009D04E7"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 xml:space="preserve">Bílovec, Frenštát pod Radhoštěm, Frýdek-Místek, Frýdlant nad Ostravicí, Kravaře, Nový Jičín, Opava, Orlová, Ostrava, Ostrava-Poruba, Třinec, Vítkov </w:t>
            </w:r>
          </w:p>
        </w:tc>
      </w:tr>
      <w:tr w:rsidR="009D04E7" w:rsidRPr="00C24104" w14:paraId="65D904F2" w14:textId="77777777" w:rsidTr="009D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8CAAABC" w14:textId="60293593" w:rsidR="009D04E7" w:rsidRPr="00C24104" w:rsidRDefault="009D04E7" w:rsidP="00090FBE">
            <w:pPr>
              <w:jc w:val="left"/>
              <w:rPr>
                <w:rFonts w:asciiTheme="majorHAnsi" w:hAnsiTheme="majorHAnsi" w:cstheme="majorHAnsi"/>
                <w:b w:val="0"/>
              </w:rPr>
            </w:pPr>
            <w:r w:rsidRPr="00C24104">
              <w:rPr>
                <w:rFonts w:asciiTheme="majorHAnsi" w:hAnsiTheme="majorHAnsi" w:cstheme="majorHAnsi"/>
                <w:b w:val="0"/>
              </w:rPr>
              <w:t>hospodaření s obecním majetkem</w:t>
            </w:r>
          </w:p>
        </w:tc>
        <w:tc>
          <w:tcPr>
            <w:tcW w:w="1701" w:type="dxa"/>
            <w:vAlign w:val="center"/>
          </w:tcPr>
          <w:p w14:paraId="3AF0E0B8" w14:textId="7B5BE1D8" w:rsidR="009D04E7" w:rsidRPr="00C24104" w:rsidRDefault="00F66642" w:rsidP="00EC7C4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8</w:t>
            </w:r>
          </w:p>
        </w:tc>
        <w:tc>
          <w:tcPr>
            <w:tcW w:w="5634" w:type="dxa"/>
            <w:vAlign w:val="center"/>
          </w:tcPr>
          <w:p w14:paraId="62049BC7" w14:textId="4B703EB6" w:rsidR="009D04E7" w:rsidRPr="00C24104" w:rsidRDefault="009D04E7" w:rsidP="00F6664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 xml:space="preserve">Bílovec, Jablunkov, Karviná, </w:t>
            </w:r>
            <w:r w:rsidR="005951F7" w:rsidRPr="00C24104">
              <w:rPr>
                <w:rFonts w:asciiTheme="majorHAnsi" w:hAnsiTheme="majorHAnsi" w:cstheme="majorHAnsi"/>
              </w:rPr>
              <w:t xml:space="preserve">Město Albrechtice, </w:t>
            </w:r>
            <w:r w:rsidRPr="00C24104">
              <w:rPr>
                <w:rFonts w:asciiTheme="majorHAnsi" w:hAnsiTheme="majorHAnsi" w:cstheme="majorHAnsi"/>
              </w:rPr>
              <w:t xml:space="preserve">Opava, </w:t>
            </w:r>
            <w:r w:rsidR="005951F7" w:rsidRPr="00C24104">
              <w:rPr>
                <w:rFonts w:asciiTheme="majorHAnsi" w:hAnsiTheme="majorHAnsi" w:cstheme="majorHAnsi"/>
              </w:rPr>
              <w:t>Ostrava-Poruba, Třinec, Vítkov</w:t>
            </w:r>
          </w:p>
        </w:tc>
      </w:tr>
      <w:tr w:rsidR="009D04E7" w:rsidRPr="00C24104" w14:paraId="1CAFBDD4" w14:textId="77777777" w:rsidTr="009D04E7">
        <w:tc>
          <w:tcPr>
            <w:cnfStyle w:val="001000000000" w:firstRow="0" w:lastRow="0" w:firstColumn="1" w:lastColumn="0" w:oddVBand="0" w:evenVBand="0" w:oddHBand="0" w:evenHBand="0" w:firstRowFirstColumn="0" w:firstRowLastColumn="0" w:lastRowFirstColumn="0" w:lastRowLastColumn="0"/>
            <w:tcW w:w="2689" w:type="dxa"/>
            <w:vAlign w:val="center"/>
          </w:tcPr>
          <w:p w14:paraId="519FA815" w14:textId="176937D1" w:rsidR="009D04E7" w:rsidRPr="00C24104" w:rsidRDefault="009D04E7" w:rsidP="00090FBE">
            <w:pPr>
              <w:jc w:val="left"/>
              <w:rPr>
                <w:rFonts w:asciiTheme="majorHAnsi" w:hAnsiTheme="majorHAnsi" w:cstheme="majorHAnsi"/>
                <w:b w:val="0"/>
              </w:rPr>
            </w:pPr>
            <w:r w:rsidRPr="00C24104">
              <w:rPr>
                <w:rFonts w:asciiTheme="majorHAnsi" w:hAnsiTheme="majorHAnsi" w:cstheme="majorHAnsi"/>
                <w:b w:val="0"/>
              </w:rPr>
              <w:t>tvorba podmínek pro kooperaci aktérů bydlení v obci</w:t>
            </w:r>
          </w:p>
        </w:tc>
        <w:tc>
          <w:tcPr>
            <w:tcW w:w="1701" w:type="dxa"/>
            <w:vAlign w:val="center"/>
          </w:tcPr>
          <w:p w14:paraId="3358BE87" w14:textId="679B7E91" w:rsidR="009D04E7" w:rsidRPr="00C24104" w:rsidRDefault="009D04E7" w:rsidP="00EC7C4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7</w:t>
            </w:r>
          </w:p>
        </w:tc>
        <w:tc>
          <w:tcPr>
            <w:tcW w:w="5634" w:type="dxa"/>
            <w:vAlign w:val="center"/>
          </w:tcPr>
          <w:p w14:paraId="7500043E" w14:textId="6735E6C6" w:rsidR="009D04E7" w:rsidRPr="00C24104" w:rsidRDefault="009D04E7"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 xml:space="preserve">Frýdlant nad Ostravicí, </w:t>
            </w:r>
            <w:r w:rsidR="005951F7" w:rsidRPr="00C24104">
              <w:rPr>
                <w:rFonts w:asciiTheme="majorHAnsi" w:hAnsiTheme="majorHAnsi" w:cstheme="majorHAnsi"/>
              </w:rPr>
              <w:t xml:space="preserve">Fulnek, </w:t>
            </w:r>
            <w:r w:rsidRPr="00C24104">
              <w:rPr>
                <w:rFonts w:asciiTheme="majorHAnsi" w:hAnsiTheme="majorHAnsi" w:cstheme="majorHAnsi"/>
              </w:rPr>
              <w:t>Opava, Ostrava, Mor</w:t>
            </w:r>
            <w:r w:rsidR="005951F7" w:rsidRPr="00C24104">
              <w:rPr>
                <w:rFonts w:asciiTheme="majorHAnsi" w:hAnsiTheme="majorHAnsi" w:cstheme="majorHAnsi"/>
              </w:rPr>
              <w:t xml:space="preserve">avská Ostrava a Přívoz, Vítkov, </w:t>
            </w:r>
            <w:r w:rsidRPr="00C24104">
              <w:rPr>
                <w:rFonts w:asciiTheme="majorHAnsi" w:hAnsiTheme="majorHAnsi" w:cstheme="majorHAnsi"/>
              </w:rPr>
              <w:t>Vrbno pod Pradědem</w:t>
            </w:r>
          </w:p>
        </w:tc>
      </w:tr>
    </w:tbl>
    <w:p w14:paraId="58677F1D" w14:textId="260B0EC2" w:rsidR="002C32DE" w:rsidRPr="00C24104" w:rsidRDefault="003D0C58" w:rsidP="00090FBE">
      <w:pPr>
        <w:spacing w:before="120" w:after="0"/>
      </w:pPr>
      <w:r w:rsidRPr="00C24104">
        <w:t>Záměrem analýzy bylo také identifi</w:t>
      </w:r>
      <w:r w:rsidR="00EE5E44" w:rsidRPr="00C24104">
        <w:t xml:space="preserve">kovat cílové skupiny materiálů. </w:t>
      </w:r>
      <w:r w:rsidRPr="00C24104">
        <w:t xml:space="preserve">Všechny </w:t>
      </w:r>
      <w:r w:rsidR="00EE5E44" w:rsidRPr="00C24104">
        <w:t>identifikované skupiny</w:t>
      </w:r>
      <w:r w:rsidRPr="00C24104">
        <w:t xml:space="preserve"> </w:t>
      </w:r>
      <w:r w:rsidR="00EE5E44" w:rsidRPr="00C24104">
        <w:t>přitom měly</w:t>
      </w:r>
      <w:r w:rsidRPr="00C24104">
        <w:t xml:space="preserve"> společné určité znevýhodnění na volném trhu s byty. </w:t>
      </w:r>
      <w:r w:rsidR="00EE5E44" w:rsidRPr="00C24104">
        <w:t>O</w:t>
      </w:r>
      <w:r w:rsidRPr="00C24104">
        <w:t xml:space="preserve">bce </w:t>
      </w:r>
      <w:r w:rsidR="00EE5E44" w:rsidRPr="00C24104">
        <w:t xml:space="preserve">tedy </w:t>
      </w:r>
      <w:r w:rsidRPr="00C24104">
        <w:t xml:space="preserve">ve svých strategických materiálech reflektují komplikovanou situaci celé řady osob při zajišťování své potřeby bydlet. </w:t>
      </w:r>
      <w:r w:rsidR="00EE5E44" w:rsidRPr="00C24104">
        <w:t xml:space="preserve">Konkrétně jde </w:t>
      </w:r>
      <w:r w:rsidR="00EE5E44" w:rsidRPr="00C24104">
        <w:rPr>
          <w:shd w:val="clear" w:color="auto" w:fill="FFFFFF"/>
        </w:rPr>
        <w:t xml:space="preserve">zejména o seniory, osoby sociálně znevýhodněné, OZP a osoby s duševním onemocněním, nízkopříjmové domácnosti a mladé rodiny s dětmi. </w:t>
      </w:r>
      <w:r w:rsidR="00EE5E44" w:rsidRPr="00C24104">
        <w:t>Graf 1 i</w:t>
      </w:r>
      <w:r w:rsidR="005A5D2C" w:rsidRPr="00C24104">
        <w:t xml:space="preserve">lustruje, kolik obcí z celkem 33 formuluje ve svých strategických materiálech cíle a </w:t>
      </w:r>
      <w:r w:rsidR="008472F0" w:rsidRPr="00C24104">
        <w:t>úkoly</w:t>
      </w:r>
      <w:r w:rsidR="005A5D2C" w:rsidRPr="00C24104">
        <w:t xml:space="preserve"> směřující k saturaci potřeby bydlet pro identifikované cílové skupiny.</w:t>
      </w:r>
      <w:r w:rsidR="00805DE1" w:rsidRPr="00C24104">
        <w:t xml:space="preserve"> </w:t>
      </w:r>
      <w:r w:rsidR="002C32DE" w:rsidRPr="00C24104">
        <w:t xml:space="preserve">Skutečnost, že některé skupiny jsou </w:t>
      </w:r>
      <w:r w:rsidR="00C13B6F" w:rsidRPr="00C24104">
        <w:t xml:space="preserve">ve strategických materiálech </w:t>
      </w:r>
      <w:r w:rsidR="002C32DE" w:rsidRPr="00C24104">
        <w:t>zastoupeny méně, může znamenat, že ze strany obcí panuje neochota či obava řešit jejich situaci v oblasti bydlení. Tyto skupiny nicméně mohou</w:t>
      </w:r>
      <w:r w:rsidR="00C13B6F" w:rsidRPr="00C24104">
        <w:t xml:space="preserve"> být méně zastoupeny také proto, že j</w:t>
      </w:r>
      <w:r w:rsidR="002C32DE" w:rsidRPr="00C24104">
        <w:t>s</w:t>
      </w:r>
      <w:r w:rsidR="00C13B6F" w:rsidRPr="00C24104">
        <w:t xml:space="preserve">ou v některých obcích minoritní nebo zcela nepřítomné, případně proto, že je bydlení pro ně </w:t>
      </w:r>
      <w:r w:rsidR="002C32DE" w:rsidRPr="00C24104">
        <w:t xml:space="preserve">v obci již </w:t>
      </w:r>
      <w:r w:rsidR="00C13B6F" w:rsidRPr="00C24104">
        <w:t>nějakým způsobem ř</w:t>
      </w:r>
      <w:r w:rsidR="002C32DE" w:rsidRPr="00C24104">
        <w:t>ešeno.</w:t>
      </w:r>
      <w:r w:rsidR="00C13B6F" w:rsidRPr="00C24104">
        <w:t xml:space="preserve"> </w:t>
      </w:r>
      <w:r w:rsidR="002C32DE" w:rsidRPr="00C24104">
        <w:t xml:space="preserve">Totéž může platit pro skupiny osob zcela chybějící ve výčtu – uprchlíky a osoby po výkonu trestu odnětí svobody. </w:t>
      </w:r>
    </w:p>
    <w:p w14:paraId="1EB7A81D" w14:textId="1ED0B535" w:rsidR="004B180E" w:rsidRPr="00C24104" w:rsidRDefault="00EE5E44" w:rsidP="00EE5E44">
      <w:pPr>
        <w:pStyle w:val="Titulek"/>
      </w:pPr>
      <w:r w:rsidRPr="00C24104">
        <w:t xml:space="preserve">Graf </w:t>
      </w:r>
      <w:r w:rsidR="009C7E3F" w:rsidRPr="00C24104">
        <w:fldChar w:fldCharType="begin"/>
      </w:r>
      <w:r w:rsidR="009C7E3F" w:rsidRPr="00C24104">
        <w:instrText xml:space="preserve"> SEQ Graf \* ARABIC </w:instrText>
      </w:r>
      <w:r w:rsidR="009C7E3F" w:rsidRPr="00C24104">
        <w:fldChar w:fldCharType="separate"/>
      </w:r>
      <w:r w:rsidRPr="00C24104">
        <w:rPr>
          <w:noProof/>
        </w:rPr>
        <w:t>1</w:t>
      </w:r>
      <w:r w:rsidR="009C7E3F" w:rsidRPr="00C24104">
        <w:rPr>
          <w:noProof/>
        </w:rPr>
        <w:fldChar w:fldCharType="end"/>
      </w:r>
      <w:r w:rsidRPr="00C24104">
        <w:t xml:space="preserve">: </w:t>
      </w:r>
      <w:r w:rsidR="004B180E" w:rsidRPr="00C24104">
        <w:t xml:space="preserve">Přehled cílových skupin </w:t>
      </w:r>
      <w:r w:rsidR="005A5D2C" w:rsidRPr="00C24104">
        <w:t xml:space="preserve">strategických </w:t>
      </w:r>
      <w:r w:rsidR="004B180E" w:rsidRPr="00C24104">
        <w:t>materiálů</w:t>
      </w:r>
      <w:r w:rsidR="005A5D2C" w:rsidRPr="00C24104">
        <w:t xml:space="preserve"> a jejich zastoupení z pohledu obce</w:t>
      </w:r>
    </w:p>
    <w:p w14:paraId="76FE7BF9" w14:textId="207BBC4F" w:rsidR="00A250C8" w:rsidRPr="00C24104" w:rsidRDefault="0039215A" w:rsidP="00090FBE">
      <w:pPr>
        <w:spacing w:before="120" w:after="0"/>
      </w:pPr>
      <w:r w:rsidRPr="00C24104">
        <w:rPr>
          <w:noProof/>
          <w:lang w:eastAsia="cs-CZ"/>
        </w:rPr>
        <w:drawing>
          <wp:inline distT="0" distB="0" distL="0" distR="0" wp14:anchorId="25DF9D99" wp14:editId="45F3E8E8">
            <wp:extent cx="6371590" cy="52959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7A1401" w14:textId="646FF8F2" w:rsidR="00EE5E44" w:rsidRPr="00C24104" w:rsidRDefault="00EE5E44" w:rsidP="00EE5E44">
      <w:pPr>
        <w:spacing w:before="120" w:after="0"/>
        <w:rPr>
          <w:shd w:val="clear" w:color="auto" w:fill="FFFFFF"/>
        </w:rPr>
      </w:pPr>
      <w:r w:rsidRPr="00C24104">
        <w:rPr>
          <w:shd w:val="clear" w:color="auto" w:fill="FFFFFF"/>
        </w:rPr>
        <w:t>Jak ukazuje tabulka 1</w:t>
      </w:r>
      <w:r w:rsidR="00C13B6F" w:rsidRPr="00C24104">
        <w:rPr>
          <w:shd w:val="clear" w:color="auto" w:fill="FFFFFF"/>
        </w:rPr>
        <w:t>7</w:t>
      </w:r>
      <w:r w:rsidRPr="00C24104">
        <w:rPr>
          <w:shd w:val="clear" w:color="auto" w:fill="FFFFFF"/>
        </w:rPr>
        <w:t>, nejčastějším participantem plánovaných cílů strategických materiálů jsou neziskové organizace a poskytovatelé sociálních služeb.</w:t>
      </w:r>
    </w:p>
    <w:p w14:paraId="11772D98" w14:textId="7CC57FC6" w:rsidR="003178F9" w:rsidRPr="00C24104" w:rsidRDefault="00C13B6F" w:rsidP="00C13B6F">
      <w:pPr>
        <w:pStyle w:val="Titulek"/>
      </w:pPr>
      <w:r w:rsidRPr="00C24104">
        <w:t xml:space="preserve">Tabulka </w:t>
      </w:r>
      <w:r w:rsidR="009C7E3F" w:rsidRPr="00C24104">
        <w:fldChar w:fldCharType="begin"/>
      </w:r>
      <w:r w:rsidR="009C7E3F" w:rsidRPr="00C24104">
        <w:instrText xml:space="preserve"> SEQ Tabulka \* ARABIC </w:instrText>
      </w:r>
      <w:r w:rsidR="009C7E3F" w:rsidRPr="00C24104">
        <w:fldChar w:fldCharType="separate"/>
      </w:r>
      <w:r w:rsidRPr="00C24104">
        <w:rPr>
          <w:noProof/>
        </w:rPr>
        <w:t>17</w:t>
      </w:r>
      <w:r w:rsidR="009C7E3F" w:rsidRPr="00C24104">
        <w:rPr>
          <w:noProof/>
        </w:rPr>
        <w:fldChar w:fldCharType="end"/>
      </w:r>
      <w:r w:rsidR="006B3947" w:rsidRPr="00C24104">
        <w:t>: Četnost zapojení subjektů do realizace cílů stanovených ve strategických materiálech obcí</w:t>
      </w:r>
    </w:p>
    <w:tbl>
      <w:tblPr>
        <w:tblStyle w:val="Tmavtabulkasmkou5zvraznn3"/>
        <w:tblW w:w="0" w:type="auto"/>
        <w:tblLook w:val="0480" w:firstRow="0" w:lastRow="0" w:firstColumn="1" w:lastColumn="0" w:noHBand="0" w:noVBand="1"/>
      </w:tblPr>
      <w:tblGrid>
        <w:gridCol w:w="8359"/>
        <w:gridCol w:w="1665"/>
      </w:tblGrid>
      <w:tr w:rsidR="00CA4390" w:rsidRPr="00C24104" w14:paraId="72929618"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3D1C7A73" w14:textId="24BBE2DD" w:rsidR="00CA4390" w:rsidRPr="00C24104" w:rsidRDefault="00CA4390" w:rsidP="00090FBE">
            <w:pPr>
              <w:jc w:val="left"/>
              <w:rPr>
                <w:rFonts w:asciiTheme="majorHAnsi" w:hAnsiTheme="majorHAnsi" w:cstheme="majorHAnsi"/>
                <w:b w:val="0"/>
                <w:caps/>
              </w:rPr>
            </w:pPr>
            <w:r w:rsidRPr="00C24104">
              <w:rPr>
                <w:rFonts w:asciiTheme="majorHAnsi" w:hAnsiTheme="majorHAnsi" w:cstheme="majorHAnsi"/>
                <w:b w:val="0"/>
                <w:caps/>
              </w:rPr>
              <w:t>subjekty zapojené do spolupráce při implementaci opatření</w:t>
            </w:r>
          </w:p>
        </w:tc>
        <w:tc>
          <w:tcPr>
            <w:tcW w:w="1665" w:type="dxa"/>
            <w:vAlign w:val="center"/>
          </w:tcPr>
          <w:p w14:paraId="089260A7" w14:textId="02F20E1F" w:rsidR="00CA4390" w:rsidRPr="00C24104" w:rsidRDefault="00CA4390"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aps/>
              </w:rPr>
            </w:pPr>
            <w:r w:rsidRPr="00C24104">
              <w:rPr>
                <w:rFonts w:asciiTheme="majorHAnsi" w:hAnsiTheme="majorHAnsi" w:cstheme="majorHAnsi"/>
                <w:caps/>
              </w:rPr>
              <w:t>počet</w:t>
            </w:r>
          </w:p>
        </w:tc>
      </w:tr>
      <w:tr w:rsidR="00CA4390" w:rsidRPr="00C24104" w14:paraId="31DD3B73"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7C951618" w14:textId="3E64297B" w:rsidR="00CA4390" w:rsidRPr="00C24104" w:rsidRDefault="00CA4390" w:rsidP="00090FBE">
            <w:pPr>
              <w:jc w:val="left"/>
              <w:rPr>
                <w:rFonts w:asciiTheme="majorHAnsi" w:hAnsiTheme="majorHAnsi" w:cstheme="majorHAnsi"/>
                <w:b w:val="0"/>
              </w:rPr>
            </w:pPr>
            <w:r w:rsidRPr="00C24104">
              <w:rPr>
                <w:rFonts w:asciiTheme="majorHAnsi" w:hAnsiTheme="majorHAnsi" w:cstheme="majorHAnsi"/>
                <w:b w:val="0"/>
              </w:rPr>
              <w:t>neziskové organizace/poskytovatelé sociálních služeb</w:t>
            </w:r>
          </w:p>
        </w:tc>
        <w:tc>
          <w:tcPr>
            <w:tcW w:w="1665" w:type="dxa"/>
            <w:vAlign w:val="center"/>
          </w:tcPr>
          <w:p w14:paraId="7E7D8ED3" w14:textId="6A65182E" w:rsidR="00CA4390" w:rsidRPr="00C24104" w:rsidRDefault="00CA4390"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29</w:t>
            </w:r>
          </w:p>
        </w:tc>
      </w:tr>
      <w:tr w:rsidR="006B7D13" w:rsidRPr="00C24104" w14:paraId="13EACC57"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6964021D" w14:textId="043E255C" w:rsidR="006B7D13" w:rsidRPr="00C24104" w:rsidRDefault="006B7D13" w:rsidP="00090FBE">
            <w:pPr>
              <w:jc w:val="left"/>
              <w:rPr>
                <w:rFonts w:asciiTheme="majorHAnsi" w:hAnsiTheme="majorHAnsi" w:cstheme="majorHAnsi"/>
              </w:rPr>
            </w:pPr>
            <w:r w:rsidRPr="00C24104">
              <w:rPr>
                <w:rFonts w:asciiTheme="majorHAnsi" w:hAnsiTheme="majorHAnsi" w:cstheme="majorHAnsi"/>
                <w:b w:val="0"/>
              </w:rPr>
              <w:t>jiné subjekty (bez bližší specifikace)</w:t>
            </w:r>
          </w:p>
        </w:tc>
        <w:tc>
          <w:tcPr>
            <w:tcW w:w="1665" w:type="dxa"/>
            <w:vAlign w:val="center"/>
          </w:tcPr>
          <w:p w14:paraId="3CB2015B" w14:textId="5F2BE92D" w:rsidR="006B7D13" w:rsidRPr="00C24104" w:rsidRDefault="006B7D13"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12</w:t>
            </w:r>
          </w:p>
        </w:tc>
      </w:tr>
      <w:tr w:rsidR="00CA4390" w:rsidRPr="00C24104" w14:paraId="05CD579E"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0F3E7BEE" w14:textId="23981F97" w:rsidR="00CA4390" w:rsidRPr="00C24104" w:rsidRDefault="00CA4390" w:rsidP="00090FBE">
            <w:pPr>
              <w:jc w:val="left"/>
              <w:rPr>
                <w:rFonts w:asciiTheme="majorHAnsi" w:hAnsiTheme="majorHAnsi" w:cstheme="majorHAnsi"/>
                <w:b w:val="0"/>
              </w:rPr>
            </w:pPr>
            <w:r w:rsidRPr="00C24104">
              <w:rPr>
                <w:rFonts w:asciiTheme="majorHAnsi" w:hAnsiTheme="majorHAnsi" w:cstheme="majorHAnsi"/>
                <w:b w:val="0"/>
              </w:rPr>
              <w:t>příspěvkové organizace obce</w:t>
            </w:r>
          </w:p>
        </w:tc>
        <w:tc>
          <w:tcPr>
            <w:tcW w:w="1665" w:type="dxa"/>
            <w:vAlign w:val="center"/>
          </w:tcPr>
          <w:p w14:paraId="6B250212" w14:textId="6C6A3A3C" w:rsidR="00CA4390" w:rsidRPr="00C24104" w:rsidRDefault="00C40A29"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8</w:t>
            </w:r>
          </w:p>
        </w:tc>
      </w:tr>
      <w:tr w:rsidR="006B7D13" w:rsidRPr="00C24104" w14:paraId="4E16FDAA"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332B9783" w14:textId="0DFF0B5D" w:rsidR="006B7D13" w:rsidRPr="00C24104" w:rsidRDefault="006B7D13" w:rsidP="00090FBE">
            <w:pPr>
              <w:jc w:val="left"/>
              <w:rPr>
                <w:rFonts w:asciiTheme="majorHAnsi" w:hAnsiTheme="majorHAnsi" w:cstheme="majorHAnsi"/>
              </w:rPr>
            </w:pPr>
            <w:r w:rsidRPr="00C24104">
              <w:rPr>
                <w:rFonts w:asciiTheme="majorHAnsi" w:hAnsiTheme="majorHAnsi" w:cstheme="majorHAnsi"/>
                <w:b w:val="0"/>
              </w:rPr>
              <w:t>MSK</w:t>
            </w:r>
          </w:p>
        </w:tc>
        <w:tc>
          <w:tcPr>
            <w:tcW w:w="1665" w:type="dxa"/>
            <w:vAlign w:val="center"/>
          </w:tcPr>
          <w:p w14:paraId="2A605E86" w14:textId="0C639EAB" w:rsidR="006B7D13" w:rsidRPr="00C24104" w:rsidRDefault="006B7D13"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6</w:t>
            </w:r>
          </w:p>
        </w:tc>
      </w:tr>
      <w:tr w:rsidR="006B7D13" w:rsidRPr="00C24104" w14:paraId="7C2F53C5"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4E751034" w14:textId="17FEA499" w:rsidR="006B7D13" w:rsidRPr="00C24104" w:rsidRDefault="006B7D13" w:rsidP="00090FBE">
            <w:pPr>
              <w:jc w:val="left"/>
              <w:rPr>
                <w:rFonts w:asciiTheme="majorHAnsi" w:hAnsiTheme="majorHAnsi" w:cstheme="majorHAnsi"/>
              </w:rPr>
            </w:pPr>
            <w:r w:rsidRPr="00C24104">
              <w:rPr>
                <w:rFonts w:asciiTheme="majorHAnsi" w:hAnsiTheme="majorHAnsi" w:cstheme="majorHAnsi"/>
                <w:b w:val="0"/>
              </w:rPr>
              <w:t>zdravotnická zařízení</w:t>
            </w:r>
          </w:p>
        </w:tc>
        <w:tc>
          <w:tcPr>
            <w:tcW w:w="1665" w:type="dxa"/>
            <w:vAlign w:val="center"/>
          </w:tcPr>
          <w:p w14:paraId="7BFB8BCE" w14:textId="1EFD4458" w:rsidR="006B7D13" w:rsidRPr="00C24104" w:rsidRDefault="006B7D13"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3</w:t>
            </w:r>
          </w:p>
        </w:tc>
      </w:tr>
      <w:tr w:rsidR="006B7D13" w:rsidRPr="00C24104" w14:paraId="1212F7EA"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08165A64" w14:textId="0DCB3C96" w:rsidR="006B7D13" w:rsidRPr="00C24104" w:rsidRDefault="006B7D13" w:rsidP="00090FBE">
            <w:pPr>
              <w:jc w:val="left"/>
              <w:rPr>
                <w:rFonts w:asciiTheme="majorHAnsi" w:hAnsiTheme="majorHAnsi" w:cstheme="majorHAnsi"/>
              </w:rPr>
            </w:pPr>
            <w:r w:rsidRPr="00C24104">
              <w:rPr>
                <w:rFonts w:asciiTheme="majorHAnsi" w:hAnsiTheme="majorHAnsi" w:cstheme="majorHAnsi"/>
                <w:b w:val="0"/>
              </w:rPr>
              <w:t>MINISTERSTVA ČR</w:t>
            </w:r>
          </w:p>
        </w:tc>
        <w:tc>
          <w:tcPr>
            <w:tcW w:w="1665" w:type="dxa"/>
            <w:vAlign w:val="center"/>
          </w:tcPr>
          <w:p w14:paraId="5C966E51" w14:textId="48DFF09A" w:rsidR="006B7D13" w:rsidRPr="00C24104" w:rsidRDefault="006B7D13"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w:t>
            </w:r>
          </w:p>
        </w:tc>
      </w:tr>
      <w:tr w:rsidR="006B7D13" w:rsidRPr="00C24104" w14:paraId="44F4DC06"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31A6EB3E" w14:textId="1A68D94F" w:rsidR="006B7D13" w:rsidRPr="00C24104" w:rsidRDefault="006B7D13" w:rsidP="00090FBE">
            <w:pPr>
              <w:jc w:val="left"/>
              <w:rPr>
                <w:rFonts w:asciiTheme="majorHAnsi" w:hAnsiTheme="majorHAnsi" w:cstheme="majorHAnsi"/>
                <w:b w:val="0"/>
              </w:rPr>
            </w:pPr>
            <w:r w:rsidRPr="00C24104">
              <w:rPr>
                <w:rFonts w:asciiTheme="majorHAnsi" w:hAnsiTheme="majorHAnsi" w:cstheme="majorHAnsi"/>
                <w:b w:val="0"/>
              </w:rPr>
              <w:t>Úřad práce ČR</w:t>
            </w:r>
          </w:p>
        </w:tc>
        <w:tc>
          <w:tcPr>
            <w:tcW w:w="1665" w:type="dxa"/>
            <w:vAlign w:val="center"/>
          </w:tcPr>
          <w:p w14:paraId="6B9B6EC1" w14:textId="43655B34" w:rsidR="006B7D13" w:rsidRPr="00C24104" w:rsidRDefault="006B7D13"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2</w:t>
            </w:r>
          </w:p>
        </w:tc>
      </w:tr>
      <w:tr w:rsidR="006B7D13" w:rsidRPr="00C24104" w14:paraId="2DC4080B"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00A99A0A" w14:textId="3E5E9C2B" w:rsidR="006B7D13" w:rsidRPr="00C24104" w:rsidRDefault="006B7D13" w:rsidP="00090FBE">
            <w:pPr>
              <w:jc w:val="left"/>
              <w:rPr>
                <w:rFonts w:asciiTheme="majorHAnsi" w:hAnsiTheme="majorHAnsi" w:cstheme="majorHAnsi"/>
                <w:b w:val="0"/>
              </w:rPr>
            </w:pPr>
            <w:r w:rsidRPr="00C24104">
              <w:rPr>
                <w:rFonts w:asciiTheme="majorHAnsi" w:hAnsiTheme="majorHAnsi" w:cstheme="majorHAnsi"/>
                <w:b w:val="0"/>
              </w:rPr>
              <w:t>Česká správa sociálního zabezpečení</w:t>
            </w:r>
          </w:p>
        </w:tc>
        <w:tc>
          <w:tcPr>
            <w:tcW w:w="1665" w:type="dxa"/>
            <w:vAlign w:val="center"/>
          </w:tcPr>
          <w:p w14:paraId="05872C88" w14:textId="4E99F6B6" w:rsidR="006B7D13" w:rsidRPr="00C24104" w:rsidRDefault="006B7D13"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w:t>
            </w:r>
          </w:p>
        </w:tc>
      </w:tr>
      <w:tr w:rsidR="006B7D13" w:rsidRPr="00C24104" w14:paraId="7D9EB5BF"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54755A88" w14:textId="3B07A68A" w:rsidR="006B7D13" w:rsidRPr="00C24104" w:rsidRDefault="006B7D13" w:rsidP="00090FBE">
            <w:pPr>
              <w:jc w:val="left"/>
              <w:rPr>
                <w:rFonts w:asciiTheme="majorHAnsi" w:hAnsiTheme="majorHAnsi" w:cstheme="majorHAnsi"/>
                <w:b w:val="0"/>
              </w:rPr>
            </w:pPr>
            <w:r w:rsidRPr="00C24104">
              <w:rPr>
                <w:rFonts w:asciiTheme="majorHAnsi" w:hAnsiTheme="majorHAnsi" w:cstheme="majorHAnsi"/>
                <w:b w:val="0"/>
              </w:rPr>
              <w:t>nadace</w:t>
            </w:r>
          </w:p>
        </w:tc>
        <w:tc>
          <w:tcPr>
            <w:tcW w:w="1665" w:type="dxa"/>
            <w:vAlign w:val="center"/>
          </w:tcPr>
          <w:p w14:paraId="351EE75D" w14:textId="2F8CDEBD" w:rsidR="006B7D13" w:rsidRPr="00C24104" w:rsidRDefault="006B7D13"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w:t>
            </w:r>
          </w:p>
        </w:tc>
      </w:tr>
      <w:tr w:rsidR="006B7D13" w:rsidRPr="00C24104" w14:paraId="69DE45D0" w14:textId="77777777" w:rsidTr="003B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6C110FC5" w14:textId="175048EB" w:rsidR="006B7D13" w:rsidRPr="00C24104" w:rsidRDefault="006B7D13" w:rsidP="00090FBE">
            <w:pPr>
              <w:jc w:val="left"/>
              <w:rPr>
                <w:rFonts w:asciiTheme="majorHAnsi" w:hAnsiTheme="majorHAnsi" w:cstheme="majorHAnsi"/>
                <w:b w:val="0"/>
              </w:rPr>
            </w:pPr>
            <w:r w:rsidRPr="00C24104">
              <w:rPr>
                <w:rFonts w:asciiTheme="majorHAnsi" w:hAnsiTheme="majorHAnsi" w:cstheme="majorHAnsi"/>
                <w:b w:val="0"/>
              </w:rPr>
              <w:t>majitelé/správci nemovitostí</w:t>
            </w:r>
          </w:p>
        </w:tc>
        <w:tc>
          <w:tcPr>
            <w:tcW w:w="1665" w:type="dxa"/>
            <w:vAlign w:val="center"/>
          </w:tcPr>
          <w:p w14:paraId="6596EBBB" w14:textId="7E0A1338" w:rsidR="006B7D13" w:rsidRPr="00C24104" w:rsidRDefault="006B7D13" w:rsidP="00090FB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w:t>
            </w:r>
          </w:p>
        </w:tc>
      </w:tr>
      <w:tr w:rsidR="006B7D13" w:rsidRPr="00C24104" w14:paraId="58BF55A3" w14:textId="77777777" w:rsidTr="003B543F">
        <w:tc>
          <w:tcPr>
            <w:cnfStyle w:val="001000000000" w:firstRow="0" w:lastRow="0" w:firstColumn="1" w:lastColumn="0" w:oddVBand="0" w:evenVBand="0" w:oddHBand="0" w:evenHBand="0" w:firstRowFirstColumn="0" w:firstRowLastColumn="0" w:lastRowFirstColumn="0" w:lastRowLastColumn="0"/>
            <w:tcW w:w="8359" w:type="dxa"/>
            <w:vAlign w:val="center"/>
          </w:tcPr>
          <w:p w14:paraId="4CAF4DDB" w14:textId="4637E6A6" w:rsidR="006B7D13" w:rsidRPr="00C24104" w:rsidRDefault="006B7D13" w:rsidP="00090FBE">
            <w:pPr>
              <w:jc w:val="left"/>
              <w:rPr>
                <w:rFonts w:asciiTheme="majorHAnsi" w:hAnsiTheme="majorHAnsi" w:cstheme="majorHAnsi"/>
                <w:b w:val="0"/>
              </w:rPr>
            </w:pPr>
            <w:r w:rsidRPr="00C24104">
              <w:rPr>
                <w:rFonts w:asciiTheme="majorHAnsi" w:hAnsiTheme="majorHAnsi" w:cstheme="majorHAnsi"/>
                <w:b w:val="0"/>
              </w:rPr>
              <w:t>sociální kurátoři</w:t>
            </w:r>
          </w:p>
        </w:tc>
        <w:tc>
          <w:tcPr>
            <w:tcW w:w="1665" w:type="dxa"/>
            <w:vAlign w:val="center"/>
          </w:tcPr>
          <w:p w14:paraId="7C4AB2EE" w14:textId="6998382F" w:rsidR="006B7D13" w:rsidRPr="00C24104" w:rsidRDefault="006B7D13" w:rsidP="00090FB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24104">
              <w:rPr>
                <w:rFonts w:asciiTheme="majorHAnsi" w:hAnsiTheme="majorHAnsi" w:cstheme="majorHAnsi"/>
              </w:rPr>
              <w:t>1</w:t>
            </w:r>
          </w:p>
        </w:tc>
      </w:tr>
    </w:tbl>
    <w:p w14:paraId="0410E2A3" w14:textId="498F6561" w:rsidR="00C13B6F" w:rsidRPr="00C24104" w:rsidRDefault="00C13B6F" w:rsidP="00C24104">
      <w:pPr>
        <w:spacing w:before="120"/>
        <w:rPr>
          <w:shd w:val="clear" w:color="auto" w:fill="FFFFFF"/>
        </w:rPr>
      </w:pPr>
      <w:r w:rsidRPr="00C24104">
        <w:rPr>
          <w:shd w:val="clear" w:color="auto" w:fill="FFFFFF"/>
        </w:rPr>
        <w:t>Analýza dostupnosti obecního bydlení v MSK přin</w:t>
      </w:r>
      <w:r w:rsidR="004C0732" w:rsidRPr="00C24104">
        <w:rPr>
          <w:shd w:val="clear" w:color="auto" w:fill="FFFFFF"/>
        </w:rPr>
        <w:t>esla</w:t>
      </w:r>
      <w:r w:rsidRPr="00C24104">
        <w:rPr>
          <w:shd w:val="clear" w:color="auto" w:fill="FFFFFF"/>
        </w:rPr>
        <w:t xml:space="preserve"> vhled do dynamiky a komplexity situace, která ovlivňuje dostupnost a distribuci bytů na tomto území. Skrze detailní pohled na pravidla pronájmu, dostupnost bytového fondu, identifikaci cílových skupin žadatelů, přístup soukromých aktérů či analýzu strategických dokumentů obcí byly identifikovány faktory utvářející prostředí obecního bydlení. Výzkumná práce je postaven především na sekundární analýze, tedy zpracování dostupných údajů, jejichž účel sice není primárně výzkumným, mohou však nabídnout odpověď na celou řadu analytických otázek. </w:t>
      </w:r>
    </w:p>
    <w:p w14:paraId="1DC40CBC" w14:textId="206F3242" w:rsidR="00C13B6F" w:rsidRPr="00C24104" w:rsidRDefault="00FF65E7" w:rsidP="00FF65E7">
      <w:pPr>
        <w:rPr>
          <w:shd w:val="clear" w:color="auto" w:fill="FFFFFF"/>
        </w:rPr>
      </w:pPr>
      <w:r w:rsidRPr="00C24104">
        <w:rPr>
          <w:shd w:val="clear" w:color="auto" w:fill="FFFFFF"/>
        </w:rPr>
        <w:t xml:space="preserve">Analýza ukázala, že </w:t>
      </w:r>
      <w:r w:rsidR="00173EDA" w:rsidRPr="00C24104">
        <w:rPr>
          <w:shd w:val="clear" w:color="auto" w:fill="FFFFFF"/>
        </w:rPr>
        <w:t>v </w:t>
      </w:r>
      <w:r w:rsidRPr="00C24104">
        <w:rPr>
          <w:shd w:val="clear" w:color="auto" w:fill="FFFFFF"/>
        </w:rPr>
        <w:t>obc</w:t>
      </w:r>
      <w:r w:rsidR="00173EDA" w:rsidRPr="00C24104">
        <w:rPr>
          <w:shd w:val="clear" w:color="auto" w:fill="FFFFFF"/>
        </w:rPr>
        <w:t xml:space="preserve">ích </w:t>
      </w:r>
      <w:r w:rsidRPr="00C24104">
        <w:rPr>
          <w:shd w:val="clear" w:color="auto" w:fill="FFFFFF"/>
        </w:rPr>
        <w:t xml:space="preserve">v MSK </w:t>
      </w:r>
      <w:r w:rsidR="0085515E" w:rsidRPr="00C24104">
        <w:rPr>
          <w:shd w:val="clear" w:color="auto" w:fill="FFFFFF"/>
        </w:rPr>
        <w:t>dochází k</w:t>
      </w:r>
      <w:r w:rsidRPr="00C24104">
        <w:rPr>
          <w:shd w:val="clear" w:color="auto" w:fill="FFFFFF"/>
        </w:rPr>
        <w:t xml:space="preserve"> pokles</w:t>
      </w:r>
      <w:r w:rsidR="0085515E" w:rsidRPr="00C24104">
        <w:rPr>
          <w:shd w:val="clear" w:color="auto" w:fill="FFFFFF"/>
        </w:rPr>
        <w:t>u</w:t>
      </w:r>
      <w:r w:rsidRPr="00C24104">
        <w:rPr>
          <w:shd w:val="clear" w:color="auto" w:fill="FFFFFF"/>
        </w:rPr>
        <w:t xml:space="preserve"> počtu bytů, </w:t>
      </w:r>
      <w:r w:rsidR="00173EDA" w:rsidRPr="00C24104">
        <w:rPr>
          <w:shd w:val="clear" w:color="auto" w:fill="FFFFFF"/>
        </w:rPr>
        <w:t xml:space="preserve">je zde </w:t>
      </w:r>
      <w:r w:rsidRPr="00C24104">
        <w:rPr>
          <w:shd w:val="clear" w:color="auto" w:fill="FFFFFF"/>
        </w:rPr>
        <w:t>vyso</w:t>
      </w:r>
      <w:r w:rsidR="00173EDA" w:rsidRPr="00C24104">
        <w:rPr>
          <w:shd w:val="clear" w:color="auto" w:fill="FFFFFF"/>
        </w:rPr>
        <w:t>ký počet potenciálních žadatelů, přičemž někteří z nich paří ke skupinám se specifickými potřebami v oblasti bydlení</w:t>
      </w:r>
      <w:r w:rsidRPr="00C24104">
        <w:rPr>
          <w:shd w:val="clear" w:color="auto" w:fill="FFFFFF"/>
        </w:rPr>
        <w:t>. Zároveň bylo prokázáno, že ekonomický status, věk, zaměstnanost, vzdělání či zadlužení hrají klíčov</w:t>
      </w:r>
      <w:r w:rsidR="00C13B6F" w:rsidRPr="00C24104">
        <w:rPr>
          <w:shd w:val="clear" w:color="auto" w:fill="FFFFFF"/>
        </w:rPr>
        <w:t xml:space="preserve">ou roli při přístupu k bydlení. </w:t>
      </w:r>
    </w:p>
    <w:p w14:paraId="276E5423" w14:textId="2B0DD406" w:rsidR="00CD29A0" w:rsidRPr="00C24104" w:rsidRDefault="00CD29A0" w:rsidP="00FF65E7">
      <w:pPr>
        <w:rPr>
          <w:shd w:val="clear" w:color="auto" w:fill="FFFFFF"/>
        </w:rPr>
      </w:pPr>
      <w:r w:rsidRPr="00C24104">
        <w:rPr>
          <w:shd w:val="clear" w:color="auto" w:fill="FFFFFF"/>
        </w:rPr>
        <w:t>Většina obcí má specifická kritéria a postupy pro přidělování bytů, které se odvíjejí od potřeb jednotlivých skupin, jako jsou senioři, zaměstnanci obc</w:t>
      </w:r>
      <w:r w:rsidR="009642CA" w:rsidRPr="00C24104">
        <w:rPr>
          <w:shd w:val="clear" w:color="auto" w:fill="FFFFFF"/>
        </w:rPr>
        <w:t>í</w:t>
      </w:r>
      <w:r w:rsidRPr="00C24104">
        <w:rPr>
          <w:shd w:val="clear" w:color="auto" w:fill="FFFFFF"/>
        </w:rPr>
        <w:t>, osoby v nepříznivé sociální situaci nebo osoby se zdravotním postižením.</w:t>
      </w:r>
      <w:r w:rsidR="009642CA" w:rsidRPr="00C24104">
        <w:rPr>
          <w:shd w:val="clear" w:color="auto" w:fill="FFFFFF"/>
        </w:rPr>
        <w:t xml:space="preserve"> </w:t>
      </w:r>
      <w:r w:rsidRPr="00C24104">
        <w:rPr>
          <w:shd w:val="clear" w:color="auto" w:fill="FFFFFF"/>
        </w:rPr>
        <w:t xml:space="preserve">Analýza také poukázala na významnou roli, kterou hraje trvalý pobyt žadatele na území obce při přidělování bytů. To naznačuje, že obce se snaží </w:t>
      </w:r>
      <w:r w:rsidR="009642CA" w:rsidRPr="00C24104">
        <w:rPr>
          <w:shd w:val="clear" w:color="auto" w:fill="FFFFFF"/>
        </w:rPr>
        <w:t>zvýhodnit</w:t>
      </w:r>
      <w:r w:rsidRPr="00C24104">
        <w:rPr>
          <w:shd w:val="clear" w:color="auto" w:fill="FFFFFF"/>
        </w:rPr>
        <w:t xml:space="preserve"> své občany při poskytování bydlení.</w:t>
      </w:r>
      <w:r w:rsidR="009642CA" w:rsidRPr="00C24104">
        <w:rPr>
          <w:shd w:val="clear" w:color="auto" w:fill="FFFFFF"/>
        </w:rPr>
        <w:t xml:space="preserve"> </w:t>
      </w:r>
      <w:r w:rsidR="00F7495D" w:rsidRPr="00C24104">
        <w:rPr>
          <w:shd w:val="clear" w:color="auto" w:fill="FFFFFF"/>
        </w:rPr>
        <w:t xml:space="preserve">Některé obce navíc požadují trvalý pobyt v délce alespoň 12 měsíců. </w:t>
      </w:r>
      <w:r w:rsidRPr="00C24104">
        <w:rPr>
          <w:shd w:val="clear" w:color="auto" w:fill="FFFFFF"/>
        </w:rPr>
        <w:t>Důležitým aspektem je také zjištění, že většina obcí nevybírá poplatky za podání žádosti ani kauce, což snižuje finanční bariéry pro získání bydlení pro různé cílové skupiny.</w:t>
      </w:r>
      <w:r w:rsidR="009208DD" w:rsidRPr="00C24104">
        <w:rPr>
          <w:shd w:val="clear" w:color="auto" w:fill="FFFFFF"/>
        </w:rPr>
        <w:t xml:space="preserve"> Nicméně, délka nájemních smluv, včetně těch navazujících, </w:t>
      </w:r>
      <w:r w:rsidRPr="00C24104">
        <w:rPr>
          <w:shd w:val="clear" w:color="auto" w:fill="FFFFFF"/>
        </w:rPr>
        <w:t xml:space="preserve">je obvykle určitá, což může pro nájemníky představovat </w:t>
      </w:r>
      <w:r w:rsidR="009208DD" w:rsidRPr="00C24104">
        <w:rPr>
          <w:shd w:val="clear" w:color="auto" w:fill="FFFFFF"/>
        </w:rPr>
        <w:t xml:space="preserve">určitou </w:t>
      </w:r>
      <w:r w:rsidRPr="00C24104">
        <w:rPr>
          <w:shd w:val="clear" w:color="auto" w:fill="FFFFFF"/>
        </w:rPr>
        <w:t>nejistotu ohledně dlouhodobého řešení bytové situace.</w:t>
      </w:r>
      <w:r w:rsidR="009642CA" w:rsidRPr="00C24104">
        <w:rPr>
          <w:shd w:val="clear" w:color="auto" w:fill="FFFFFF"/>
        </w:rPr>
        <w:t xml:space="preserve"> </w:t>
      </w:r>
    </w:p>
    <w:p w14:paraId="312BBBD6" w14:textId="16B0F54B" w:rsidR="00CD29A0" w:rsidRPr="00C24104" w:rsidRDefault="00CD29A0" w:rsidP="00CD29A0">
      <w:pPr>
        <w:spacing w:before="120" w:after="0"/>
        <w:rPr>
          <w:shd w:val="clear" w:color="auto" w:fill="FFFFFF"/>
        </w:rPr>
      </w:pPr>
      <w:r w:rsidRPr="00C24104">
        <w:rPr>
          <w:shd w:val="clear" w:color="auto" w:fill="FFFFFF"/>
        </w:rPr>
        <w:t>Vývoj bydlení v</w:t>
      </w:r>
      <w:r w:rsidR="00C13B6F" w:rsidRPr="00C24104">
        <w:rPr>
          <w:shd w:val="clear" w:color="auto" w:fill="FFFFFF"/>
        </w:rPr>
        <w:t xml:space="preserve"> MSK </w:t>
      </w:r>
      <w:r w:rsidRPr="00C24104">
        <w:rPr>
          <w:shd w:val="clear" w:color="auto" w:fill="FFFFFF"/>
        </w:rPr>
        <w:t>i je v posledních letech výrazně ovlivněn aktivitami společnosti Heimstaden, která se stala jedním z hlavních poskytovatelů nájemního bydlení v</w:t>
      </w:r>
      <w:r w:rsidR="00C13B6F" w:rsidRPr="00C24104">
        <w:rPr>
          <w:shd w:val="clear" w:color="auto" w:fill="FFFFFF"/>
        </w:rPr>
        <w:t> </w:t>
      </w:r>
      <w:r w:rsidRPr="00C24104">
        <w:rPr>
          <w:shd w:val="clear" w:color="auto" w:fill="FFFFFF"/>
        </w:rPr>
        <w:t>regionu</w:t>
      </w:r>
      <w:r w:rsidR="00C13B6F" w:rsidRPr="00C24104">
        <w:rPr>
          <w:shd w:val="clear" w:color="auto" w:fill="FFFFFF"/>
        </w:rPr>
        <w:t>. V současnosti vlastní na území MSK přes</w:t>
      </w:r>
      <w:r w:rsidRPr="00C24104">
        <w:rPr>
          <w:shd w:val="clear" w:color="auto" w:fill="FFFFFF"/>
        </w:rPr>
        <w:t xml:space="preserve"> 42 000 byty</w:t>
      </w:r>
      <w:r w:rsidR="00C13B6F" w:rsidRPr="00C24104">
        <w:rPr>
          <w:shd w:val="clear" w:color="auto" w:fill="FFFFFF"/>
        </w:rPr>
        <w:t xml:space="preserve">. </w:t>
      </w:r>
      <w:r w:rsidRPr="00C24104">
        <w:rPr>
          <w:shd w:val="clear" w:color="auto" w:fill="FFFFFF"/>
        </w:rPr>
        <w:t>Její politika pronájmu se zakládá na posouzení bonity zájemců</w:t>
      </w:r>
      <w:r w:rsidR="00C13B6F" w:rsidRPr="00C24104">
        <w:rPr>
          <w:shd w:val="clear" w:color="auto" w:fill="FFFFFF"/>
        </w:rPr>
        <w:t xml:space="preserve"> a střetávání nabídky a poptávky. </w:t>
      </w:r>
      <w:r w:rsidR="004C0732" w:rsidRPr="00C24104">
        <w:rPr>
          <w:shd w:val="clear" w:color="auto" w:fill="FFFFFF"/>
        </w:rPr>
        <w:t xml:space="preserve">Společnost se snaží udržet krok s potřebami trhu a investuje do rozšiřování nabídky bytů, renovací a zvyšování kvality bydlení. </w:t>
      </w:r>
      <w:r w:rsidR="00C13B6F" w:rsidRPr="00C24104">
        <w:rPr>
          <w:shd w:val="clear" w:color="auto" w:fill="FFFFFF"/>
        </w:rPr>
        <w:t xml:space="preserve">Heimstaden se </w:t>
      </w:r>
      <w:r w:rsidR="00960D68" w:rsidRPr="00C24104">
        <w:rPr>
          <w:shd w:val="clear" w:color="auto" w:fill="FFFFFF"/>
        </w:rPr>
        <w:t xml:space="preserve">ve spolupráci s neziskovým sektorem nebo některými obcemi </w:t>
      </w:r>
      <w:r w:rsidR="00C13B6F" w:rsidRPr="00C24104">
        <w:rPr>
          <w:shd w:val="clear" w:color="auto" w:fill="FFFFFF"/>
        </w:rPr>
        <w:t xml:space="preserve">zaměřuje také na zájemce z řad osob ohrožených na volném trhu s bydlením – nízkopříjmové skupiny, seniory, osoby po výkonu trestu odnětí svobody, osoby v exekucích, mladé lidí </w:t>
      </w:r>
      <w:r w:rsidR="004C0732" w:rsidRPr="00C24104">
        <w:rPr>
          <w:shd w:val="clear" w:color="auto" w:fill="FFFFFF"/>
        </w:rPr>
        <w:t>opouštějící</w:t>
      </w:r>
      <w:r w:rsidR="00C13B6F" w:rsidRPr="00C24104">
        <w:rPr>
          <w:shd w:val="clear" w:color="auto" w:fill="FFFFFF"/>
        </w:rPr>
        <w:t xml:space="preserve"> náhradní rodinnou péči či ústavní zařízení, dále také na studenty nebo uprchlíky. </w:t>
      </w:r>
      <w:r w:rsidRPr="00C24104">
        <w:rPr>
          <w:shd w:val="clear" w:color="auto" w:fill="FFFFFF"/>
        </w:rPr>
        <w:t>Zvláště významná je</w:t>
      </w:r>
      <w:r w:rsidR="004C0732" w:rsidRPr="00C24104">
        <w:rPr>
          <w:shd w:val="clear" w:color="auto" w:fill="FFFFFF"/>
        </w:rPr>
        <w:t>v tomto směru</w:t>
      </w:r>
      <w:r w:rsidRPr="00C24104">
        <w:rPr>
          <w:shd w:val="clear" w:color="auto" w:fill="FFFFFF"/>
        </w:rPr>
        <w:t xml:space="preserve"> spolupráce </w:t>
      </w:r>
      <w:r w:rsidR="004C0732" w:rsidRPr="00C24104">
        <w:rPr>
          <w:shd w:val="clear" w:color="auto" w:fill="FFFFFF"/>
        </w:rPr>
        <w:t>Heimstaden s</w:t>
      </w:r>
      <w:r w:rsidRPr="00C24104">
        <w:rPr>
          <w:shd w:val="clear" w:color="auto" w:fill="FFFFFF"/>
        </w:rPr>
        <w:t xml:space="preserve"> neziskovými organizacemi</w:t>
      </w:r>
      <w:r w:rsidR="004C0732" w:rsidRPr="00C24104">
        <w:rPr>
          <w:shd w:val="clear" w:color="auto" w:fill="FFFFFF"/>
        </w:rPr>
        <w:t xml:space="preserve">. Jedná se o nájemce bytů Heimstaden, které tyto byty dále zprostředkovávají znevýhodněným osobám na základě podnájemních smluv. Obvyklou součástí bývá nějaká podoba sociální práce s těmito osobami – klienty těchto neziskových organizací. V některých případech organizace usilují o vytvoření </w:t>
      </w:r>
      <w:r w:rsidR="00960D68" w:rsidRPr="00C24104">
        <w:rPr>
          <w:shd w:val="clear" w:color="auto" w:fill="FFFFFF"/>
        </w:rPr>
        <w:t xml:space="preserve">nabídky bydlení inspirované filozofií </w:t>
      </w:r>
      <w:proofErr w:type="spellStart"/>
      <w:r w:rsidR="00960D68" w:rsidRPr="00C24104">
        <w:rPr>
          <w:shd w:val="clear" w:color="auto" w:fill="FFFFFF"/>
        </w:rPr>
        <w:t>Housing</w:t>
      </w:r>
      <w:proofErr w:type="spellEnd"/>
      <w:r w:rsidR="00960D68" w:rsidRPr="00C24104">
        <w:rPr>
          <w:shd w:val="clear" w:color="auto" w:fill="FFFFFF"/>
        </w:rPr>
        <w:t xml:space="preserve"> </w:t>
      </w:r>
      <w:proofErr w:type="spellStart"/>
      <w:r w:rsidR="00960D68" w:rsidRPr="00C24104">
        <w:rPr>
          <w:shd w:val="clear" w:color="auto" w:fill="FFFFFF"/>
        </w:rPr>
        <w:t>First</w:t>
      </w:r>
      <w:proofErr w:type="spellEnd"/>
      <w:r w:rsidR="00960D68" w:rsidRPr="00C24104">
        <w:rPr>
          <w:shd w:val="clear" w:color="auto" w:fill="FFFFFF"/>
        </w:rPr>
        <w:t>.</w:t>
      </w:r>
    </w:p>
    <w:p w14:paraId="4A1BF7CC" w14:textId="408A25B0" w:rsidR="009642CA" w:rsidRPr="00C24104" w:rsidRDefault="00CD29A0" w:rsidP="009642CA">
      <w:pPr>
        <w:spacing w:before="120" w:after="0"/>
        <w:rPr>
          <w:shd w:val="clear" w:color="auto" w:fill="FFFFFF"/>
        </w:rPr>
      </w:pPr>
      <w:r w:rsidRPr="00C24104">
        <w:rPr>
          <w:shd w:val="clear" w:color="auto" w:fill="FFFFFF"/>
        </w:rPr>
        <w:t>Analýza strategických materiálů obcí uk</w:t>
      </w:r>
      <w:r w:rsidR="004C0732" w:rsidRPr="00C24104">
        <w:rPr>
          <w:shd w:val="clear" w:color="auto" w:fill="FFFFFF"/>
        </w:rPr>
        <w:t>ázala</w:t>
      </w:r>
      <w:r w:rsidRPr="00C24104">
        <w:rPr>
          <w:shd w:val="clear" w:color="auto" w:fill="FFFFFF"/>
        </w:rPr>
        <w:t>, že problematika bydlení je ve středu pozornosti mnoha místních samospráv. Cílové skupiny jako senioři, sociálně znevýhodněné osoby nebo nízkopříjmové domácnosti jsou identifikovány jako klíčové subjekty, kterým je třeba zajistit adekvátní bydlení.</w:t>
      </w:r>
    </w:p>
    <w:p w14:paraId="37D57489" w14:textId="7B96581C" w:rsidR="00B742FE" w:rsidRPr="009642CA" w:rsidRDefault="004C0732" w:rsidP="009642CA">
      <w:pPr>
        <w:spacing w:before="120" w:after="0"/>
        <w:rPr>
          <w:shd w:val="clear" w:color="auto" w:fill="FFFFFF"/>
        </w:rPr>
      </w:pPr>
      <w:r w:rsidRPr="00C24104">
        <w:rPr>
          <w:shd w:val="clear" w:color="auto" w:fill="FFFFFF"/>
        </w:rPr>
        <w:t>D</w:t>
      </w:r>
      <w:r w:rsidR="00CD29A0" w:rsidRPr="00C24104">
        <w:rPr>
          <w:shd w:val="clear" w:color="auto" w:fill="FFFFFF"/>
        </w:rPr>
        <w:t xml:space="preserve">ynamika bytového trhu v </w:t>
      </w:r>
      <w:r w:rsidR="00C13B6F" w:rsidRPr="00C24104">
        <w:rPr>
          <w:shd w:val="clear" w:color="auto" w:fill="FFFFFF"/>
        </w:rPr>
        <w:t>MSK</w:t>
      </w:r>
      <w:r w:rsidR="00CD29A0" w:rsidRPr="00C24104">
        <w:rPr>
          <w:shd w:val="clear" w:color="auto" w:fill="FFFFFF"/>
        </w:rPr>
        <w:t xml:space="preserve"> odráží širší společenské a ekonomické trendy. Strategické kroky místních samospráv</w:t>
      </w:r>
      <w:r w:rsidR="009642CA" w:rsidRPr="00C24104">
        <w:rPr>
          <w:shd w:val="clear" w:color="auto" w:fill="FFFFFF"/>
        </w:rPr>
        <w:t xml:space="preserve">, ale i soukromých aktérů </w:t>
      </w:r>
      <w:r w:rsidRPr="00C24104">
        <w:rPr>
          <w:shd w:val="clear" w:color="auto" w:fill="FFFFFF"/>
        </w:rPr>
        <w:t xml:space="preserve">tedy bezpochyby </w:t>
      </w:r>
      <w:r w:rsidR="00C13B6F" w:rsidRPr="00C24104">
        <w:rPr>
          <w:shd w:val="clear" w:color="auto" w:fill="FFFFFF"/>
        </w:rPr>
        <w:t xml:space="preserve">sehrávají a </w:t>
      </w:r>
      <w:r w:rsidR="009642CA" w:rsidRPr="00C24104">
        <w:rPr>
          <w:shd w:val="clear" w:color="auto" w:fill="FFFFFF"/>
        </w:rPr>
        <w:t xml:space="preserve">mohou </w:t>
      </w:r>
      <w:r w:rsidRPr="00C24104">
        <w:rPr>
          <w:shd w:val="clear" w:color="auto" w:fill="FFFFFF"/>
        </w:rPr>
        <w:t xml:space="preserve">nadále </w:t>
      </w:r>
      <w:r w:rsidR="009642CA" w:rsidRPr="00C24104">
        <w:rPr>
          <w:shd w:val="clear" w:color="auto" w:fill="FFFFFF"/>
        </w:rPr>
        <w:t>sehrávat významnou</w:t>
      </w:r>
      <w:r w:rsidR="00CD29A0" w:rsidRPr="00C24104">
        <w:rPr>
          <w:shd w:val="clear" w:color="auto" w:fill="FFFFFF"/>
        </w:rPr>
        <w:t xml:space="preserve"> roli v utváření prostředí, které zajišťuje dostupné a kvalitní bydlení pro všechny vrstvy obyvatelstva.</w:t>
      </w:r>
      <w:bookmarkEnd w:id="5"/>
    </w:p>
    <w:sectPr w:rsidR="00B742FE" w:rsidRPr="009642CA">
      <w:headerReference w:type="default" r:id="rId16"/>
      <w:footerReference w:type="even" r:id="rId17"/>
      <w:footerReference w:type="default" r:id="rId18"/>
      <w:footerReference w:type="first" r:id="rId19"/>
      <w:type w:val="continuous"/>
      <w:pgSz w:w="11906" w:h="16838"/>
      <w:pgMar w:top="720" w:right="936" w:bottom="720" w:left="936" w:header="0" w:footer="28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7423D" w14:textId="77777777" w:rsidR="009C7E3F" w:rsidRDefault="009C7E3F">
      <w:pPr>
        <w:spacing w:after="0" w:line="240" w:lineRule="auto"/>
      </w:pPr>
      <w:r>
        <w:separator/>
      </w:r>
    </w:p>
  </w:endnote>
  <w:endnote w:type="continuationSeparator" w:id="0">
    <w:p w14:paraId="4552A450" w14:textId="77777777" w:rsidR="009C7E3F" w:rsidRDefault="009C7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A265" w14:textId="15AB9142" w:rsidR="0052185F" w:rsidRDefault="0052185F">
    <w:pPr>
      <w:pStyle w:val="Zpat"/>
    </w:pPr>
    <w:r>
      <w:rPr>
        <w:noProof/>
      </w:rPr>
      <mc:AlternateContent>
        <mc:Choice Requires="wps">
          <w:drawing>
            <wp:anchor distT="0" distB="0" distL="0" distR="0" simplePos="0" relativeHeight="251659264" behindDoc="0" locked="0" layoutInCell="1" allowOverlap="1" wp14:anchorId="71F045B9" wp14:editId="17FF4603">
              <wp:simplePos x="635" y="635"/>
              <wp:positionH relativeFrom="page">
                <wp:align>left</wp:align>
              </wp:positionH>
              <wp:positionV relativeFrom="page">
                <wp:align>bottom</wp:align>
              </wp:positionV>
              <wp:extent cx="1758950" cy="333375"/>
              <wp:effectExtent l="0" t="0" r="12700" b="0"/>
              <wp:wrapNone/>
              <wp:docPr id="10" name="Textové pole 10"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58950" cy="333375"/>
                      </a:xfrm>
                      <a:prstGeom prst="rect">
                        <a:avLst/>
                      </a:prstGeom>
                      <a:noFill/>
                      <a:ln>
                        <a:noFill/>
                      </a:ln>
                    </wps:spPr>
                    <wps:txbx>
                      <w:txbxContent>
                        <w:p w14:paraId="5909652F" w14:textId="587B9490"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F045B9" id="_x0000_t202" coordsize="21600,21600" o:spt="202" path="m,l,21600r21600,l21600,xe">
              <v:stroke joinstyle="miter"/>
              <v:path gradientshapeok="t" o:connecttype="rect"/>
            </v:shapetype>
            <v:shape id="Textové pole 10" o:spid="_x0000_s1027" type="#_x0000_t202" alt="Klasifikace informací: Neveřejné" style="position:absolute;left:0;text-align:left;margin-left:0;margin-top:0;width:138.5pt;height:26.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" filled="f" stroked="f">
              <v:fill o:detectmouseclick="t"/>
              <v:textbox style="mso-fit-shape-to-text:t" inset="20pt,0,0,15pt">
                <w:txbxContent>
                  <w:p w14:paraId="5909652F" w14:textId="587B9490"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3188" w14:textId="6A365585" w:rsidR="00F7495D" w:rsidRDefault="0052185F">
    <w:pPr>
      <w:pStyle w:val="Zpat"/>
      <w:jc w:val="center"/>
    </w:pPr>
    <w:r>
      <w:rPr>
        <w:noProof/>
        <w:lang w:bidi="cs-CZ"/>
      </w:rPr>
      <mc:AlternateContent>
        <mc:Choice Requires="wps">
          <w:drawing>
            <wp:anchor distT="0" distB="0" distL="0" distR="0" simplePos="0" relativeHeight="251660288" behindDoc="0" locked="0" layoutInCell="1" allowOverlap="1" wp14:anchorId="417BB418" wp14:editId="3898D71E">
              <wp:simplePos x="635" y="635"/>
              <wp:positionH relativeFrom="page">
                <wp:align>left</wp:align>
              </wp:positionH>
              <wp:positionV relativeFrom="page">
                <wp:align>bottom</wp:align>
              </wp:positionV>
              <wp:extent cx="1758950" cy="333375"/>
              <wp:effectExtent l="0" t="0" r="12700" b="0"/>
              <wp:wrapNone/>
              <wp:docPr id="11" name="Textové pole 1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58950" cy="333375"/>
                      </a:xfrm>
                      <a:prstGeom prst="rect">
                        <a:avLst/>
                      </a:prstGeom>
                      <a:noFill/>
                      <a:ln>
                        <a:noFill/>
                      </a:ln>
                    </wps:spPr>
                    <wps:txbx>
                      <w:txbxContent>
                        <w:p w14:paraId="673C86FC" w14:textId="18135461"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7BB418" id="_x0000_t202" coordsize="21600,21600" o:spt="202" path="m,l,21600r21600,l21600,xe">
              <v:stroke joinstyle="miter"/>
              <v:path gradientshapeok="t" o:connecttype="rect"/>
            </v:shapetype>
            <v:shape id="Textové pole 11" o:spid="_x0000_s1028" type="#_x0000_t202" alt="Klasifikace informací: Neveřejné" style="position:absolute;left:0;text-align:left;margin-left:0;margin-top:0;width:138.5pt;height:26.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" filled="f" stroked="f">
              <v:fill o:detectmouseclick="t"/>
              <v:textbox style="mso-fit-shape-to-text:t" inset="20pt,0,0,15pt">
                <w:txbxContent>
                  <w:p w14:paraId="673C86FC" w14:textId="18135461"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v:textbox>
              <w10:wrap anchorx="page" anchory="page"/>
            </v:shape>
          </w:pict>
        </mc:Fallback>
      </mc:AlternateContent>
    </w:r>
    <w:r w:rsidR="00F7495D">
      <w:rPr>
        <w:lang w:bidi="cs-CZ"/>
      </w:rPr>
      <w:fldChar w:fldCharType="begin"/>
    </w:r>
    <w:r w:rsidR="00F7495D">
      <w:rPr>
        <w:lang w:bidi="cs-CZ"/>
      </w:rPr>
      <w:instrText xml:space="preserve"> PAGE </w:instrText>
    </w:r>
    <w:r w:rsidR="00F7495D">
      <w:rPr>
        <w:lang w:bidi="cs-CZ"/>
      </w:rPr>
      <w:fldChar w:fldCharType="separate"/>
    </w:r>
    <w:r w:rsidR="00C24104">
      <w:rPr>
        <w:noProof/>
        <w:lang w:bidi="cs-CZ"/>
      </w:rPr>
      <w:t>2</w:t>
    </w:r>
    <w:r w:rsidR="00F7495D">
      <w:rPr>
        <w:lang w:bidi="cs-CZ"/>
      </w:rPr>
      <w:fldChar w:fldCharType="end"/>
    </w:r>
  </w:p>
  <w:p w14:paraId="61B6D7EA" w14:textId="77777777" w:rsidR="00F7495D" w:rsidRDefault="00F7495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B594" w14:textId="669BB05A" w:rsidR="0052185F" w:rsidRDefault="0052185F">
    <w:pPr>
      <w:pStyle w:val="Zpat"/>
    </w:pPr>
    <w:r>
      <w:rPr>
        <w:noProof/>
      </w:rPr>
      <mc:AlternateContent>
        <mc:Choice Requires="wps">
          <w:drawing>
            <wp:anchor distT="0" distB="0" distL="0" distR="0" simplePos="0" relativeHeight="251658240" behindDoc="0" locked="0" layoutInCell="1" allowOverlap="1" wp14:anchorId="7DC96BEC" wp14:editId="7D3D985A">
              <wp:simplePos x="635" y="635"/>
              <wp:positionH relativeFrom="page">
                <wp:align>left</wp:align>
              </wp:positionH>
              <wp:positionV relativeFrom="page">
                <wp:align>bottom</wp:align>
              </wp:positionV>
              <wp:extent cx="1758950" cy="333375"/>
              <wp:effectExtent l="0" t="0" r="12700" b="0"/>
              <wp:wrapNone/>
              <wp:docPr id="9" name="Textové pole 9"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58950" cy="333375"/>
                      </a:xfrm>
                      <a:prstGeom prst="rect">
                        <a:avLst/>
                      </a:prstGeom>
                      <a:noFill/>
                      <a:ln>
                        <a:noFill/>
                      </a:ln>
                    </wps:spPr>
                    <wps:txbx>
                      <w:txbxContent>
                        <w:p w14:paraId="06E4D955" w14:textId="14723A91"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C96BEC" id="_x0000_t202" coordsize="21600,21600" o:spt="202" path="m,l,21600r21600,l21600,xe">
              <v:stroke joinstyle="miter"/>
              <v:path gradientshapeok="t" o:connecttype="rect"/>
            </v:shapetype>
            <v:shape id="Textové pole 9" o:spid="_x0000_s1029" type="#_x0000_t202" alt="Klasifikace informací: Neveřejné" style="position:absolute;left:0;text-align:left;margin-left:0;margin-top:0;width:138.5pt;height:26.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" filled="f" stroked="f">
              <v:fill o:detectmouseclick="t"/>
              <v:textbox style="mso-fit-shape-to-text:t" inset="20pt,0,0,15pt">
                <w:txbxContent>
                  <w:p w14:paraId="06E4D955" w14:textId="14723A91" w:rsidR="0052185F" w:rsidRPr="0052185F" w:rsidRDefault="0052185F" w:rsidP="0052185F">
                    <w:pPr>
                      <w:spacing w:after="0"/>
                      <w:rPr>
                        <w:rFonts w:ascii="Calibri" w:eastAsia="Calibri" w:hAnsi="Calibri" w:cs="Calibri"/>
                        <w:noProof/>
                        <w:color w:val="000000"/>
                        <w:sz w:val="18"/>
                        <w:szCs w:val="18"/>
                      </w:rPr>
                    </w:pPr>
                    <w:r w:rsidRPr="0052185F">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AB911" w14:textId="77777777" w:rsidR="009C7E3F" w:rsidRDefault="009C7E3F">
      <w:pPr>
        <w:spacing w:after="0" w:line="240" w:lineRule="auto"/>
      </w:pPr>
      <w:r>
        <w:rPr>
          <w:color w:val="000000"/>
        </w:rPr>
        <w:separator/>
      </w:r>
    </w:p>
  </w:footnote>
  <w:footnote w:type="continuationSeparator" w:id="0">
    <w:p w14:paraId="4B9DCED1" w14:textId="77777777" w:rsidR="009C7E3F" w:rsidRDefault="009C7E3F">
      <w:pPr>
        <w:spacing w:after="0" w:line="240" w:lineRule="auto"/>
      </w:pPr>
      <w:r>
        <w:continuationSeparator/>
      </w:r>
    </w:p>
  </w:footnote>
  <w:footnote w:id="1">
    <w:p w14:paraId="7F116A9A" w14:textId="77777777" w:rsidR="00DA1F59" w:rsidRDefault="00DA1F59" w:rsidP="00DA1F59">
      <w:pPr>
        <w:pStyle w:val="Textpoznpodarou"/>
      </w:pPr>
      <w:r>
        <w:rPr>
          <w:rStyle w:val="Znakapoznpodarou"/>
        </w:rPr>
        <w:footnoteRef/>
      </w:r>
      <w:r>
        <w:t xml:space="preserve"> § 35, odst. 2 Zákona č. 128/2000 Sb., o obcích (obecní zřízení)</w:t>
      </w:r>
    </w:p>
  </w:footnote>
  <w:footnote w:id="2">
    <w:p w14:paraId="261E497A" w14:textId="77777777" w:rsidR="00DA1F59" w:rsidRDefault="00DA1F59" w:rsidP="00DA1F59">
      <w:pPr>
        <w:pStyle w:val="Textpoznpodarou"/>
      </w:pPr>
      <w:r>
        <w:rPr>
          <w:rStyle w:val="Znakapoznpodarou"/>
        </w:rPr>
        <w:footnoteRef/>
      </w:r>
      <w:r>
        <w:t xml:space="preserve"> § 38, odst. 2 Zákona č. 128/2000 Sb., o obcích (obecní zřízení)</w:t>
      </w:r>
    </w:p>
  </w:footnote>
  <w:footnote w:id="3">
    <w:p w14:paraId="0411551B" w14:textId="4CDFDD46" w:rsidR="00F7495D" w:rsidRPr="00C24104" w:rsidRDefault="00F7495D" w:rsidP="00E557EA">
      <w:pPr>
        <w:pStyle w:val="Textpoznpodarou"/>
      </w:pPr>
      <w:r w:rsidRPr="00C24104">
        <w:rPr>
          <w:rStyle w:val="Znakapoznpodarou"/>
        </w:rPr>
        <w:footnoteRef/>
      </w:r>
      <w:r w:rsidRPr="00C24104">
        <w:t xml:space="preserve"> Míra sociálního vyloučení je vyjadřována indexem sociálního vyloučení, popsaným výše v textu.</w:t>
      </w:r>
    </w:p>
  </w:footnote>
  <w:footnote w:id="4">
    <w:p w14:paraId="79E9C7D2" w14:textId="2C89765F" w:rsidR="00F7495D" w:rsidRPr="00C24104" w:rsidRDefault="00F7495D" w:rsidP="00B03F37">
      <w:pPr>
        <w:spacing w:line="240" w:lineRule="auto"/>
        <w:rPr>
          <w:sz w:val="20"/>
          <w:szCs w:val="20"/>
        </w:rPr>
      </w:pPr>
      <w:r w:rsidRPr="00C24104">
        <w:rPr>
          <w:rStyle w:val="Znakapoznpodarou"/>
          <w:sz w:val="20"/>
          <w:szCs w:val="20"/>
        </w:rPr>
        <w:footnoteRef/>
      </w:r>
      <w:r w:rsidR="00B03F37" w:rsidRPr="00C24104">
        <w:rPr>
          <w:sz w:val="20"/>
          <w:szCs w:val="20"/>
        </w:rPr>
        <w:t xml:space="preserve"> </w:t>
      </w:r>
      <w:r w:rsidR="00B03F37" w:rsidRPr="00C24104">
        <w:rPr>
          <w:i/>
          <w:sz w:val="20"/>
          <w:szCs w:val="20"/>
        </w:rPr>
        <w:t xml:space="preserve">Zpráva společnosti 2022 </w:t>
      </w:r>
      <w:r w:rsidR="00B03F37" w:rsidRPr="00C24104">
        <w:rPr>
          <w:rFonts w:cs="Calibri"/>
          <w:sz w:val="20"/>
          <w:szCs w:val="20"/>
        </w:rPr>
        <w:t>[</w:t>
      </w:r>
      <w:r w:rsidR="00B03F37" w:rsidRPr="00C24104">
        <w:rPr>
          <w:sz w:val="20"/>
          <w:szCs w:val="20"/>
        </w:rPr>
        <w:t>online</w:t>
      </w:r>
      <w:r w:rsidR="00B03F37" w:rsidRPr="00C24104">
        <w:rPr>
          <w:rFonts w:cs="Calibri"/>
          <w:sz w:val="20"/>
          <w:szCs w:val="20"/>
        </w:rPr>
        <w:t>]</w:t>
      </w:r>
      <w:r w:rsidR="00B03F37" w:rsidRPr="00C24104">
        <w:rPr>
          <w:sz w:val="20"/>
          <w:szCs w:val="20"/>
        </w:rPr>
        <w:t xml:space="preserve">. </w:t>
      </w:r>
      <w:r w:rsidR="00B03F37" w:rsidRPr="00C24104">
        <w:rPr>
          <w:rFonts w:cs="Calibri"/>
          <w:sz w:val="20"/>
          <w:szCs w:val="20"/>
        </w:rPr>
        <w:t>[</w:t>
      </w:r>
      <w:r w:rsidR="00B03F37" w:rsidRPr="00C24104">
        <w:rPr>
          <w:sz w:val="20"/>
          <w:szCs w:val="20"/>
        </w:rPr>
        <w:t>cit. 6/5/2024</w:t>
      </w:r>
      <w:r w:rsidR="00B03F37" w:rsidRPr="00C24104">
        <w:rPr>
          <w:rFonts w:cs="Calibri"/>
          <w:sz w:val="20"/>
          <w:szCs w:val="20"/>
        </w:rPr>
        <w:t>].</w:t>
      </w:r>
      <w:r w:rsidR="00B03F37" w:rsidRPr="00C24104">
        <w:rPr>
          <w:sz w:val="20"/>
          <w:szCs w:val="20"/>
        </w:rPr>
        <w:t xml:space="preserve"> Dostupné z: </w:t>
      </w:r>
      <w:hyperlink r:id="rId1" w:history="1">
        <w:r w:rsidR="00B03F37" w:rsidRPr="00C24104">
          <w:rPr>
            <w:rStyle w:val="Hypertextovodkaz"/>
            <w:sz w:val="20"/>
            <w:szCs w:val="20"/>
          </w:rPr>
          <w:t>https://heimstaden.cz/uploads/O-nas/Dokumenty/heimstaden_zprava_spolecnosti_2022_cz.pdf</w:t>
        </w:r>
      </w:hyperlink>
    </w:p>
  </w:footnote>
  <w:footnote w:id="5">
    <w:p w14:paraId="1572452E" w14:textId="0497FCB5" w:rsidR="00F7495D" w:rsidRPr="00C24104" w:rsidRDefault="00F7495D" w:rsidP="00BC79E4">
      <w:pPr>
        <w:pStyle w:val="Textpoznpodarou"/>
      </w:pPr>
      <w:r w:rsidRPr="00C24104">
        <w:rPr>
          <w:rStyle w:val="Znakapoznpodarou"/>
        </w:rPr>
        <w:footnoteRef/>
      </w:r>
      <w:r w:rsidRPr="00C24104">
        <w:t xml:space="preserve"> Například telefonická podpora ukrajinsky mluvícího pracovníka pro nájemníky společnosti Heimstaden ukrajinské národnosti při zajišťování záležitostí spojených s bydlením. Pro seniory pak dále také telefonní linka, na které může být seniorům poskytnuta podpora ve smyslu zjištění kontaktu na zdravotní či sociální služby, zprostředkování hodinového manžela, provoz komunitních center ARCHA pro seniory v nebytových prostorách Heimstaden (například v Porubě). Cíle těchto opatření je, aby senioři zůstávali ve svém stávajícím bydlení co nejdéle.</w:t>
      </w:r>
    </w:p>
  </w:footnote>
  <w:footnote w:id="6">
    <w:p w14:paraId="262022D0" w14:textId="5EAF77FA" w:rsidR="00F7495D" w:rsidRDefault="00F7495D" w:rsidP="00BC57B1">
      <w:pPr>
        <w:spacing w:line="240" w:lineRule="auto"/>
      </w:pPr>
      <w:r w:rsidRPr="00C24104">
        <w:rPr>
          <w:rStyle w:val="Znakapoznpodarou"/>
          <w:sz w:val="20"/>
          <w:szCs w:val="20"/>
        </w:rPr>
        <w:footnoteRef/>
      </w:r>
      <w:r w:rsidRPr="00C24104">
        <w:rPr>
          <w:sz w:val="20"/>
          <w:szCs w:val="20"/>
        </w:rPr>
        <w:t xml:space="preserve"> </w:t>
      </w:r>
      <w:r w:rsidR="00B03F37" w:rsidRPr="00C24104">
        <w:rPr>
          <w:rFonts w:eastAsia="Times New Roman"/>
          <w:i/>
          <w:color w:val="000000"/>
          <w:sz w:val="20"/>
          <w:szCs w:val="20"/>
          <w:lang w:eastAsia="cs-CZ"/>
        </w:rPr>
        <w:t>Zpráva společnosti 2022</w:t>
      </w:r>
      <w:r w:rsidR="00B03F37" w:rsidRPr="00C24104">
        <w:rPr>
          <w:rFonts w:eastAsia="Times New Roman"/>
          <w:color w:val="000000"/>
          <w:sz w:val="20"/>
          <w:szCs w:val="20"/>
          <w:lang w:eastAsia="cs-CZ"/>
        </w:rPr>
        <w:t xml:space="preserve"> [online]. [cit. 6/5/2024]. Dostupné z: https://heimstaden.cz/uploads/O-nas/Dokumenty/heimstaden_zprava_spolecnosti_2022_cz.pdf</w:t>
      </w:r>
    </w:p>
  </w:footnote>
  <w:footnote w:id="7">
    <w:p w14:paraId="411BB0F9" w14:textId="3AB04FBB" w:rsidR="00B03F37" w:rsidRDefault="00B03F37">
      <w:pPr>
        <w:pStyle w:val="Textpoznpodarou"/>
      </w:pPr>
      <w:r w:rsidRPr="00C24104">
        <w:rPr>
          <w:rStyle w:val="Znakapoznpodarou"/>
        </w:rPr>
        <w:footnoteRef/>
      </w:r>
      <w:r w:rsidRPr="00C24104">
        <w:t xml:space="preserve"> Město Ostrava dále disponuje materiálem </w:t>
      </w:r>
      <w:r w:rsidRPr="00C24104">
        <w:rPr>
          <w:rFonts w:eastAsia="Times New Roman"/>
          <w:i/>
          <w:color w:val="000000"/>
          <w:lang w:eastAsia="cs-CZ"/>
        </w:rPr>
        <w:t>Akční plán koncepce sociálního bydlení SMO 2022-2024</w:t>
      </w:r>
      <w:r w:rsidRPr="00C24104">
        <w:rPr>
          <w:rFonts w:eastAsia="Times New Roman"/>
          <w:color w:val="000000"/>
          <w:lang w:eastAsia="cs-CZ"/>
        </w:rPr>
        <w:t>, jehož cíle, cílové skupiny či organizace zapojené do implementace opatření byly zohledněny v rámci zapracování připomínek zadavatele. Tento materiál se, mimo jiné, věnuje cíli „</w:t>
      </w:r>
      <w:r w:rsidRPr="00C24104">
        <w:rPr>
          <w:rFonts w:cstheme="majorHAnsi"/>
        </w:rPr>
        <w:t>sociální bydlení“ a cílovým skupinám „osoby bez domova“ a „oběti domácího násilí“.  Mezi subjekty zapojené do realizace stanovených cílů pak patří i Ostravská univerzita.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CellMar>
        <w:left w:w="10" w:type="dxa"/>
        <w:right w:w="10" w:type="dxa"/>
      </w:tblCellMar>
      <w:tblLook w:val="04A0" w:firstRow="1" w:lastRow="0" w:firstColumn="1" w:lastColumn="0" w:noHBand="0" w:noVBand="1"/>
    </w:tblPr>
    <w:tblGrid>
      <w:gridCol w:w="10035"/>
    </w:tblGrid>
    <w:tr w:rsidR="00F7495D" w14:paraId="666C736C" w14:textId="77777777">
      <w:trPr>
        <w:trHeight w:val="978"/>
      </w:trPr>
      <w:tc>
        <w:tcPr>
          <w:tcW w:w="10035" w:type="dxa"/>
          <w:tcBorders>
            <w:bottom w:val="single" w:sz="36" w:space="0" w:color="404040"/>
          </w:tcBorders>
          <w:shd w:val="clear" w:color="auto" w:fill="auto"/>
          <w:tcMar>
            <w:top w:w="0" w:type="dxa"/>
            <w:left w:w="108" w:type="dxa"/>
            <w:bottom w:w="0" w:type="dxa"/>
            <w:right w:w="108" w:type="dxa"/>
          </w:tcMar>
        </w:tcPr>
        <w:p w14:paraId="4BB7D4D3" w14:textId="77777777" w:rsidR="00F7495D" w:rsidRDefault="00F7495D">
          <w:pPr>
            <w:pStyle w:val="Zhlav"/>
          </w:pPr>
        </w:p>
      </w:tc>
    </w:tr>
  </w:tbl>
  <w:p w14:paraId="6994EF17" w14:textId="77777777" w:rsidR="00F7495D" w:rsidRDefault="00F7495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585B"/>
    <w:multiLevelType w:val="hybridMultilevel"/>
    <w:tmpl w:val="E6085F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DF2A7C"/>
    <w:multiLevelType w:val="hybridMultilevel"/>
    <w:tmpl w:val="443C25D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ED5145"/>
    <w:multiLevelType w:val="hybridMultilevel"/>
    <w:tmpl w:val="356CFB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E069FA"/>
    <w:multiLevelType w:val="hybridMultilevel"/>
    <w:tmpl w:val="EBC8FFB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901075"/>
    <w:multiLevelType w:val="hybridMultilevel"/>
    <w:tmpl w:val="39827D0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5883D60"/>
    <w:multiLevelType w:val="hybridMultilevel"/>
    <w:tmpl w:val="24FC28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8334FF"/>
    <w:multiLevelType w:val="multilevel"/>
    <w:tmpl w:val="5A526CFE"/>
    <w:lvl w:ilvl="0">
      <w:start w:val="1"/>
      <w:numFmt w:val="decimal"/>
      <w:pStyle w:val="Nadpis1"/>
      <w:lvlText w:val="%1"/>
      <w:lvlJc w:val="left"/>
      <w:pPr>
        <w:ind w:left="10496" w:hanging="432"/>
      </w:pPr>
    </w:lvl>
    <w:lvl w:ilvl="1">
      <w:start w:val="1"/>
      <w:numFmt w:val="decimal"/>
      <w:pStyle w:val="Nadpis2"/>
      <w:lvlText w:val="%1.%2"/>
      <w:lvlJc w:val="left"/>
      <w:pPr>
        <w:ind w:left="576" w:hanging="576"/>
      </w:pPr>
      <w:rPr>
        <w:b/>
        <w:sz w:val="32"/>
        <w:szCs w:val="32"/>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BA655F0"/>
    <w:multiLevelType w:val="hybridMultilevel"/>
    <w:tmpl w:val="2EC0F7B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7CC66F3"/>
    <w:multiLevelType w:val="hybridMultilevel"/>
    <w:tmpl w:val="7F4866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9B6130"/>
    <w:multiLevelType w:val="hybridMultilevel"/>
    <w:tmpl w:val="A67C5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05D2CAA"/>
    <w:multiLevelType w:val="hybridMultilevel"/>
    <w:tmpl w:val="4704DBC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A954A6"/>
    <w:multiLevelType w:val="hybridMultilevel"/>
    <w:tmpl w:val="719845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363A38"/>
    <w:multiLevelType w:val="hybridMultilevel"/>
    <w:tmpl w:val="6D7CCEE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B5E3816"/>
    <w:multiLevelType w:val="hybridMultilevel"/>
    <w:tmpl w:val="E94CA7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8E0243"/>
    <w:multiLevelType w:val="hybridMultilevel"/>
    <w:tmpl w:val="E9FE3DEC"/>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D314338"/>
    <w:multiLevelType w:val="hybridMultilevel"/>
    <w:tmpl w:val="FF9C937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ECB2791"/>
    <w:multiLevelType w:val="hybridMultilevel"/>
    <w:tmpl w:val="2B96961A"/>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29507AC"/>
    <w:multiLevelType w:val="hybridMultilevel"/>
    <w:tmpl w:val="4A78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4F81B97"/>
    <w:multiLevelType w:val="hybridMultilevel"/>
    <w:tmpl w:val="6BE821B2"/>
    <w:lvl w:ilvl="0" w:tplc="0405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7DE63F7"/>
    <w:multiLevelType w:val="hybridMultilevel"/>
    <w:tmpl w:val="719246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40162D"/>
    <w:multiLevelType w:val="hybridMultilevel"/>
    <w:tmpl w:val="FBF484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CC273E1"/>
    <w:multiLevelType w:val="hybridMultilevel"/>
    <w:tmpl w:val="96B6483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A12DB1"/>
    <w:multiLevelType w:val="hybridMultilevel"/>
    <w:tmpl w:val="3E664E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3A01D7"/>
    <w:multiLevelType w:val="hybridMultilevel"/>
    <w:tmpl w:val="A1C806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3651EEC"/>
    <w:multiLevelType w:val="hybridMultilevel"/>
    <w:tmpl w:val="EA183B3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5917D9"/>
    <w:multiLevelType w:val="hybridMultilevel"/>
    <w:tmpl w:val="4E080F38"/>
    <w:lvl w:ilvl="0" w:tplc="0830563A">
      <w:start w:val="7"/>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F406B6"/>
    <w:multiLevelType w:val="hybridMultilevel"/>
    <w:tmpl w:val="63DEDB92"/>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F44676"/>
    <w:multiLevelType w:val="hybridMultilevel"/>
    <w:tmpl w:val="C032F8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DF40FB"/>
    <w:multiLevelType w:val="hybridMultilevel"/>
    <w:tmpl w:val="4CF0194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C487721"/>
    <w:multiLevelType w:val="hybridMultilevel"/>
    <w:tmpl w:val="FD54410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01133A2"/>
    <w:multiLevelType w:val="hybridMultilevel"/>
    <w:tmpl w:val="FF7268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04A40F5"/>
    <w:multiLevelType w:val="hybridMultilevel"/>
    <w:tmpl w:val="5F2228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EE31FD"/>
    <w:multiLevelType w:val="hybridMultilevel"/>
    <w:tmpl w:val="ED14ABF6"/>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1F53246"/>
    <w:multiLevelType w:val="hybridMultilevel"/>
    <w:tmpl w:val="B1F475B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642C394F"/>
    <w:multiLevelType w:val="hybridMultilevel"/>
    <w:tmpl w:val="4A78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9620DD"/>
    <w:multiLevelType w:val="hybridMultilevel"/>
    <w:tmpl w:val="F1E44F5C"/>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5856EF2"/>
    <w:multiLevelType w:val="hybridMultilevel"/>
    <w:tmpl w:val="17C8D610"/>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65DA3185"/>
    <w:multiLevelType w:val="hybridMultilevel"/>
    <w:tmpl w:val="A67C5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95364CA"/>
    <w:multiLevelType w:val="hybridMultilevel"/>
    <w:tmpl w:val="E23C9D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AAD2B88"/>
    <w:multiLevelType w:val="hybridMultilevel"/>
    <w:tmpl w:val="9AFE6B8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AD944BE"/>
    <w:multiLevelType w:val="hybridMultilevel"/>
    <w:tmpl w:val="8CF89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CE1D7F"/>
    <w:multiLevelType w:val="hybridMultilevel"/>
    <w:tmpl w:val="9D82F9EC"/>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61C5C54"/>
    <w:multiLevelType w:val="hybridMultilevel"/>
    <w:tmpl w:val="AAFAD5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B0D0728"/>
    <w:multiLevelType w:val="hybridMultilevel"/>
    <w:tmpl w:val="4A78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D614759"/>
    <w:multiLevelType w:val="hybridMultilevel"/>
    <w:tmpl w:val="E202E8EE"/>
    <w:lvl w:ilvl="0" w:tplc="E0C21C2E">
      <w:numFmt w:val="bullet"/>
      <w:lvlText w:val="-"/>
      <w:lvlJc w:val="left"/>
      <w:pPr>
        <w:ind w:left="720" w:hanging="360"/>
      </w:pPr>
      <w:rPr>
        <w:rFonts w:ascii="Arial Narrow" w:eastAsiaTheme="minorEastAsia"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DB9744A"/>
    <w:multiLevelType w:val="hybridMultilevel"/>
    <w:tmpl w:val="A67C5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67098051">
    <w:abstractNumId w:val="6"/>
  </w:num>
  <w:num w:numId="2" w16cid:durableId="5743628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8414048">
    <w:abstractNumId w:val="25"/>
  </w:num>
  <w:num w:numId="4" w16cid:durableId="653722596">
    <w:abstractNumId w:val="9"/>
  </w:num>
  <w:num w:numId="5" w16cid:durableId="1993368669">
    <w:abstractNumId w:val="17"/>
  </w:num>
  <w:num w:numId="6" w16cid:durableId="1006711105">
    <w:abstractNumId w:val="45"/>
  </w:num>
  <w:num w:numId="7" w16cid:durableId="669333064">
    <w:abstractNumId w:val="34"/>
  </w:num>
  <w:num w:numId="8" w16cid:durableId="313417461">
    <w:abstractNumId w:val="37"/>
  </w:num>
  <w:num w:numId="9" w16cid:durableId="1854297032">
    <w:abstractNumId w:val="43"/>
  </w:num>
  <w:num w:numId="10" w16cid:durableId="626161411">
    <w:abstractNumId w:val="40"/>
  </w:num>
  <w:num w:numId="11" w16cid:durableId="892425651">
    <w:abstractNumId w:val="38"/>
  </w:num>
  <w:num w:numId="12" w16cid:durableId="370301520">
    <w:abstractNumId w:val="31"/>
  </w:num>
  <w:num w:numId="13" w16cid:durableId="718166823">
    <w:abstractNumId w:val="22"/>
  </w:num>
  <w:num w:numId="14" w16cid:durableId="620189398">
    <w:abstractNumId w:val="32"/>
  </w:num>
  <w:num w:numId="15" w16cid:durableId="373895502">
    <w:abstractNumId w:val="35"/>
  </w:num>
  <w:num w:numId="16" w16cid:durableId="1537549326">
    <w:abstractNumId w:val="41"/>
  </w:num>
  <w:num w:numId="17" w16cid:durableId="1110395041">
    <w:abstractNumId w:val="16"/>
  </w:num>
  <w:num w:numId="18" w16cid:durableId="1363167035">
    <w:abstractNumId w:val="26"/>
  </w:num>
  <w:num w:numId="19" w16cid:durableId="2014451453">
    <w:abstractNumId w:val="44"/>
  </w:num>
  <w:num w:numId="20" w16cid:durableId="1680235823">
    <w:abstractNumId w:val="5"/>
  </w:num>
  <w:num w:numId="21" w16cid:durableId="1982151022">
    <w:abstractNumId w:val="3"/>
  </w:num>
  <w:num w:numId="22" w16cid:durableId="686643637">
    <w:abstractNumId w:val="11"/>
  </w:num>
  <w:num w:numId="23" w16cid:durableId="646327672">
    <w:abstractNumId w:val="12"/>
  </w:num>
  <w:num w:numId="24" w16cid:durableId="1085491860">
    <w:abstractNumId w:val="8"/>
  </w:num>
  <w:num w:numId="25" w16cid:durableId="566500803">
    <w:abstractNumId w:val="19"/>
  </w:num>
  <w:num w:numId="26" w16cid:durableId="578291637">
    <w:abstractNumId w:val="24"/>
  </w:num>
  <w:num w:numId="27" w16cid:durableId="903949674">
    <w:abstractNumId w:val="2"/>
  </w:num>
  <w:num w:numId="28" w16cid:durableId="1864855909">
    <w:abstractNumId w:val="21"/>
  </w:num>
  <w:num w:numId="29" w16cid:durableId="1533377880">
    <w:abstractNumId w:val="10"/>
  </w:num>
  <w:num w:numId="30" w16cid:durableId="1180510915">
    <w:abstractNumId w:val="13"/>
  </w:num>
  <w:num w:numId="31" w16cid:durableId="1347252681">
    <w:abstractNumId w:val="30"/>
  </w:num>
  <w:num w:numId="32" w16cid:durableId="1281373842">
    <w:abstractNumId w:val="1"/>
  </w:num>
  <w:num w:numId="33" w16cid:durableId="1364674308">
    <w:abstractNumId w:val="7"/>
  </w:num>
  <w:num w:numId="34" w16cid:durableId="1510410293">
    <w:abstractNumId w:val="18"/>
  </w:num>
  <w:num w:numId="35" w16cid:durableId="557983752">
    <w:abstractNumId w:val="36"/>
  </w:num>
  <w:num w:numId="36" w16cid:durableId="849641421">
    <w:abstractNumId w:val="33"/>
  </w:num>
  <w:num w:numId="37" w16cid:durableId="1583680824">
    <w:abstractNumId w:val="15"/>
  </w:num>
  <w:num w:numId="38" w16cid:durableId="1976056902">
    <w:abstractNumId w:val="4"/>
  </w:num>
  <w:num w:numId="39" w16cid:durableId="2070762059">
    <w:abstractNumId w:val="14"/>
  </w:num>
  <w:num w:numId="40" w16cid:durableId="680353818">
    <w:abstractNumId w:val="23"/>
  </w:num>
  <w:num w:numId="41" w16cid:durableId="120421203">
    <w:abstractNumId w:val="0"/>
  </w:num>
  <w:num w:numId="42" w16cid:durableId="1799453081">
    <w:abstractNumId w:val="42"/>
  </w:num>
  <w:num w:numId="43" w16cid:durableId="595360536">
    <w:abstractNumId w:val="39"/>
  </w:num>
  <w:num w:numId="44" w16cid:durableId="1590307937">
    <w:abstractNumId w:val="29"/>
  </w:num>
  <w:num w:numId="45" w16cid:durableId="36510431">
    <w:abstractNumId w:val="28"/>
  </w:num>
  <w:num w:numId="46" w16cid:durableId="1031809557">
    <w:abstractNumId w:val="20"/>
  </w:num>
  <w:num w:numId="47" w16cid:durableId="2110814674">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2A5"/>
    <w:rsid w:val="00001A6E"/>
    <w:rsid w:val="00001F96"/>
    <w:rsid w:val="0000220C"/>
    <w:rsid w:val="00003275"/>
    <w:rsid w:val="0000560F"/>
    <w:rsid w:val="00016200"/>
    <w:rsid w:val="00023D22"/>
    <w:rsid w:val="00034C18"/>
    <w:rsid w:val="00052C0E"/>
    <w:rsid w:val="00061C20"/>
    <w:rsid w:val="000729C4"/>
    <w:rsid w:val="00072BC2"/>
    <w:rsid w:val="00074471"/>
    <w:rsid w:val="00075E55"/>
    <w:rsid w:val="00076D7C"/>
    <w:rsid w:val="00090076"/>
    <w:rsid w:val="00090FBE"/>
    <w:rsid w:val="00096FA5"/>
    <w:rsid w:val="00097388"/>
    <w:rsid w:val="000976AE"/>
    <w:rsid w:val="000A1E72"/>
    <w:rsid w:val="000A2B8E"/>
    <w:rsid w:val="000A4E3B"/>
    <w:rsid w:val="000A589A"/>
    <w:rsid w:val="000A6B98"/>
    <w:rsid w:val="000C41E4"/>
    <w:rsid w:val="000C48F0"/>
    <w:rsid w:val="000C4AC6"/>
    <w:rsid w:val="000C567F"/>
    <w:rsid w:val="000C5864"/>
    <w:rsid w:val="000D2F8D"/>
    <w:rsid w:val="000D5C67"/>
    <w:rsid w:val="000D6DDC"/>
    <w:rsid w:val="000D7E09"/>
    <w:rsid w:val="000E4FD4"/>
    <w:rsid w:val="000F1143"/>
    <w:rsid w:val="00106FA5"/>
    <w:rsid w:val="001233DE"/>
    <w:rsid w:val="00124A36"/>
    <w:rsid w:val="0013087E"/>
    <w:rsid w:val="00132C78"/>
    <w:rsid w:val="00137E5E"/>
    <w:rsid w:val="001438C6"/>
    <w:rsid w:val="00143A86"/>
    <w:rsid w:val="00147CF9"/>
    <w:rsid w:val="00151F64"/>
    <w:rsid w:val="0015765E"/>
    <w:rsid w:val="001631AA"/>
    <w:rsid w:val="00173EDA"/>
    <w:rsid w:val="00187171"/>
    <w:rsid w:val="00194010"/>
    <w:rsid w:val="00195621"/>
    <w:rsid w:val="00195AFC"/>
    <w:rsid w:val="001A2E4C"/>
    <w:rsid w:val="001A5E3D"/>
    <w:rsid w:val="001B533C"/>
    <w:rsid w:val="001B62C8"/>
    <w:rsid w:val="001C5F2C"/>
    <w:rsid w:val="001D37F7"/>
    <w:rsid w:val="001E24CB"/>
    <w:rsid w:val="001E515E"/>
    <w:rsid w:val="001F5D75"/>
    <w:rsid w:val="00204E5C"/>
    <w:rsid w:val="00213946"/>
    <w:rsid w:val="002169D1"/>
    <w:rsid w:val="0021771C"/>
    <w:rsid w:val="00225C3D"/>
    <w:rsid w:val="002351B2"/>
    <w:rsid w:val="0023550B"/>
    <w:rsid w:val="00236535"/>
    <w:rsid w:val="00236E9E"/>
    <w:rsid w:val="0024146E"/>
    <w:rsid w:val="002422AC"/>
    <w:rsid w:val="0024343F"/>
    <w:rsid w:val="00247237"/>
    <w:rsid w:val="00260A14"/>
    <w:rsid w:val="00263960"/>
    <w:rsid w:val="002658D3"/>
    <w:rsid w:val="0027414C"/>
    <w:rsid w:val="002746BF"/>
    <w:rsid w:val="0028095E"/>
    <w:rsid w:val="00293949"/>
    <w:rsid w:val="002B5328"/>
    <w:rsid w:val="002C0EE5"/>
    <w:rsid w:val="002C32DE"/>
    <w:rsid w:val="002D1B9B"/>
    <w:rsid w:val="002D42BF"/>
    <w:rsid w:val="002D618E"/>
    <w:rsid w:val="002D67BD"/>
    <w:rsid w:val="002E1371"/>
    <w:rsid w:val="002E75E3"/>
    <w:rsid w:val="002E7F00"/>
    <w:rsid w:val="00304F47"/>
    <w:rsid w:val="00305CB0"/>
    <w:rsid w:val="00306211"/>
    <w:rsid w:val="0030783F"/>
    <w:rsid w:val="0030787A"/>
    <w:rsid w:val="00313867"/>
    <w:rsid w:val="003178F9"/>
    <w:rsid w:val="00323897"/>
    <w:rsid w:val="003239B8"/>
    <w:rsid w:val="003256B0"/>
    <w:rsid w:val="00326050"/>
    <w:rsid w:val="00327B1D"/>
    <w:rsid w:val="003303E2"/>
    <w:rsid w:val="003348FE"/>
    <w:rsid w:val="00334EEB"/>
    <w:rsid w:val="003419D1"/>
    <w:rsid w:val="00361D90"/>
    <w:rsid w:val="00367AEB"/>
    <w:rsid w:val="00371CF4"/>
    <w:rsid w:val="00373059"/>
    <w:rsid w:val="00380825"/>
    <w:rsid w:val="00384B57"/>
    <w:rsid w:val="00386BD3"/>
    <w:rsid w:val="00390DBD"/>
    <w:rsid w:val="0039215A"/>
    <w:rsid w:val="00392B08"/>
    <w:rsid w:val="00392DC5"/>
    <w:rsid w:val="003946EC"/>
    <w:rsid w:val="00394A9C"/>
    <w:rsid w:val="00397C30"/>
    <w:rsid w:val="003A4102"/>
    <w:rsid w:val="003A43FC"/>
    <w:rsid w:val="003A68C0"/>
    <w:rsid w:val="003A7435"/>
    <w:rsid w:val="003B09B2"/>
    <w:rsid w:val="003B12B9"/>
    <w:rsid w:val="003B44A8"/>
    <w:rsid w:val="003B543F"/>
    <w:rsid w:val="003B78F5"/>
    <w:rsid w:val="003C19BD"/>
    <w:rsid w:val="003C5A27"/>
    <w:rsid w:val="003C6150"/>
    <w:rsid w:val="003D0C58"/>
    <w:rsid w:val="003D6053"/>
    <w:rsid w:val="003D76B1"/>
    <w:rsid w:val="003E297F"/>
    <w:rsid w:val="003E5D30"/>
    <w:rsid w:val="003E60F6"/>
    <w:rsid w:val="003E76FC"/>
    <w:rsid w:val="003F134C"/>
    <w:rsid w:val="003F28CB"/>
    <w:rsid w:val="0040640F"/>
    <w:rsid w:val="00412B06"/>
    <w:rsid w:val="0041312C"/>
    <w:rsid w:val="00414E31"/>
    <w:rsid w:val="00415FB5"/>
    <w:rsid w:val="004222C0"/>
    <w:rsid w:val="0042389A"/>
    <w:rsid w:val="00425FE0"/>
    <w:rsid w:val="00430D0B"/>
    <w:rsid w:val="004312DF"/>
    <w:rsid w:val="00431DC1"/>
    <w:rsid w:val="00436497"/>
    <w:rsid w:val="00444947"/>
    <w:rsid w:val="0044578F"/>
    <w:rsid w:val="00452DFF"/>
    <w:rsid w:val="00457647"/>
    <w:rsid w:val="004576AD"/>
    <w:rsid w:val="0046501F"/>
    <w:rsid w:val="00483A5D"/>
    <w:rsid w:val="00486FC6"/>
    <w:rsid w:val="0049441A"/>
    <w:rsid w:val="00497357"/>
    <w:rsid w:val="004A3978"/>
    <w:rsid w:val="004A6260"/>
    <w:rsid w:val="004B180E"/>
    <w:rsid w:val="004B4615"/>
    <w:rsid w:val="004B4B7B"/>
    <w:rsid w:val="004B5896"/>
    <w:rsid w:val="004B6E4F"/>
    <w:rsid w:val="004B7201"/>
    <w:rsid w:val="004C0732"/>
    <w:rsid w:val="004C1683"/>
    <w:rsid w:val="004C2BDD"/>
    <w:rsid w:val="004D3015"/>
    <w:rsid w:val="004D569B"/>
    <w:rsid w:val="004D6E23"/>
    <w:rsid w:val="004F18DB"/>
    <w:rsid w:val="004F40BC"/>
    <w:rsid w:val="004F6828"/>
    <w:rsid w:val="004F6F4E"/>
    <w:rsid w:val="00505E34"/>
    <w:rsid w:val="0052185F"/>
    <w:rsid w:val="00522094"/>
    <w:rsid w:val="00522213"/>
    <w:rsid w:val="00524A38"/>
    <w:rsid w:val="00526931"/>
    <w:rsid w:val="005275B1"/>
    <w:rsid w:val="0053114B"/>
    <w:rsid w:val="00531BFB"/>
    <w:rsid w:val="0053726F"/>
    <w:rsid w:val="0054171D"/>
    <w:rsid w:val="0054172C"/>
    <w:rsid w:val="00550BA6"/>
    <w:rsid w:val="00553687"/>
    <w:rsid w:val="00553D0C"/>
    <w:rsid w:val="005551DC"/>
    <w:rsid w:val="00555CD4"/>
    <w:rsid w:val="005761D8"/>
    <w:rsid w:val="005770B4"/>
    <w:rsid w:val="00587696"/>
    <w:rsid w:val="005951F7"/>
    <w:rsid w:val="00597ABD"/>
    <w:rsid w:val="005A37E5"/>
    <w:rsid w:val="005A5D2C"/>
    <w:rsid w:val="005B7890"/>
    <w:rsid w:val="005C16EA"/>
    <w:rsid w:val="005C5E7D"/>
    <w:rsid w:val="005D1D74"/>
    <w:rsid w:val="005D33F5"/>
    <w:rsid w:val="005D6085"/>
    <w:rsid w:val="005E4DEC"/>
    <w:rsid w:val="005E60F1"/>
    <w:rsid w:val="005F02A8"/>
    <w:rsid w:val="005F4743"/>
    <w:rsid w:val="005F6D7B"/>
    <w:rsid w:val="00611D6B"/>
    <w:rsid w:val="00614984"/>
    <w:rsid w:val="00614A95"/>
    <w:rsid w:val="00620AC7"/>
    <w:rsid w:val="006306D5"/>
    <w:rsid w:val="00632D7C"/>
    <w:rsid w:val="00633D3C"/>
    <w:rsid w:val="00635DD8"/>
    <w:rsid w:val="0063693C"/>
    <w:rsid w:val="00636BFD"/>
    <w:rsid w:val="00645872"/>
    <w:rsid w:val="00647BE6"/>
    <w:rsid w:val="0065063C"/>
    <w:rsid w:val="00657FEF"/>
    <w:rsid w:val="006632B5"/>
    <w:rsid w:val="006653E0"/>
    <w:rsid w:val="0067114B"/>
    <w:rsid w:val="0067555B"/>
    <w:rsid w:val="00677877"/>
    <w:rsid w:val="00677DC5"/>
    <w:rsid w:val="006809B9"/>
    <w:rsid w:val="00687DCA"/>
    <w:rsid w:val="0069336A"/>
    <w:rsid w:val="006A73A2"/>
    <w:rsid w:val="006B012A"/>
    <w:rsid w:val="006B26AC"/>
    <w:rsid w:val="006B3947"/>
    <w:rsid w:val="006B7D13"/>
    <w:rsid w:val="006C1966"/>
    <w:rsid w:val="006D0DDD"/>
    <w:rsid w:val="006D1F71"/>
    <w:rsid w:val="006D3902"/>
    <w:rsid w:val="006D4019"/>
    <w:rsid w:val="006D6661"/>
    <w:rsid w:val="006D681D"/>
    <w:rsid w:val="006E4B29"/>
    <w:rsid w:val="006E4E82"/>
    <w:rsid w:val="006F25E0"/>
    <w:rsid w:val="00704040"/>
    <w:rsid w:val="007059CF"/>
    <w:rsid w:val="00715C85"/>
    <w:rsid w:val="00717D57"/>
    <w:rsid w:val="00723250"/>
    <w:rsid w:val="0072480C"/>
    <w:rsid w:val="00724985"/>
    <w:rsid w:val="00733C40"/>
    <w:rsid w:val="00737389"/>
    <w:rsid w:val="007422CC"/>
    <w:rsid w:val="00744FAF"/>
    <w:rsid w:val="0074641C"/>
    <w:rsid w:val="00756B55"/>
    <w:rsid w:val="00764865"/>
    <w:rsid w:val="007742C7"/>
    <w:rsid w:val="007765C3"/>
    <w:rsid w:val="0078381E"/>
    <w:rsid w:val="00784AEC"/>
    <w:rsid w:val="00793026"/>
    <w:rsid w:val="00794474"/>
    <w:rsid w:val="00795670"/>
    <w:rsid w:val="007975CF"/>
    <w:rsid w:val="0079795E"/>
    <w:rsid w:val="007A10FA"/>
    <w:rsid w:val="007A6D0A"/>
    <w:rsid w:val="007B10BF"/>
    <w:rsid w:val="007B7230"/>
    <w:rsid w:val="007D07FF"/>
    <w:rsid w:val="007D1EDB"/>
    <w:rsid w:val="007D4202"/>
    <w:rsid w:val="007E7265"/>
    <w:rsid w:val="007F2C9E"/>
    <w:rsid w:val="007F338D"/>
    <w:rsid w:val="00800BD7"/>
    <w:rsid w:val="00804EB1"/>
    <w:rsid w:val="00805DE1"/>
    <w:rsid w:val="008069DD"/>
    <w:rsid w:val="00807FD4"/>
    <w:rsid w:val="00812E80"/>
    <w:rsid w:val="00815E51"/>
    <w:rsid w:val="00816280"/>
    <w:rsid w:val="00823BB5"/>
    <w:rsid w:val="0083139F"/>
    <w:rsid w:val="00832BD0"/>
    <w:rsid w:val="00832E5D"/>
    <w:rsid w:val="00833472"/>
    <w:rsid w:val="008363CE"/>
    <w:rsid w:val="00836E69"/>
    <w:rsid w:val="00840380"/>
    <w:rsid w:val="00841140"/>
    <w:rsid w:val="00843711"/>
    <w:rsid w:val="00845184"/>
    <w:rsid w:val="008472F0"/>
    <w:rsid w:val="00853EF6"/>
    <w:rsid w:val="008543DC"/>
    <w:rsid w:val="0085515E"/>
    <w:rsid w:val="0085665B"/>
    <w:rsid w:val="008601BE"/>
    <w:rsid w:val="0087000D"/>
    <w:rsid w:val="00872161"/>
    <w:rsid w:val="008739D9"/>
    <w:rsid w:val="00883703"/>
    <w:rsid w:val="00892DB0"/>
    <w:rsid w:val="00897A62"/>
    <w:rsid w:val="00897E5A"/>
    <w:rsid w:val="008A0974"/>
    <w:rsid w:val="008A20DC"/>
    <w:rsid w:val="008A4224"/>
    <w:rsid w:val="008B2485"/>
    <w:rsid w:val="008B2D68"/>
    <w:rsid w:val="008B35A2"/>
    <w:rsid w:val="008C074E"/>
    <w:rsid w:val="008C17A2"/>
    <w:rsid w:val="008C17D1"/>
    <w:rsid w:val="008C3FD2"/>
    <w:rsid w:val="008C4F11"/>
    <w:rsid w:val="008D2050"/>
    <w:rsid w:val="008D20AE"/>
    <w:rsid w:val="008D61D6"/>
    <w:rsid w:val="008E54DF"/>
    <w:rsid w:val="008F2700"/>
    <w:rsid w:val="008F608E"/>
    <w:rsid w:val="00901317"/>
    <w:rsid w:val="00906F5F"/>
    <w:rsid w:val="00914FA5"/>
    <w:rsid w:val="009208DD"/>
    <w:rsid w:val="009276F1"/>
    <w:rsid w:val="009378A6"/>
    <w:rsid w:val="0095049F"/>
    <w:rsid w:val="00951898"/>
    <w:rsid w:val="00957449"/>
    <w:rsid w:val="00960371"/>
    <w:rsid w:val="00960D68"/>
    <w:rsid w:val="00961EE7"/>
    <w:rsid w:val="009642CA"/>
    <w:rsid w:val="009752AB"/>
    <w:rsid w:val="009777D9"/>
    <w:rsid w:val="00977E62"/>
    <w:rsid w:val="00996255"/>
    <w:rsid w:val="00996837"/>
    <w:rsid w:val="009A06FE"/>
    <w:rsid w:val="009A6D18"/>
    <w:rsid w:val="009A7DF8"/>
    <w:rsid w:val="009B3C7B"/>
    <w:rsid w:val="009B3C94"/>
    <w:rsid w:val="009C663B"/>
    <w:rsid w:val="009C7597"/>
    <w:rsid w:val="009C7E3F"/>
    <w:rsid w:val="009D04E7"/>
    <w:rsid w:val="009E35F1"/>
    <w:rsid w:val="009E47A8"/>
    <w:rsid w:val="00A0028C"/>
    <w:rsid w:val="00A01D54"/>
    <w:rsid w:val="00A026D5"/>
    <w:rsid w:val="00A071C6"/>
    <w:rsid w:val="00A1125A"/>
    <w:rsid w:val="00A212E3"/>
    <w:rsid w:val="00A213FB"/>
    <w:rsid w:val="00A22DDB"/>
    <w:rsid w:val="00A238AD"/>
    <w:rsid w:val="00A23AEC"/>
    <w:rsid w:val="00A250C8"/>
    <w:rsid w:val="00A337C8"/>
    <w:rsid w:val="00A405B5"/>
    <w:rsid w:val="00A51B12"/>
    <w:rsid w:val="00A527B2"/>
    <w:rsid w:val="00A5612E"/>
    <w:rsid w:val="00A57D7F"/>
    <w:rsid w:val="00A644DF"/>
    <w:rsid w:val="00A66563"/>
    <w:rsid w:val="00A668C6"/>
    <w:rsid w:val="00A66DD1"/>
    <w:rsid w:val="00A706CA"/>
    <w:rsid w:val="00A71EF5"/>
    <w:rsid w:val="00A7285F"/>
    <w:rsid w:val="00A8367D"/>
    <w:rsid w:val="00A9225D"/>
    <w:rsid w:val="00A95D03"/>
    <w:rsid w:val="00AA1798"/>
    <w:rsid w:val="00AA5504"/>
    <w:rsid w:val="00AB0898"/>
    <w:rsid w:val="00AB6886"/>
    <w:rsid w:val="00AC23EB"/>
    <w:rsid w:val="00AD610A"/>
    <w:rsid w:val="00AE4928"/>
    <w:rsid w:val="00B02379"/>
    <w:rsid w:val="00B03F37"/>
    <w:rsid w:val="00B04A53"/>
    <w:rsid w:val="00B05457"/>
    <w:rsid w:val="00B07E19"/>
    <w:rsid w:val="00B128AC"/>
    <w:rsid w:val="00B1798C"/>
    <w:rsid w:val="00B17F5E"/>
    <w:rsid w:val="00B227D4"/>
    <w:rsid w:val="00B2480A"/>
    <w:rsid w:val="00B27C63"/>
    <w:rsid w:val="00B30E86"/>
    <w:rsid w:val="00B320EE"/>
    <w:rsid w:val="00B332AF"/>
    <w:rsid w:val="00B33C6B"/>
    <w:rsid w:val="00B36453"/>
    <w:rsid w:val="00B37910"/>
    <w:rsid w:val="00B407FB"/>
    <w:rsid w:val="00B44249"/>
    <w:rsid w:val="00B50D76"/>
    <w:rsid w:val="00B51ADC"/>
    <w:rsid w:val="00B538F4"/>
    <w:rsid w:val="00B55FDE"/>
    <w:rsid w:val="00B57468"/>
    <w:rsid w:val="00B64D82"/>
    <w:rsid w:val="00B67485"/>
    <w:rsid w:val="00B7188F"/>
    <w:rsid w:val="00B7303E"/>
    <w:rsid w:val="00B742FE"/>
    <w:rsid w:val="00B750BC"/>
    <w:rsid w:val="00B75775"/>
    <w:rsid w:val="00B80449"/>
    <w:rsid w:val="00B87A57"/>
    <w:rsid w:val="00B934B2"/>
    <w:rsid w:val="00B96050"/>
    <w:rsid w:val="00BA228A"/>
    <w:rsid w:val="00BA476D"/>
    <w:rsid w:val="00BB28C6"/>
    <w:rsid w:val="00BC423C"/>
    <w:rsid w:val="00BC57B1"/>
    <w:rsid w:val="00BC79E4"/>
    <w:rsid w:val="00BD0656"/>
    <w:rsid w:val="00BD3D8D"/>
    <w:rsid w:val="00BD5EF4"/>
    <w:rsid w:val="00BE1418"/>
    <w:rsid w:val="00BE241F"/>
    <w:rsid w:val="00BE5D84"/>
    <w:rsid w:val="00BF3492"/>
    <w:rsid w:val="00C0012D"/>
    <w:rsid w:val="00C04FD1"/>
    <w:rsid w:val="00C10EA7"/>
    <w:rsid w:val="00C121D6"/>
    <w:rsid w:val="00C126E8"/>
    <w:rsid w:val="00C12A7F"/>
    <w:rsid w:val="00C1330F"/>
    <w:rsid w:val="00C13B6F"/>
    <w:rsid w:val="00C14A92"/>
    <w:rsid w:val="00C161F4"/>
    <w:rsid w:val="00C24104"/>
    <w:rsid w:val="00C26104"/>
    <w:rsid w:val="00C2670B"/>
    <w:rsid w:val="00C40991"/>
    <w:rsid w:val="00C40A29"/>
    <w:rsid w:val="00C50B88"/>
    <w:rsid w:val="00C53E54"/>
    <w:rsid w:val="00C55994"/>
    <w:rsid w:val="00C57961"/>
    <w:rsid w:val="00C62235"/>
    <w:rsid w:val="00C62D28"/>
    <w:rsid w:val="00C66EF9"/>
    <w:rsid w:val="00C677C7"/>
    <w:rsid w:val="00C73CF5"/>
    <w:rsid w:val="00C75D05"/>
    <w:rsid w:val="00C81E0D"/>
    <w:rsid w:val="00C83F8D"/>
    <w:rsid w:val="00C96725"/>
    <w:rsid w:val="00CA0F1D"/>
    <w:rsid w:val="00CA4390"/>
    <w:rsid w:val="00CB6510"/>
    <w:rsid w:val="00CB6F23"/>
    <w:rsid w:val="00CC62A5"/>
    <w:rsid w:val="00CD29A0"/>
    <w:rsid w:val="00CE55E1"/>
    <w:rsid w:val="00CF58C1"/>
    <w:rsid w:val="00CF655E"/>
    <w:rsid w:val="00D0304F"/>
    <w:rsid w:val="00D155A3"/>
    <w:rsid w:val="00D1585D"/>
    <w:rsid w:val="00D435B8"/>
    <w:rsid w:val="00D5607D"/>
    <w:rsid w:val="00D62053"/>
    <w:rsid w:val="00D64772"/>
    <w:rsid w:val="00D67831"/>
    <w:rsid w:val="00D7742F"/>
    <w:rsid w:val="00D80950"/>
    <w:rsid w:val="00D8585C"/>
    <w:rsid w:val="00D86167"/>
    <w:rsid w:val="00D87BDB"/>
    <w:rsid w:val="00D904A2"/>
    <w:rsid w:val="00D9202E"/>
    <w:rsid w:val="00D942BA"/>
    <w:rsid w:val="00D961DF"/>
    <w:rsid w:val="00D974DF"/>
    <w:rsid w:val="00DA0C23"/>
    <w:rsid w:val="00DA1AD8"/>
    <w:rsid w:val="00DA1F59"/>
    <w:rsid w:val="00DB06CE"/>
    <w:rsid w:val="00DB6CC4"/>
    <w:rsid w:val="00DB762A"/>
    <w:rsid w:val="00DC16C2"/>
    <w:rsid w:val="00DC730B"/>
    <w:rsid w:val="00DD088F"/>
    <w:rsid w:val="00DD0FEC"/>
    <w:rsid w:val="00DD3E26"/>
    <w:rsid w:val="00DE001B"/>
    <w:rsid w:val="00DE165F"/>
    <w:rsid w:val="00DF0911"/>
    <w:rsid w:val="00E07BB0"/>
    <w:rsid w:val="00E07F29"/>
    <w:rsid w:val="00E102FA"/>
    <w:rsid w:val="00E15E0D"/>
    <w:rsid w:val="00E30503"/>
    <w:rsid w:val="00E3224A"/>
    <w:rsid w:val="00E32970"/>
    <w:rsid w:val="00E35ADE"/>
    <w:rsid w:val="00E37226"/>
    <w:rsid w:val="00E377B8"/>
    <w:rsid w:val="00E42D24"/>
    <w:rsid w:val="00E43BC7"/>
    <w:rsid w:val="00E444C2"/>
    <w:rsid w:val="00E478FE"/>
    <w:rsid w:val="00E54446"/>
    <w:rsid w:val="00E557EA"/>
    <w:rsid w:val="00E563E3"/>
    <w:rsid w:val="00E60B5B"/>
    <w:rsid w:val="00E630C5"/>
    <w:rsid w:val="00E6349B"/>
    <w:rsid w:val="00E64AED"/>
    <w:rsid w:val="00E678F1"/>
    <w:rsid w:val="00E67919"/>
    <w:rsid w:val="00E74987"/>
    <w:rsid w:val="00E763B4"/>
    <w:rsid w:val="00E8056A"/>
    <w:rsid w:val="00E8165C"/>
    <w:rsid w:val="00E83D52"/>
    <w:rsid w:val="00E86D3B"/>
    <w:rsid w:val="00E91717"/>
    <w:rsid w:val="00E92A7D"/>
    <w:rsid w:val="00E93BA4"/>
    <w:rsid w:val="00EA0F12"/>
    <w:rsid w:val="00EA5D43"/>
    <w:rsid w:val="00EA6B84"/>
    <w:rsid w:val="00EB5576"/>
    <w:rsid w:val="00EB6B1D"/>
    <w:rsid w:val="00EB6C0D"/>
    <w:rsid w:val="00EC4100"/>
    <w:rsid w:val="00EC53C7"/>
    <w:rsid w:val="00EC7C4E"/>
    <w:rsid w:val="00ED24CA"/>
    <w:rsid w:val="00ED57F9"/>
    <w:rsid w:val="00EE0708"/>
    <w:rsid w:val="00EE2733"/>
    <w:rsid w:val="00EE47CD"/>
    <w:rsid w:val="00EE5E44"/>
    <w:rsid w:val="00EE701F"/>
    <w:rsid w:val="00EF2EE8"/>
    <w:rsid w:val="00F02E85"/>
    <w:rsid w:val="00F05C23"/>
    <w:rsid w:val="00F069EF"/>
    <w:rsid w:val="00F14A9E"/>
    <w:rsid w:val="00F157E5"/>
    <w:rsid w:val="00F200CD"/>
    <w:rsid w:val="00F34446"/>
    <w:rsid w:val="00F353E0"/>
    <w:rsid w:val="00F40473"/>
    <w:rsid w:val="00F41917"/>
    <w:rsid w:val="00F44087"/>
    <w:rsid w:val="00F444F2"/>
    <w:rsid w:val="00F45376"/>
    <w:rsid w:val="00F46780"/>
    <w:rsid w:val="00F51BFB"/>
    <w:rsid w:val="00F539D3"/>
    <w:rsid w:val="00F53DE9"/>
    <w:rsid w:val="00F5617D"/>
    <w:rsid w:val="00F63BA3"/>
    <w:rsid w:val="00F64227"/>
    <w:rsid w:val="00F66642"/>
    <w:rsid w:val="00F6702B"/>
    <w:rsid w:val="00F7495D"/>
    <w:rsid w:val="00F74D71"/>
    <w:rsid w:val="00F757DE"/>
    <w:rsid w:val="00F8098F"/>
    <w:rsid w:val="00F81EFA"/>
    <w:rsid w:val="00FA67AD"/>
    <w:rsid w:val="00FA6ADE"/>
    <w:rsid w:val="00FA6B32"/>
    <w:rsid w:val="00FB34E0"/>
    <w:rsid w:val="00FB4C27"/>
    <w:rsid w:val="00FC2917"/>
    <w:rsid w:val="00FC5A8F"/>
    <w:rsid w:val="00FC7BD8"/>
    <w:rsid w:val="00FE5AC6"/>
    <w:rsid w:val="00FE671B"/>
    <w:rsid w:val="00FF3EA2"/>
    <w:rsid w:val="00FF41BC"/>
    <w:rsid w:val="00FF54C5"/>
    <w:rsid w:val="00FF65E7"/>
    <w:rsid w:val="16F59F5D"/>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222E"/>
  <w15:docId w15:val="{DF42BFBE-A494-4358-AF56-B3CB6BCA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C17A2"/>
    <w:pPr>
      <w:jc w:val="both"/>
    </w:pPr>
    <w:rPr>
      <w:rFonts w:ascii="Arial Narrow" w:hAnsi="Arial Narrow"/>
      <w:sz w:val="24"/>
    </w:rPr>
  </w:style>
  <w:style w:type="paragraph" w:styleId="Nadpis1">
    <w:name w:val="heading 1"/>
    <w:basedOn w:val="Normln"/>
    <w:next w:val="Normln"/>
    <w:link w:val="Nadpis1Char"/>
    <w:uiPriority w:val="9"/>
    <w:qFormat/>
    <w:rsid w:val="004F18DB"/>
    <w:pPr>
      <w:keepNext/>
      <w:keepLines/>
      <w:numPr>
        <w:numId w:val="1"/>
      </w:numPr>
      <w:spacing w:before="400" w:after="40" w:line="240" w:lineRule="auto"/>
      <w:ind w:left="432"/>
      <w:outlineLvl w:val="0"/>
    </w:pPr>
    <w:rPr>
      <w:rFonts w:eastAsiaTheme="majorEastAsia" w:cstheme="majorBidi"/>
      <w:b/>
      <w:caps/>
      <w:color w:val="595959" w:themeColor="text1" w:themeTint="A6"/>
      <w:sz w:val="40"/>
      <w:szCs w:val="36"/>
    </w:rPr>
  </w:style>
  <w:style w:type="paragraph" w:styleId="Nadpis2">
    <w:name w:val="heading 2"/>
    <w:basedOn w:val="Normln"/>
    <w:next w:val="Normln"/>
    <w:link w:val="Nadpis2Char"/>
    <w:uiPriority w:val="9"/>
    <w:unhideWhenUsed/>
    <w:qFormat/>
    <w:rsid w:val="00B17F5E"/>
    <w:pPr>
      <w:keepNext/>
      <w:keepLines/>
      <w:numPr>
        <w:ilvl w:val="1"/>
        <w:numId w:val="1"/>
      </w:numPr>
      <w:spacing w:before="120" w:after="0" w:line="240" w:lineRule="auto"/>
      <w:outlineLvl w:val="1"/>
    </w:pPr>
    <w:rPr>
      <w:rFonts w:eastAsiaTheme="majorEastAsia" w:cstheme="majorBidi"/>
      <w:b/>
      <w:smallCaps/>
      <w:color w:val="595959" w:themeColor="text1" w:themeTint="A6"/>
      <w:sz w:val="32"/>
      <w:szCs w:val="28"/>
    </w:rPr>
  </w:style>
  <w:style w:type="paragraph" w:styleId="Nadpis3">
    <w:name w:val="heading 3"/>
    <w:basedOn w:val="Normln"/>
    <w:next w:val="Normln"/>
    <w:link w:val="Nadpis3Char"/>
    <w:uiPriority w:val="9"/>
    <w:unhideWhenUsed/>
    <w:qFormat/>
    <w:rsid w:val="00B17F5E"/>
    <w:pPr>
      <w:keepNext/>
      <w:keepLines/>
      <w:numPr>
        <w:ilvl w:val="2"/>
        <w:numId w:val="1"/>
      </w:numPr>
      <w:spacing w:before="120" w:after="0" w:line="240" w:lineRule="auto"/>
      <w:outlineLvl w:val="2"/>
    </w:pPr>
    <w:rPr>
      <w:rFonts w:asciiTheme="majorHAnsi" w:eastAsiaTheme="majorEastAsia" w:hAnsiTheme="majorHAnsi" w:cstheme="majorBidi"/>
      <w:b/>
      <w:color w:val="595959" w:themeColor="text1" w:themeTint="A6"/>
      <w:sz w:val="28"/>
      <w:szCs w:val="28"/>
    </w:rPr>
  </w:style>
  <w:style w:type="paragraph" w:styleId="Nadpis4">
    <w:name w:val="heading 4"/>
    <w:basedOn w:val="Normln"/>
    <w:next w:val="Normln"/>
    <w:link w:val="Nadpis4Char"/>
    <w:uiPriority w:val="9"/>
    <w:unhideWhenUsed/>
    <w:qFormat/>
    <w:rsid w:val="00DD3E26"/>
    <w:pPr>
      <w:keepNext/>
      <w:keepLines/>
      <w:numPr>
        <w:ilvl w:val="3"/>
        <w:numId w:val="1"/>
      </w:numPr>
      <w:spacing w:before="120" w:after="0"/>
      <w:outlineLvl w:val="3"/>
    </w:pPr>
    <w:rPr>
      <w:rFonts w:asciiTheme="majorHAnsi" w:eastAsiaTheme="majorEastAsia" w:hAnsiTheme="majorHAnsi" w:cstheme="majorBidi"/>
      <w:caps/>
    </w:rPr>
  </w:style>
  <w:style w:type="paragraph" w:styleId="Nadpis5">
    <w:name w:val="heading 5"/>
    <w:basedOn w:val="Normln"/>
    <w:next w:val="Normln"/>
    <w:link w:val="Nadpis5Char"/>
    <w:uiPriority w:val="9"/>
    <w:unhideWhenUsed/>
    <w:qFormat/>
    <w:rsid w:val="00DD3E26"/>
    <w:pPr>
      <w:keepNext/>
      <w:keepLines/>
      <w:numPr>
        <w:ilvl w:val="4"/>
        <w:numId w:val="1"/>
      </w:numPr>
      <w:spacing w:before="120" w:after="0"/>
      <w:outlineLvl w:val="4"/>
    </w:pPr>
    <w:rPr>
      <w:rFonts w:asciiTheme="majorHAnsi" w:eastAsiaTheme="majorEastAsia" w:hAnsiTheme="majorHAnsi" w:cstheme="majorBidi"/>
      <w:i/>
      <w:iCs/>
      <w:caps/>
    </w:rPr>
  </w:style>
  <w:style w:type="paragraph" w:styleId="Nadpis6">
    <w:name w:val="heading 6"/>
    <w:basedOn w:val="Normln"/>
    <w:next w:val="Normln"/>
    <w:link w:val="Nadpis6Char"/>
    <w:uiPriority w:val="9"/>
    <w:unhideWhenUsed/>
    <w:qFormat/>
    <w:rsid w:val="00DD3E26"/>
    <w:pPr>
      <w:keepNext/>
      <w:keepLines/>
      <w:numPr>
        <w:ilvl w:val="5"/>
        <w:numId w:val="1"/>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dpis7">
    <w:name w:val="heading 7"/>
    <w:basedOn w:val="Normln"/>
    <w:next w:val="Normln"/>
    <w:link w:val="Nadpis7Char"/>
    <w:uiPriority w:val="9"/>
    <w:unhideWhenUsed/>
    <w:qFormat/>
    <w:rsid w:val="00DD3E26"/>
    <w:pPr>
      <w:keepNext/>
      <w:keepLines/>
      <w:numPr>
        <w:ilvl w:val="6"/>
        <w:numId w:val="1"/>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dpis8">
    <w:name w:val="heading 8"/>
    <w:basedOn w:val="Normln"/>
    <w:next w:val="Normln"/>
    <w:link w:val="Nadpis8Char"/>
    <w:uiPriority w:val="9"/>
    <w:unhideWhenUsed/>
    <w:qFormat/>
    <w:rsid w:val="00DD3E26"/>
    <w:pPr>
      <w:keepNext/>
      <w:keepLines/>
      <w:numPr>
        <w:ilvl w:val="7"/>
        <w:numId w:val="1"/>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dpis9">
    <w:name w:val="heading 9"/>
    <w:basedOn w:val="Normln"/>
    <w:next w:val="Normln"/>
    <w:link w:val="Nadpis9Char"/>
    <w:uiPriority w:val="9"/>
    <w:unhideWhenUsed/>
    <w:qFormat/>
    <w:rsid w:val="00DD3E26"/>
    <w:pPr>
      <w:keepNext/>
      <w:keepLines/>
      <w:numPr>
        <w:ilvl w:val="8"/>
        <w:numId w:val="1"/>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pPr>
      <w:suppressAutoHyphens/>
    </w:pPr>
    <w:rPr>
      <w:rFonts w:ascii="Tahoma" w:hAnsi="Tahoma" w:cs="Tahoma"/>
      <w:sz w:val="16"/>
      <w:szCs w:val="16"/>
    </w:rPr>
  </w:style>
  <w:style w:type="character" w:customStyle="1" w:styleId="TextbublinyChar">
    <w:name w:val="Text bubliny Char"/>
    <w:basedOn w:val="Standardnpsmoodstavce"/>
    <w:rPr>
      <w:rFonts w:ascii="Tahoma" w:hAnsi="Tahoma" w:cs="Tahoma"/>
      <w:sz w:val="16"/>
      <w:szCs w:val="16"/>
    </w:rPr>
  </w:style>
  <w:style w:type="paragraph" w:styleId="Nzev">
    <w:name w:val="Title"/>
    <w:basedOn w:val="Normln"/>
    <w:next w:val="Normln"/>
    <w:link w:val="NzevChar"/>
    <w:uiPriority w:val="10"/>
    <w:qFormat/>
    <w:rsid w:val="004F18DB"/>
    <w:pPr>
      <w:spacing w:after="0" w:line="240" w:lineRule="auto"/>
      <w:contextualSpacing/>
      <w:jc w:val="right"/>
    </w:pPr>
    <w:rPr>
      <w:rFonts w:eastAsiaTheme="majorEastAsia" w:cstheme="majorBidi"/>
      <w:caps/>
      <w:color w:val="595959" w:themeColor="text1" w:themeTint="A6"/>
      <w:spacing w:val="-10"/>
      <w:sz w:val="72"/>
      <w:szCs w:val="72"/>
    </w:rPr>
  </w:style>
  <w:style w:type="character" w:customStyle="1" w:styleId="NzevChar">
    <w:name w:val="Název Char"/>
    <w:basedOn w:val="Standardnpsmoodstavce"/>
    <w:link w:val="Nzev"/>
    <w:uiPriority w:val="10"/>
    <w:rsid w:val="004F18DB"/>
    <w:rPr>
      <w:rFonts w:ascii="Arial Narrow" w:eastAsiaTheme="majorEastAsia" w:hAnsi="Arial Narrow" w:cstheme="majorBidi"/>
      <w:caps/>
      <w:color w:val="595959" w:themeColor="text1" w:themeTint="A6"/>
      <w:spacing w:val="-10"/>
      <w:sz w:val="72"/>
      <w:szCs w:val="72"/>
    </w:rPr>
  </w:style>
  <w:style w:type="paragraph" w:styleId="Podnadpis">
    <w:name w:val="Subtitle"/>
    <w:basedOn w:val="Normln"/>
    <w:next w:val="Normln"/>
    <w:link w:val="PodnadpisChar"/>
    <w:uiPriority w:val="11"/>
    <w:qFormat/>
    <w:rsid w:val="008C17A2"/>
    <w:pPr>
      <w:numPr>
        <w:ilvl w:val="1"/>
      </w:numPr>
    </w:pPr>
    <w:rPr>
      <w:rFonts w:eastAsiaTheme="majorEastAsia" w:cstheme="majorBidi"/>
      <w:smallCaps/>
      <w:color w:val="595959" w:themeColor="text1" w:themeTint="A6"/>
      <w:sz w:val="60"/>
      <w:szCs w:val="28"/>
    </w:rPr>
  </w:style>
  <w:style w:type="character" w:customStyle="1" w:styleId="PodnadpisChar">
    <w:name w:val="Podnadpis Char"/>
    <w:basedOn w:val="Standardnpsmoodstavce"/>
    <w:link w:val="Podnadpis"/>
    <w:uiPriority w:val="11"/>
    <w:rsid w:val="008C17A2"/>
    <w:rPr>
      <w:rFonts w:ascii="Arial Narrow" w:eastAsiaTheme="majorEastAsia" w:hAnsi="Arial Narrow" w:cstheme="majorBidi"/>
      <w:smallCaps/>
      <w:color w:val="595959" w:themeColor="text1" w:themeTint="A6"/>
      <w:sz w:val="60"/>
      <w:szCs w:val="28"/>
    </w:rPr>
  </w:style>
  <w:style w:type="character" w:customStyle="1" w:styleId="Nadpis1Char">
    <w:name w:val="Nadpis 1 Char"/>
    <w:basedOn w:val="Standardnpsmoodstavce"/>
    <w:link w:val="Nadpis1"/>
    <w:uiPriority w:val="9"/>
    <w:rsid w:val="004F18DB"/>
    <w:rPr>
      <w:rFonts w:ascii="Arial Narrow" w:eastAsiaTheme="majorEastAsia" w:hAnsi="Arial Narrow" w:cstheme="majorBidi"/>
      <w:b/>
      <w:caps/>
      <w:color w:val="595959" w:themeColor="text1" w:themeTint="A6"/>
      <w:sz w:val="40"/>
      <w:szCs w:val="36"/>
    </w:rPr>
  </w:style>
  <w:style w:type="paragraph" w:styleId="Zhlav">
    <w:name w:val="header"/>
    <w:basedOn w:val="Normln"/>
    <w:pPr>
      <w:suppressAutoHyphens/>
    </w:pPr>
  </w:style>
  <w:style w:type="character" w:customStyle="1" w:styleId="ZhlavChar">
    <w:name w:val="Záhlaví Char"/>
    <w:basedOn w:val="Standardnpsmoodstavce"/>
  </w:style>
  <w:style w:type="paragraph" w:styleId="Zpat">
    <w:name w:val="footer"/>
    <w:basedOn w:val="Normln"/>
    <w:pPr>
      <w:suppressAutoHyphens/>
    </w:pPr>
  </w:style>
  <w:style w:type="character" w:customStyle="1" w:styleId="ZpatChar">
    <w:name w:val="Zápatí Char"/>
    <w:basedOn w:val="Standardnpsmoodstavce"/>
    <w:rPr>
      <w:sz w:val="24"/>
      <w:szCs w:val="24"/>
    </w:rPr>
  </w:style>
  <w:style w:type="paragraph" w:customStyle="1" w:styleId="Jmno">
    <w:name w:val="Jméno"/>
    <w:basedOn w:val="Normln"/>
    <w:pPr>
      <w:suppressAutoHyphens/>
      <w:spacing w:line="240" w:lineRule="auto"/>
      <w:jc w:val="right"/>
    </w:pPr>
  </w:style>
  <w:style w:type="character" w:customStyle="1" w:styleId="Nadpis2Char">
    <w:name w:val="Nadpis 2 Char"/>
    <w:basedOn w:val="Standardnpsmoodstavce"/>
    <w:link w:val="Nadpis2"/>
    <w:uiPriority w:val="9"/>
    <w:rsid w:val="00B17F5E"/>
    <w:rPr>
      <w:rFonts w:ascii="Arial Narrow" w:eastAsiaTheme="majorEastAsia" w:hAnsi="Arial Narrow" w:cstheme="majorBidi"/>
      <w:b/>
      <w:smallCaps/>
      <w:color w:val="595959" w:themeColor="text1" w:themeTint="A6"/>
      <w:sz w:val="32"/>
      <w:szCs w:val="28"/>
    </w:rPr>
  </w:style>
  <w:style w:type="character" w:styleId="Zstupntext">
    <w:name w:val="Placeholder Text"/>
    <w:basedOn w:val="Standardnpsmoodstavce"/>
    <w:rPr>
      <w:color w:val="808080"/>
    </w:rPr>
  </w:style>
  <w:style w:type="paragraph" w:customStyle="1" w:styleId="Obsah">
    <w:name w:val="Obsah"/>
    <w:basedOn w:val="Normln"/>
    <w:pPr>
      <w:suppressAutoHyphens/>
    </w:pPr>
    <w:rPr>
      <w:b/>
    </w:rPr>
  </w:style>
  <w:style w:type="paragraph" w:customStyle="1" w:styleId="Zvraznntext">
    <w:name w:val="Zvýrazněný text"/>
    <w:basedOn w:val="Normln"/>
    <w:pPr>
      <w:suppressAutoHyphens/>
    </w:pPr>
  </w:style>
  <w:style w:type="character" w:customStyle="1" w:styleId="Znakobsahu">
    <w:name w:val="Znak obsahu"/>
    <w:basedOn w:val="Standardnpsmoodstavce"/>
    <w:rPr>
      <w:rFonts w:eastAsia="MS Mincho"/>
      <w:color w:val="082A75"/>
      <w:sz w:val="28"/>
      <w:szCs w:val="22"/>
    </w:rPr>
  </w:style>
  <w:style w:type="character" w:customStyle="1" w:styleId="Znakzvraznnhotextu">
    <w:name w:val="Znak zvýrazněného textu"/>
    <w:basedOn w:val="Standardnpsmoodstavce"/>
    <w:rPr>
      <w:rFonts w:eastAsia="MS Mincho"/>
      <w:b/>
      <w:color w:val="082A75"/>
      <w:sz w:val="28"/>
      <w:szCs w:val="22"/>
    </w:rPr>
  </w:style>
  <w:style w:type="paragraph" w:styleId="Normlnweb">
    <w:name w:val="Normal (Web)"/>
    <w:basedOn w:val="Normln"/>
    <w:uiPriority w:val="99"/>
    <w:pPr>
      <w:suppressAutoHyphens/>
      <w:spacing w:before="100" w:after="100" w:line="240" w:lineRule="auto"/>
    </w:pPr>
    <w:rPr>
      <w:rFonts w:ascii="Times New Roman" w:eastAsia="Times New Roman" w:hAnsi="Times New Roman" w:cs="Times New Roman"/>
      <w:b/>
      <w:szCs w:val="24"/>
      <w:lang w:eastAsia="cs-CZ"/>
    </w:rPr>
  </w:style>
  <w:style w:type="paragraph" w:styleId="Textpoznpodarou">
    <w:name w:val="footnote text"/>
    <w:basedOn w:val="Normln"/>
    <w:uiPriority w:val="99"/>
    <w:pPr>
      <w:suppressAutoHyphens/>
      <w:spacing w:line="240" w:lineRule="auto"/>
    </w:pPr>
    <w:rPr>
      <w:rFonts w:eastAsia="Calibri"/>
      <w:sz w:val="20"/>
      <w:szCs w:val="20"/>
    </w:rPr>
  </w:style>
  <w:style w:type="character" w:customStyle="1" w:styleId="TextpoznpodarouChar">
    <w:name w:val="Text pozn. pod čarou Char"/>
    <w:basedOn w:val="Standardnpsmoodstavce"/>
    <w:uiPriority w:val="99"/>
    <w:rPr>
      <w:rFonts w:ascii="Arial Narrow" w:hAnsi="Arial Narrow"/>
      <w:sz w:val="20"/>
      <w:szCs w:val="20"/>
    </w:rPr>
  </w:style>
  <w:style w:type="character" w:styleId="Znakapoznpodarou">
    <w:name w:val="footnote reference"/>
    <w:basedOn w:val="Standardnpsmoodstavce"/>
    <w:uiPriority w:val="99"/>
    <w:rPr>
      <w:position w:val="0"/>
      <w:vertAlign w:val="superscript"/>
    </w:rPr>
  </w:style>
  <w:style w:type="character" w:styleId="Hypertextovodkaz">
    <w:name w:val="Hyperlink"/>
    <w:basedOn w:val="Standardnpsmoodstavce"/>
    <w:uiPriority w:val="99"/>
    <w:rPr>
      <w:color w:val="3592CF"/>
      <w:u w:val="single"/>
    </w:rPr>
  </w:style>
  <w:style w:type="paragraph" w:customStyle="1" w:styleId="Nadpis10">
    <w:name w:val="Nadpis1"/>
    <w:basedOn w:val="Normln"/>
    <w:rPr>
      <w:b/>
      <w:color w:val="A6B727"/>
      <w:sz w:val="48"/>
    </w:rPr>
  </w:style>
  <w:style w:type="character" w:customStyle="1" w:styleId="Nadpis3Char">
    <w:name w:val="Nadpis 3 Char"/>
    <w:basedOn w:val="Standardnpsmoodstavce"/>
    <w:link w:val="Nadpis3"/>
    <w:uiPriority w:val="9"/>
    <w:rsid w:val="00B17F5E"/>
    <w:rPr>
      <w:rFonts w:asciiTheme="majorHAnsi" w:eastAsiaTheme="majorEastAsia" w:hAnsiTheme="majorHAnsi" w:cstheme="majorBidi"/>
      <w:b/>
      <w:color w:val="595959" w:themeColor="text1" w:themeTint="A6"/>
      <w:sz w:val="28"/>
      <w:szCs w:val="28"/>
    </w:rPr>
  </w:style>
  <w:style w:type="character" w:customStyle="1" w:styleId="Nadpis1Char0">
    <w:name w:val="Nadpis1 Char"/>
    <w:basedOn w:val="Standardnpsmoodstavce"/>
    <w:rPr>
      <w:rFonts w:ascii="Arial Narrow" w:eastAsia="MS Mincho" w:hAnsi="Arial Narrow"/>
      <w:b/>
      <w:color w:val="A6B727"/>
      <w:sz w:val="48"/>
      <w:szCs w:val="22"/>
    </w:rPr>
  </w:style>
  <w:style w:type="character" w:customStyle="1" w:styleId="Nadpis4Char">
    <w:name w:val="Nadpis 4 Char"/>
    <w:basedOn w:val="Standardnpsmoodstavce"/>
    <w:link w:val="Nadpis4"/>
    <w:uiPriority w:val="9"/>
    <w:rsid w:val="00DD3E26"/>
    <w:rPr>
      <w:rFonts w:asciiTheme="majorHAnsi" w:eastAsiaTheme="majorEastAsia" w:hAnsiTheme="majorHAnsi" w:cstheme="majorBidi"/>
      <w:caps/>
      <w:sz w:val="24"/>
    </w:rPr>
  </w:style>
  <w:style w:type="character" w:customStyle="1" w:styleId="Nadpis5Char">
    <w:name w:val="Nadpis 5 Char"/>
    <w:basedOn w:val="Standardnpsmoodstavce"/>
    <w:link w:val="Nadpis5"/>
    <w:uiPriority w:val="9"/>
    <w:rsid w:val="00DD3E26"/>
    <w:rPr>
      <w:rFonts w:asciiTheme="majorHAnsi" w:eastAsiaTheme="majorEastAsia" w:hAnsiTheme="majorHAnsi" w:cstheme="majorBidi"/>
      <w:i/>
      <w:iCs/>
      <w:caps/>
      <w:sz w:val="24"/>
    </w:rPr>
  </w:style>
  <w:style w:type="character" w:customStyle="1" w:styleId="Nadpis6Char">
    <w:name w:val="Nadpis 6 Char"/>
    <w:basedOn w:val="Standardnpsmoodstavce"/>
    <w:link w:val="Nadpis6"/>
    <w:uiPriority w:val="9"/>
    <w:rsid w:val="00DD3E26"/>
    <w:rPr>
      <w:rFonts w:asciiTheme="majorHAnsi" w:eastAsiaTheme="majorEastAsia" w:hAnsiTheme="majorHAnsi" w:cstheme="majorBidi"/>
      <w:b/>
      <w:bCs/>
      <w:caps/>
      <w:color w:val="262626" w:themeColor="text1" w:themeTint="D9"/>
      <w:sz w:val="20"/>
      <w:szCs w:val="20"/>
    </w:rPr>
  </w:style>
  <w:style w:type="character" w:customStyle="1" w:styleId="Nadpis7Char">
    <w:name w:val="Nadpis 7 Char"/>
    <w:basedOn w:val="Standardnpsmoodstavce"/>
    <w:link w:val="Nadpis7"/>
    <w:uiPriority w:val="9"/>
    <w:rsid w:val="00DD3E26"/>
    <w:rPr>
      <w:rFonts w:asciiTheme="majorHAnsi" w:eastAsiaTheme="majorEastAsia" w:hAnsiTheme="majorHAnsi" w:cstheme="majorBidi"/>
      <w:b/>
      <w:bCs/>
      <w:i/>
      <w:iCs/>
      <w:caps/>
      <w:color w:val="262626" w:themeColor="text1" w:themeTint="D9"/>
      <w:sz w:val="20"/>
      <w:szCs w:val="20"/>
    </w:rPr>
  </w:style>
  <w:style w:type="character" w:customStyle="1" w:styleId="Nadpis8Char">
    <w:name w:val="Nadpis 8 Char"/>
    <w:basedOn w:val="Standardnpsmoodstavce"/>
    <w:link w:val="Nadpis8"/>
    <w:uiPriority w:val="9"/>
    <w:rsid w:val="00DD3E26"/>
    <w:rPr>
      <w:rFonts w:asciiTheme="majorHAnsi" w:eastAsiaTheme="majorEastAsia" w:hAnsiTheme="majorHAnsi" w:cstheme="majorBidi"/>
      <w:b/>
      <w:bCs/>
      <w:caps/>
      <w:color w:val="7F7F7F" w:themeColor="text1" w:themeTint="80"/>
      <w:sz w:val="20"/>
      <w:szCs w:val="20"/>
    </w:rPr>
  </w:style>
  <w:style w:type="character" w:customStyle="1" w:styleId="Nadpis9Char">
    <w:name w:val="Nadpis 9 Char"/>
    <w:basedOn w:val="Standardnpsmoodstavce"/>
    <w:link w:val="Nadpis9"/>
    <w:uiPriority w:val="9"/>
    <w:rsid w:val="00DD3E26"/>
    <w:rPr>
      <w:rFonts w:asciiTheme="majorHAnsi" w:eastAsiaTheme="majorEastAsia" w:hAnsiTheme="majorHAnsi" w:cstheme="majorBidi"/>
      <w:b/>
      <w:bCs/>
      <w:i/>
      <w:iCs/>
      <w:caps/>
      <w:color w:val="7F7F7F" w:themeColor="text1" w:themeTint="80"/>
      <w:sz w:val="20"/>
      <w:szCs w:val="20"/>
    </w:rPr>
  </w:style>
  <w:style w:type="paragraph" w:styleId="Titulek">
    <w:name w:val="caption"/>
    <w:basedOn w:val="Normln"/>
    <w:next w:val="Normln"/>
    <w:uiPriority w:val="35"/>
    <w:unhideWhenUsed/>
    <w:qFormat/>
    <w:rsid w:val="00EC4100"/>
    <w:pPr>
      <w:spacing w:before="120" w:after="120" w:line="240" w:lineRule="auto"/>
    </w:pPr>
    <w:rPr>
      <w:b/>
      <w:bCs/>
      <w:i/>
      <w:smallCaps/>
      <w:color w:val="E19825" w:themeColor="accent3"/>
      <w:sz w:val="22"/>
    </w:rPr>
  </w:style>
  <w:style w:type="character" w:styleId="Siln">
    <w:name w:val="Strong"/>
    <w:basedOn w:val="Standardnpsmoodstavce"/>
    <w:uiPriority w:val="22"/>
    <w:qFormat/>
    <w:rsid w:val="00DD3E26"/>
    <w:rPr>
      <w:b/>
      <w:bCs/>
    </w:rPr>
  </w:style>
  <w:style w:type="character" w:styleId="Zdraznn">
    <w:name w:val="Emphasis"/>
    <w:basedOn w:val="Standardnpsmoodstavce"/>
    <w:uiPriority w:val="20"/>
    <w:qFormat/>
    <w:rsid w:val="00DD3E26"/>
    <w:rPr>
      <w:i/>
      <w:iCs/>
    </w:rPr>
  </w:style>
  <w:style w:type="paragraph" w:styleId="Bezmezer">
    <w:name w:val="No Spacing"/>
    <w:uiPriority w:val="1"/>
    <w:qFormat/>
    <w:rsid w:val="00DD3E26"/>
    <w:pPr>
      <w:spacing w:after="0" w:line="240" w:lineRule="auto"/>
    </w:pPr>
  </w:style>
  <w:style w:type="paragraph" w:styleId="Citt">
    <w:name w:val="Quote"/>
    <w:basedOn w:val="Normln"/>
    <w:next w:val="Normln"/>
    <w:link w:val="CittChar"/>
    <w:uiPriority w:val="29"/>
    <w:qFormat/>
    <w:rsid w:val="00DD3E26"/>
    <w:pPr>
      <w:spacing w:before="160" w:line="240" w:lineRule="auto"/>
      <w:ind w:left="720" w:right="720"/>
    </w:pPr>
    <w:rPr>
      <w:rFonts w:asciiTheme="majorHAnsi" w:eastAsiaTheme="majorEastAsia" w:hAnsiTheme="majorHAnsi" w:cstheme="majorBidi"/>
      <w:sz w:val="25"/>
      <w:szCs w:val="25"/>
    </w:rPr>
  </w:style>
  <w:style w:type="character" w:customStyle="1" w:styleId="CittChar">
    <w:name w:val="Citát Char"/>
    <w:basedOn w:val="Standardnpsmoodstavce"/>
    <w:link w:val="Citt"/>
    <w:uiPriority w:val="29"/>
    <w:rsid w:val="00DD3E26"/>
    <w:rPr>
      <w:rFonts w:asciiTheme="majorHAnsi" w:eastAsiaTheme="majorEastAsia" w:hAnsiTheme="majorHAnsi" w:cstheme="majorBidi"/>
      <w:sz w:val="25"/>
      <w:szCs w:val="25"/>
    </w:rPr>
  </w:style>
  <w:style w:type="paragraph" w:styleId="Vrazncitt">
    <w:name w:val="Intense Quote"/>
    <w:basedOn w:val="Normln"/>
    <w:next w:val="Normln"/>
    <w:link w:val="VrazncittChar"/>
    <w:uiPriority w:val="30"/>
    <w:qFormat/>
    <w:rsid w:val="00DD3E26"/>
    <w:pPr>
      <w:spacing w:before="280" w:after="280" w:line="240" w:lineRule="auto"/>
      <w:ind w:left="1080" w:right="1080"/>
      <w:jc w:val="center"/>
    </w:pPr>
    <w:rPr>
      <w:color w:val="404040" w:themeColor="text1" w:themeTint="BF"/>
      <w:sz w:val="32"/>
      <w:szCs w:val="32"/>
    </w:rPr>
  </w:style>
  <w:style w:type="character" w:customStyle="1" w:styleId="VrazncittChar">
    <w:name w:val="Výrazný citát Char"/>
    <w:basedOn w:val="Standardnpsmoodstavce"/>
    <w:link w:val="Vrazncitt"/>
    <w:uiPriority w:val="30"/>
    <w:rsid w:val="00DD3E26"/>
    <w:rPr>
      <w:color w:val="404040" w:themeColor="text1" w:themeTint="BF"/>
      <w:sz w:val="32"/>
      <w:szCs w:val="32"/>
    </w:rPr>
  </w:style>
  <w:style w:type="character" w:styleId="Zdraznnjemn">
    <w:name w:val="Subtle Emphasis"/>
    <w:basedOn w:val="Standardnpsmoodstavce"/>
    <w:uiPriority w:val="19"/>
    <w:qFormat/>
    <w:rsid w:val="00DD3E26"/>
    <w:rPr>
      <w:i/>
      <w:iCs/>
      <w:color w:val="595959" w:themeColor="text1" w:themeTint="A6"/>
    </w:rPr>
  </w:style>
  <w:style w:type="character" w:styleId="Zdraznnintenzivn">
    <w:name w:val="Intense Emphasis"/>
    <w:basedOn w:val="Standardnpsmoodstavce"/>
    <w:uiPriority w:val="21"/>
    <w:qFormat/>
    <w:rsid w:val="00DD3E26"/>
    <w:rPr>
      <w:b/>
      <w:bCs/>
      <w:i/>
      <w:iCs/>
    </w:rPr>
  </w:style>
  <w:style w:type="character" w:styleId="Odkazjemn">
    <w:name w:val="Subtle Reference"/>
    <w:basedOn w:val="Standardnpsmoodstavce"/>
    <w:uiPriority w:val="31"/>
    <w:qFormat/>
    <w:rsid w:val="00DD3E26"/>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DD3E26"/>
    <w:rPr>
      <w:b/>
      <w:bCs/>
      <w:caps w:val="0"/>
      <w:smallCaps/>
      <w:color w:val="auto"/>
      <w:spacing w:val="3"/>
      <w:u w:val="single"/>
    </w:rPr>
  </w:style>
  <w:style w:type="character" w:styleId="Nzevknihy">
    <w:name w:val="Book Title"/>
    <w:basedOn w:val="Standardnpsmoodstavce"/>
    <w:uiPriority w:val="33"/>
    <w:qFormat/>
    <w:rsid w:val="00DD3E26"/>
    <w:rPr>
      <w:b/>
      <w:bCs/>
      <w:smallCaps/>
      <w:spacing w:val="7"/>
    </w:rPr>
  </w:style>
  <w:style w:type="paragraph" w:styleId="Nadpisobsahu">
    <w:name w:val="TOC Heading"/>
    <w:basedOn w:val="Nadpis1"/>
    <w:next w:val="Normln"/>
    <w:uiPriority w:val="39"/>
    <w:unhideWhenUsed/>
    <w:qFormat/>
    <w:rsid w:val="00DD3E26"/>
    <w:pPr>
      <w:outlineLvl w:val="9"/>
    </w:pPr>
  </w:style>
  <w:style w:type="paragraph" w:styleId="Odstavecseseznamem">
    <w:name w:val="List Paragraph"/>
    <w:aliases w:val="Odstavec_muj"/>
    <w:basedOn w:val="Normln"/>
    <w:link w:val="OdstavecseseznamemChar"/>
    <w:uiPriority w:val="34"/>
    <w:qFormat/>
    <w:rsid w:val="00632D7C"/>
    <w:pPr>
      <w:ind w:left="720"/>
      <w:contextualSpacing/>
    </w:pPr>
  </w:style>
  <w:style w:type="table" w:styleId="Mkatabulky">
    <w:name w:val="Table Grid"/>
    <w:basedOn w:val="Normlntabulka"/>
    <w:uiPriority w:val="39"/>
    <w:rsid w:val="00E92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avtabulkasmkou5zvraznn3">
    <w:name w:val="Grid Table 5 Dark Accent 3"/>
    <w:basedOn w:val="Normlntabulka"/>
    <w:uiPriority w:val="50"/>
    <w:rsid w:val="00E92A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ulkasmkou4zvraznn3">
    <w:name w:val="Grid Table 4 Accent 3"/>
    <w:basedOn w:val="Normlntabulka"/>
    <w:uiPriority w:val="49"/>
    <w:rsid w:val="002746BF"/>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character" w:styleId="Sledovanodkaz">
    <w:name w:val="FollowedHyperlink"/>
    <w:basedOn w:val="Standardnpsmoodstavce"/>
    <w:uiPriority w:val="99"/>
    <w:semiHidden/>
    <w:unhideWhenUsed/>
    <w:rsid w:val="006D4019"/>
    <w:rPr>
      <w:color w:val="B26B02" w:themeColor="followedHyperlink"/>
      <w:u w:val="single"/>
    </w:rPr>
  </w:style>
  <w:style w:type="character" w:customStyle="1" w:styleId="OdstavecseseznamemChar">
    <w:name w:val="Odstavec se seznamem Char"/>
    <w:aliases w:val="Odstavec_muj Char"/>
    <w:basedOn w:val="Standardnpsmoodstavce"/>
    <w:link w:val="Odstavecseseznamem"/>
    <w:uiPriority w:val="34"/>
    <w:locked/>
    <w:rsid w:val="00B320EE"/>
    <w:rPr>
      <w:rFonts w:ascii="Arial Narrow" w:hAnsi="Arial Narrow"/>
      <w:sz w:val="24"/>
    </w:rPr>
  </w:style>
  <w:style w:type="table" w:styleId="Svtltabulkasmkou1zvraznn3">
    <w:name w:val="Grid Table 1 Light Accent 3"/>
    <w:basedOn w:val="Normlntabulka"/>
    <w:uiPriority w:val="46"/>
    <w:rsid w:val="00A51B12"/>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ulkaseznamu3zvraznn3">
    <w:name w:val="List Table 3 Accent 3"/>
    <w:basedOn w:val="Normlntabulka"/>
    <w:uiPriority w:val="48"/>
    <w:rsid w:val="00A51B12"/>
    <w:pPr>
      <w:spacing w:after="0" w:line="240" w:lineRule="auto"/>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ulkaseznamu4zvraznn3">
    <w:name w:val="List Table 4 Accent 3"/>
    <w:basedOn w:val="Normlntabulka"/>
    <w:uiPriority w:val="49"/>
    <w:rsid w:val="00A51B12"/>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vtltabulkasmkou1zvraznn2">
    <w:name w:val="Grid Table 1 Light Accent 2"/>
    <w:basedOn w:val="Normlntabulka"/>
    <w:uiPriority w:val="46"/>
    <w:rsid w:val="00090FBE"/>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styleId="Obsah1">
    <w:name w:val="toc 1"/>
    <w:basedOn w:val="Normln"/>
    <w:next w:val="Normln"/>
    <w:autoRedefine/>
    <w:uiPriority w:val="39"/>
    <w:unhideWhenUsed/>
    <w:rsid w:val="00A405B5"/>
    <w:pPr>
      <w:spacing w:after="100"/>
    </w:pPr>
  </w:style>
  <w:style w:type="paragraph" w:styleId="Obsah2">
    <w:name w:val="toc 2"/>
    <w:basedOn w:val="Normln"/>
    <w:next w:val="Normln"/>
    <w:autoRedefine/>
    <w:uiPriority w:val="39"/>
    <w:unhideWhenUsed/>
    <w:rsid w:val="00A405B5"/>
    <w:pPr>
      <w:spacing w:after="100"/>
      <w:ind w:left="240"/>
    </w:pPr>
  </w:style>
  <w:style w:type="paragraph" w:styleId="Obsah3">
    <w:name w:val="toc 3"/>
    <w:basedOn w:val="Normln"/>
    <w:next w:val="Normln"/>
    <w:autoRedefine/>
    <w:uiPriority w:val="39"/>
    <w:unhideWhenUsed/>
    <w:rsid w:val="00A405B5"/>
    <w:pPr>
      <w:spacing w:after="100"/>
      <w:ind w:left="480"/>
    </w:pPr>
  </w:style>
  <w:style w:type="table" w:styleId="Tabulkaseznamu3zvraznn2">
    <w:name w:val="List Table 3 Accent 2"/>
    <w:basedOn w:val="Normlntabulka"/>
    <w:uiPriority w:val="48"/>
    <w:rsid w:val="007422CC"/>
    <w:pPr>
      <w:spacing w:after="0" w:line="240" w:lineRule="auto"/>
    </w:pPr>
    <w:tblPr>
      <w:tblStyleRowBandSize w:val="1"/>
      <w:tblStyleColBandSize w:val="1"/>
      <w:tblBorders>
        <w:top w:val="single" w:sz="4" w:space="0" w:color="D55816" w:themeColor="accent2"/>
        <w:left w:val="single" w:sz="4" w:space="0" w:color="D55816" w:themeColor="accent2"/>
        <w:bottom w:val="single" w:sz="4" w:space="0" w:color="D55816" w:themeColor="accent2"/>
        <w:right w:val="single" w:sz="4" w:space="0" w:color="D55816" w:themeColor="accent2"/>
      </w:tblBorders>
    </w:tblPr>
    <w:tblStylePr w:type="firstRow">
      <w:rPr>
        <w:b/>
        <w:bCs/>
        <w:color w:val="FFFFFF" w:themeColor="background1"/>
      </w:rPr>
      <w:tblPr/>
      <w:tcPr>
        <w:shd w:val="clear" w:color="auto" w:fill="D55816" w:themeFill="accent2"/>
      </w:tcPr>
    </w:tblStylePr>
    <w:tblStylePr w:type="lastRow">
      <w:rPr>
        <w:b/>
        <w:bCs/>
      </w:rPr>
      <w:tblPr/>
      <w:tcPr>
        <w:tcBorders>
          <w:top w:val="double" w:sz="4" w:space="0" w:color="D5581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5816" w:themeColor="accent2"/>
          <w:right w:val="single" w:sz="4" w:space="0" w:color="D55816" w:themeColor="accent2"/>
        </w:tcBorders>
      </w:tcPr>
    </w:tblStylePr>
    <w:tblStylePr w:type="band1Horz">
      <w:tblPr/>
      <w:tcPr>
        <w:tcBorders>
          <w:top w:val="single" w:sz="4" w:space="0" w:color="D55816" w:themeColor="accent2"/>
          <w:bottom w:val="single" w:sz="4" w:space="0" w:color="D5581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5816" w:themeColor="accent2"/>
          <w:left w:val="nil"/>
        </w:tcBorders>
      </w:tcPr>
    </w:tblStylePr>
    <w:tblStylePr w:type="swCell">
      <w:tblPr/>
      <w:tcPr>
        <w:tcBorders>
          <w:top w:val="double" w:sz="4" w:space="0" w:color="D55816" w:themeColor="accent2"/>
          <w:right w:val="nil"/>
        </w:tcBorders>
      </w:tcPr>
    </w:tblStylePr>
  </w:style>
  <w:style w:type="table" w:styleId="Svtltabulkasmkou1zvraznn1">
    <w:name w:val="Grid Table 1 Light Accent 1"/>
    <w:basedOn w:val="Normlntabulka"/>
    <w:uiPriority w:val="46"/>
    <w:rsid w:val="00996837"/>
    <w:pPr>
      <w:spacing w:after="0" w:line="240" w:lineRule="auto"/>
    </w:p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Barevntabulkasmkou6zvraznn3">
    <w:name w:val="Grid Table 6 Colorful Accent 3"/>
    <w:basedOn w:val="Normlntabulka"/>
    <w:uiPriority w:val="51"/>
    <w:rsid w:val="00EC7C4E"/>
    <w:pPr>
      <w:spacing w:after="0" w:line="240" w:lineRule="auto"/>
    </w:pPr>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mavtabulkasmkou5zvraznn2">
    <w:name w:val="Grid Table 5 Dark Accent 2"/>
    <w:basedOn w:val="Normlntabulka"/>
    <w:uiPriority w:val="50"/>
    <w:rsid w:val="00553D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paragraph" w:customStyle="1" w:styleId="Tabulka">
    <w:name w:val="Tabulka"/>
    <w:basedOn w:val="Normln"/>
    <w:link w:val="TabulkaChar"/>
    <w:qFormat/>
    <w:rsid w:val="003A43FC"/>
    <w:pPr>
      <w:spacing w:after="0" w:line="240" w:lineRule="auto"/>
    </w:pPr>
    <w:rPr>
      <w:rFonts w:asciiTheme="majorHAnsi" w:hAnsiTheme="majorHAnsi" w:cstheme="majorHAnsi"/>
      <w:color w:val="FFFFFF" w:themeColor="background1"/>
    </w:rPr>
  </w:style>
  <w:style w:type="character" w:customStyle="1" w:styleId="TabulkaChar">
    <w:name w:val="Tabulka Char"/>
    <w:basedOn w:val="Standardnpsmoodstavce"/>
    <w:link w:val="Tabulka"/>
    <w:rsid w:val="003A43FC"/>
    <w:rPr>
      <w:rFonts w:asciiTheme="majorHAnsi" w:hAnsiTheme="majorHAnsi" w:cstheme="majorHAnsi"/>
      <w:color w:val="FFFFFF" w:themeColor="background1"/>
      <w:sz w:val="24"/>
    </w:rPr>
  </w:style>
  <w:style w:type="paragraph" w:customStyle="1" w:styleId="paragraph">
    <w:name w:val="paragraph"/>
    <w:basedOn w:val="Normln"/>
    <w:rsid w:val="00C14A92"/>
    <w:pPr>
      <w:spacing w:before="100" w:beforeAutospacing="1" w:after="100" w:afterAutospacing="1" w:line="240" w:lineRule="auto"/>
      <w:jc w:val="left"/>
    </w:pPr>
    <w:rPr>
      <w:rFonts w:ascii="Times New Roman" w:eastAsia="Times New Roman" w:hAnsi="Times New Roman" w:cs="Times New Roman"/>
      <w:szCs w:val="24"/>
      <w:lang w:eastAsia="cs-CZ"/>
    </w:rPr>
  </w:style>
  <w:style w:type="table" w:styleId="Tabulkasmkou4zvraznn2">
    <w:name w:val="Grid Table 4 Accent 2"/>
    <w:basedOn w:val="Normlntabulka"/>
    <w:uiPriority w:val="49"/>
    <w:rsid w:val="0063693C"/>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customStyle="1" w:styleId="Nevyeenzmnka1">
    <w:name w:val="Nevyřešená zmínka1"/>
    <w:basedOn w:val="Standardnpsmoodstavce"/>
    <w:uiPriority w:val="99"/>
    <w:semiHidden/>
    <w:unhideWhenUsed/>
    <w:rsid w:val="00B934B2"/>
    <w:rPr>
      <w:color w:val="605E5C"/>
      <w:shd w:val="clear" w:color="auto" w:fill="E1DFDD"/>
    </w:rPr>
  </w:style>
  <w:style w:type="paragraph" w:styleId="Obsah4">
    <w:name w:val="toc 4"/>
    <w:basedOn w:val="Normln"/>
    <w:next w:val="Normln"/>
    <w:autoRedefine/>
    <w:uiPriority w:val="39"/>
    <w:unhideWhenUsed/>
    <w:rsid w:val="00195AFC"/>
    <w:pPr>
      <w:spacing w:after="100"/>
      <w:ind w:left="660"/>
      <w:jc w:val="left"/>
    </w:pPr>
    <w:rPr>
      <w:rFonts w:asciiTheme="minorHAnsi" w:hAnsiTheme="minorHAnsi"/>
      <w:kern w:val="2"/>
      <w:sz w:val="22"/>
      <w:lang w:eastAsia="cs-CZ"/>
      <w14:ligatures w14:val="standardContextual"/>
    </w:rPr>
  </w:style>
  <w:style w:type="paragraph" w:styleId="Obsah5">
    <w:name w:val="toc 5"/>
    <w:basedOn w:val="Normln"/>
    <w:next w:val="Normln"/>
    <w:autoRedefine/>
    <w:uiPriority w:val="39"/>
    <w:unhideWhenUsed/>
    <w:rsid w:val="00195AFC"/>
    <w:pPr>
      <w:spacing w:after="100"/>
      <w:ind w:left="880"/>
      <w:jc w:val="left"/>
    </w:pPr>
    <w:rPr>
      <w:rFonts w:asciiTheme="minorHAnsi" w:hAnsiTheme="minorHAnsi"/>
      <w:kern w:val="2"/>
      <w:sz w:val="22"/>
      <w:lang w:eastAsia="cs-CZ"/>
      <w14:ligatures w14:val="standardContextual"/>
    </w:rPr>
  </w:style>
  <w:style w:type="paragraph" w:styleId="Obsah6">
    <w:name w:val="toc 6"/>
    <w:basedOn w:val="Normln"/>
    <w:next w:val="Normln"/>
    <w:autoRedefine/>
    <w:uiPriority w:val="39"/>
    <w:unhideWhenUsed/>
    <w:rsid w:val="00195AFC"/>
    <w:pPr>
      <w:spacing w:after="100"/>
      <w:ind w:left="1100"/>
      <w:jc w:val="left"/>
    </w:pPr>
    <w:rPr>
      <w:rFonts w:asciiTheme="minorHAnsi" w:hAnsiTheme="minorHAnsi"/>
      <w:kern w:val="2"/>
      <w:sz w:val="22"/>
      <w:lang w:eastAsia="cs-CZ"/>
      <w14:ligatures w14:val="standardContextual"/>
    </w:rPr>
  </w:style>
  <w:style w:type="paragraph" w:styleId="Obsah7">
    <w:name w:val="toc 7"/>
    <w:basedOn w:val="Normln"/>
    <w:next w:val="Normln"/>
    <w:autoRedefine/>
    <w:uiPriority w:val="39"/>
    <w:unhideWhenUsed/>
    <w:rsid w:val="00195AFC"/>
    <w:pPr>
      <w:spacing w:after="100"/>
      <w:ind w:left="1320"/>
      <w:jc w:val="left"/>
    </w:pPr>
    <w:rPr>
      <w:rFonts w:asciiTheme="minorHAnsi" w:hAnsiTheme="minorHAnsi"/>
      <w:kern w:val="2"/>
      <w:sz w:val="22"/>
      <w:lang w:eastAsia="cs-CZ"/>
      <w14:ligatures w14:val="standardContextual"/>
    </w:rPr>
  </w:style>
  <w:style w:type="paragraph" w:styleId="Obsah8">
    <w:name w:val="toc 8"/>
    <w:basedOn w:val="Normln"/>
    <w:next w:val="Normln"/>
    <w:autoRedefine/>
    <w:uiPriority w:val="39"/>
    <w:unhideWhenUsed/>
    <w:rsid w:val="00195AFC"/>
    <w:pPr>
      <w:spacing w:after="100"/>
      <w:ind w:left="1540"/>
      <w:jc w:val="left"/>
    </w:pPr>
    <w:rPr>
      <w:rFonts w:asciiTheme="minorHAnsi" w:hAnsiTheme="minorHAnsi"/>
      <w:kern w:val="2"/>
      <w:sz w:val="22"/>
      <w:lang w:eastAsia="cs-CZ"/>
      <w14:ligatures w14:val="standardContextual"/>
    </w:rPr>
  </w:style>
  <w:style w:type="paragraph" w:styleId="Obsah9">
    <w:name w:val="toc 9"/>
    <w:basedOn w:val="Normln"/>
    <w:next w:val="Normln"/>
    <w:autoRedefine/>
    <w:uiPriority w:val="39"/>
    <w:unhideWhenUsed/>
    <w:rsid w:val="00195AFC"/>
    <w:pPr>
      <w:spacing w:after="100"/>
      <w:ind w:left="1760"/>
      <w:jc w:val="left"/>
    </w:pPr>
    <w:rPr>
      <w:rFonts w:asciiTheme="minorHAnsi" w:hAnsiTheme="minorHAnsi"/>
      <w:kern w:val="2"/>
      <w:sz w:val="22"/>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400">
      <w:bodyDiv w:val="1"/>
      <w:marLeft w:val="0"/>
      <w:marRight w:val="0"/>
      <w:marTop w:val="0"/>
      <w:marBottom w:val="0"/>
      <w:divBdr>
        <w:top w:val="none" w:sz="0" w:space="0" w:color="auto"/>
        <w:left w:val="none" w:sz="0" w:space="0" w:color="auto"/>
        <w:bottom w:val="none" w:sz="0" w:space="0" w:color="auto"/>
        <w:right w:val="none" w:sz="0" w:space="0" w:color="auto"/>
      </w:divBdr>
      <w:divsChild>
        <w:div w:id="733889894">
          <w:marLeft w:val="547"/>
          <w:marRight w:val="0"/>
          <w:marTop w:val="0"/>
          <w:marBottom w:val="0"/>
          <w:divBdr>
            <w:top w:val="none" w:sz="0" w:space="0" w:color="auto"/>
            <w:left w:val="none" w:sz="0" w:space="0" w:color="auto"/>
            <w:bottom w:val="none" w:sz="0" w:space="0" w:color="auto"/>
            <w:right w:val="none" w:sz="0" w:space="0" w:color="auto"/>
          </w:divBdr>
        </w:div>
      </w:divsChild>
    </w:div>
    <w:div w:id="4673174">
      <w:bodyDiv w:val="1"/>
      <w:marLeft w:val="0"/>
      <w:marRight w:val="0"/>
      <w:marTop w:val="0"/>
      <w:marBottom w:val="0"/>
      <w:divBdr>
        <w:top w:val="none" w:sz="0" w:space="0" w:color="auto"/>
        <w:left w:val="none" w:sz="0" w:space="0" w:color="auto"/>
        <w:bottom w:val="none" w:sz="0" w:space="0" w:color="auto"/>
        <w:right w:val="none" w:sz="0" w:space="0" w:color="auto"/>
      </w:divBdr>
    </w:div>
    <w:div w:id="46494363">
      <w:bodyDiv w:val="1"/>
      <w:marLeft w:val="0"/>
      <w:marRight w:val="0"/>
      <w:marTop w:val="0"/>
      <w:marBottom w:val="0"/>
      <w:divBdr>
        <w:top w:val="none" w:sz="0" w:space="0" w:color="auto"/>
        <w:left w:val="none" w:sz="0" w:space="0" w:color="auto"/>
        <w:bottom w:val="none" w:sz="0" w:space="0" w:color="auto"/>
        <w:right w:val="none" w:sz="0" w:space="0" w:color="auto"/>
      </w:divBdr>
    </w:div>
    <w:div w:id="53965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9595">
          <w:marLeft w:val="547"/>
          <w:marRight w:val="0"/>
          <w:marTop w:val="0"/>
          <w:marBottom w:val="0"/>
          <w:divBdr>
            <w:top w:val="none" w:sz="0" w:space="0" w:color="auto"/>
            <w:left w:val="none" w:sz="0" w:space="0" w:color="auto"/>
            <w:bottom w:val="none" w:sz="0" w:space="0" w:color="auto"/>
            <w:right w:val="none" w:sz="0" w:space="0" w:color="auto"/>
          </w:divBdr>
        </w:div>
        <w:div w:id="1122070953">
          <w:marLeft w:val="547"/>
          <w:marRight w:val="0"/>
          <w:marTop w:val="0"/>
          <w:marBottom w:val="0"/>
          <w:divBdr>
            <w:top w:val="none" w:sz="0" w:space="0" w:color="auto"/>
            <w:left w:val="none" w:sz="0" w:space="0" w:color="auto"/>
            <w:bottom w:val="none" w:sz="0" w:space="0" w:color="auto"/>
            <w:right w:val="none" w:sz="0" w:space="0" w:color="auto"/>
          </w:divBdr>
        </w:div>
      </w:divsChild>
    </w:div>
    <w:div w:id="72359498">
      <w:bodyDiv w:val="1"/>
      <w:marLeft w:val="0"/>
      <w:marRight w:val="0"/>
      <w:marTop w:val="0"/>
      <w:marBottom w:val="0"/>
      <w:divBdr>
        <w:top w:val="none" w:sz="0" w:space="0" w:color="auto"/>
        <w:left w:val="none" w:sz="0" w:space="0" w:color="auto"/>
        <w:bottom w:val="none" w:sz="0" w:space="0" w:color="auto"/>
        <w:right w:val="none" w:sz="0" w:space="0" w:color="auto"/>
      </w:divBdr>
    </w:div>
    <w:div w:id="95828233">
      <w:bodyDiv w:val="1"/>
      <w:marLeft w:val="0"/>
      <w:marRight w:val="0"/>
      <w:marTop w:val="0"/>
      <w:marBottom w:val="0"/>
      <w:divBdr>
        <w:top w:val="none" w:sz="0" w:space="0" w:color="auto"/>
        <w:left w:val="none" w:sz="0" w:space="0" w:color="auto"/>
        <w:bottom w:val="none" w:sz="0" w:space="0" w:color="auto"/>
        <w:right w:val="none" w:sz="0" w:space="0" w:color="auto"/>
      </w:divBdr>
      <w:divsChild>
        <w:div w:id="1403789964">
          <w:marLeft w:val="547"/>
          <w:marRight w:val="0"/>
          <w:marTop w:val="0"/>
          <w:marBottom w:val="0"/>
          <w:divBdr>
            <w:top w:val="none" w:sz="0" w:space="0" w:color="auto"/>
            <w:left w:val="none" w:sz="0" w:space="0" w:color="auto"/>
            <w:bottom w:val="none" w:sz="0" w:space="0" w:color="auto"/>
            <w:right w:val="none" w:sz="0" w:space="0" w:color="auto"/>
          </w:divBdr>
        </w:div>
        <w:div w:id="609092552">
          <w:marLeft w:val="547"/>
          <w:marRight w:val="0"/>
          <w:marTop w:val="0"/>
          <w:marBottom w:val="0"/>
          <w:divBdr>
            <w:top w:val="none" w:sz="0" w:space="0" w:color="auto"/>
            <w:left w:val="none" w:sz="0" w:space="0" w:color="auto"/>
            <w:bottom w:val="none" w:sz="0" w:space="0" w:color="auto"/>
            <w:right w:val="none" w:sz="0" w:space="0" w:color="auto"/>
          </w:divBdr>
        </w:div>
      </w:divsChild>
    </w:div>
    <w:div w:id="105009042">
      <w:bodyDiv w:val="1"/>
      <w:marLeft w:val="0"/>
      <w:marRight w:val="0"/>
      <w:marTop w:val="0"/>
      <w:marBottom w:val="0"/>
      <w:divBdr>
        <w:top w:val="none" w:sz="0" w:space="0" w:color="auto"/>
        <w:left w:val="none" w:sz="0" w:space="0" w:color="auto"/>
        <w:bottom w:val="none" w:sz="0" w:space="0" w:color="auto"/>
        <w:right w:val="none" w:sz="0" w:space="0" w:color="auto"/>
      </w:divBdr>
      <w:divsChild>
        <w:div w:id="1488471886">
          <w:marLeft w:val="0"/>
          <w:marRight w:val="0"/>
          <w:marTop w:val="0"/>
          <w:marBottom w:val="0"/>
          <w:divBdr>
            <w:top w:val="none" w:sz="0" w:space="0" w:color="auto"/>
            <w:left w:val="none" w:sz="0" w:space="0" w:color="auto"/>
            <w:bottom w:val="none" w:sz="0" w:space="0" w:color="auto"/>
            <w:right w:val="none" w:sz="0" w:space="0" w:color="auto"/>
          </w:divBdr>
          <w:divsChild>
            <w:div w:id="1005088021">
              <w:marLeft w:val="0"/>
              <w:marRight w:val="0"/>
              <w:marTop w:val="0"/>
              <w:marBottom w:val="0"/>
              <w:divBdr>
                <w:top w:val="none" w:sz="0" w:space="0" w:color="auto"/>
                <w:left w:val="none" w:sz="0" w:space="0" w:color="auto"/>
                <w:bottom w:val="none" w:sz="0" w:space="0" w:color="auto"/>
                <w:right w:val="none" w:sz="0" w:space="0" w:color="auto"/>
              </w:divBdr>
              <w:divsChild>
                <w:div w:id="406659896">
                  <w:marLeft w:val="0"/>
                  <w:marRight w:val="0"/>
                  <w:marTop w:val="0"/>
                  <w:marBottom w:val="0"/>
                  <w:divBdr>
                    <w:top w:val="none" w:sz="0" w:space="0" w:color="auto"/>
                    <w:left w:val="none" w:sz="0" w:space="0" w:color="auto"/>
                    <w:bottom w:val="none" w:sz="0" w:space="0" w:color="auto"/>
                    <w:right w:val="none" w:sz="0" w:space="0" w:color="auto"/>
                  </w:divBdr>
                  <w:divsChild>
                    <w:div w:id="1591624526">
                      <w:marLeft w:val="0"/>
                      <w:marRight w:val="0"/>
                      <w:marTop w:val="0"/>
                      <w:marBottom w:val="0"/>
                      <w:divBdr>
                        <w:top w:val="none" w:sz="0" w:space="0" w:color="auto"/>
                        <w:left w:val="none" w:sz="0" w:space="0" w:color="auto"/>
                        <w:bottom w:val="none" w:sz="0" w:space="0" w:color="auto"/>
                        <w:right w:val="none" w:sz="0" w:space="0" w:color="auto"/>
                      </w:divBdr>
                      <w:divsChild>
                        <w:div w:id="169026061">
                          <w:marLeft w:val="0"/>
                          <w:marRight w:val="0"/>
                          <w:marTop w:val="0"/>
                          <w:marBottom w:val="0"/>
                          <w:divBdr>
                            <w:top w:val="none" w:sz="0" w:space="0" w:color="auto"/>
                            <w:left w:val="none" w:sz="0" w:space="0" w:color="auto"/>
                            <w:bottom w:val="none" w:sz="0" w:space="0" w:color="auto"/>
                            <w:right w:val="none" w:sz="0" w:space="0" w:color="auto"/>
                          </w:divBdr>
                          <w:divsChild>
                            <w:div w:id="20695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2667">
      <w:bodyDiv w:val="1"/>
      <w:marLeft w:val="0"/>
      <w:marRight w:val="0"/>
      <w:marTop w:val="0"/>
      <w:marBottom w:val="0"/>
      <w:divBdr>
        <w:top w:val="none" w:sz="0" w:space="0" w:color="auto"/>
        <w:left w:val="none" w:sz="0" w:space="0" w:color="auto"/>
        <w:bottom w:val="none" w:sz="0" w:space="0" w:color="auto"/>
        <w:right w:val="none" w:sz="0" w:space="0" w:color="auto"/>
      </w:divBdr>
    </w:div>
    <w:div w:id="179860136">
      <w:bodyDiv w:val="1"/>
      <w:marLeft w:val="0"/>
      <w:marRight w:val="0"/>
      <w:marTop w:val="0"/>
      <w:marBottom w:val="0"/>
      <w:divBdr>
        <w:top w:val="none" w:sz="0" w:space="0" w:color="auto"/>
        <w:left w:val="none" w:sz="0" w:space="0" w:color="auto"/>
        <w:bottom w:val="none" w:sz="0" w:space="0" w:color="auto"/>
        <w:right w:val="none" w:sz="0" w:space="0" w:color="auto"/>
      </w:divBdr>
      <w:divsChild>
        <w:div w:id="1180855457">
          <w:marLeft w:val="547"/>
          <w:marRight w:val="0"/>
          <w:marTop w:val="0"/>
          <w:marBottom w:val="0"/>
          <w:divBdr>
            <w:top w:val="none" w:sz="0" w:space="0" w:color="auto"/>
            <w:left w:val="none" w:sz="0" w:space="0" w:color="auto"/>
            <w:bottom w:val="none" w:sz="0" w:space="0" w:color="auto"/>
            <w:right w:val="none" w:sz="0" w:space="0" w:color="auto"/>
          </w:divBdr>
        </w:div>
      </w:divsChild>
    </w:div>
    <w:div w:id="182860347">
      <w:bodyDiv w:val="1"/>
      <w:marLeft w:val="0"/>
      <w:marRight w:val="0"/>
      <w:marTop w:val="0"/>
      <w:marBottom w:val="0"/>
      <w:divBdr>
        <w:top w:val="none" w:sz="0" w:space="0" w:color="auto"/>
        <w:left w:val="none" w:sz="0" w:space="0" w:color="auto"/>
        <w:bottom w:val="none" w:sz="0" w:space="0" w:color="auto"/>
        <w:right w:val="none" w:sz="0" w:space="0" w:color="auto"/>
      </w:divBdr>
    </w:div>
    <w:div w:id="188835310">
      <w:bodyDiv w:val="1"/>
      <w:marLeft w:val="0"/>
      <w:marRight w:val="0"/>
      <w:marTop w:val="0"/>
      <w:marBottom w:val="0"/>
      <w:divBdr>
        <w:top w:val="none" w:sz="0" w:space="0" w:color="auto"/>
        <w:left w:val="none" w:sz="0" w:space="0" w:color="auto"/>
        <w:bottom w:val="none" w:sz="0" w:space="0" w:color="auto"/>
        <w:right w:val="none" w:sz="0" w:space="0" w:color="auto"/>
      </w:divBdr>
    </w:div>
    <w:div w:id="248657796">
      <w:bodyDiv w:val="1"/>
      <w:marLeft w:val="0"/>
      <w:marRight w:val="0"/>
      <w:marTop w:val="0"/>
      <w:marBottom w:val="0"/>
      <w:divBdr>
        <w:top w:val="none" w:sz="0" w:space="0" w:color="auto"/>
        <w:left w:val="none" w:sz="0" w:space="0" w:color="auto"/>
        <w:bottom w:val="none" w:sz="0" w:space="0" w:color="auto"/>
        <w:right w:val="none" w:sz="0" w:space="0" w:color="auto"/>
      </w:divBdr>
    </w:div>
    <w:div w:id="253052462">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841131">
      <w:bodyDiv w:val="1"/>
      <w:marLeft w:val="0"/>
      <w:marRight w:val="0"/>
      <w:marTop w:val="0"/>
      <w:marBottom w:val="0"/>
      <w:divBdr>
        <w:top w:val="none" w:sz="0" w:space="0" w:color="auto"/>
        <w:left w:val="none" w:sz="0" w:space="0" w:color="auto"/>
        <w:bottom w:val="none" w:sz="0" w:space="0" w:color="auto"/>
        <w:right w:val="none" w:sz="0" w:space="0" w:color="auto"/>
      </w:divBdr>
    </w:div>
    <w:div w:id="281035874">
      <w:bodyDiv w:val="1"/>
      <w:marLeft w:val="0"/>
      <w:marRight w:val="0"/>
      <w:marTop w:val="0"/>
      <w:marBottom w:val="0"/>
      <w:divBdr>
        <w:top w:val="none" w:sz="0" w:space="0" w:color="auto"/>
        <w:left w:val="none" w:sz="0" w:space="0" w:color="auto"/>
        <w:bottom w:val="none" w:sz="0" w:space="0" w:color="auto"/>
        <w:right w:val="none" w:sz="0" w:space="0" w:color="auto"/>
      </w:divBdr>
    </w:div>
    <w:div w:id="309675263">
      <w:bodyDiv w:val="1"/>
      <w:marLeft w:val="0"/>
      <w:marRight w:val="0"/>
      <w:marTop w:val="0"/>
      <w:marBottom w:val="0"/>
      <w:divBdr>
        <w:top w:val="none" w:sz="0" w:space="0" w:color="auto"/>
        <w:left w:val="none" w:sz="0" w:space="0" w:color="auto"/>
        <w:bottom w:val="none" w:sz="0" w:space="0" w:color="auto"/>
        <w:right w:val="none" w:sz="0" w:space="0" w:color="auto"/>
      </w:divBdr>
    </w:div>
    <w:div w:id="327371802">
      <w:bodyDiv w:val="1"/>
      <w:marLeft w:val="0"/>
      <w:marRight w:val="0"/>
      <w:marTop w:val="0"/>
      <w:marBottom w:val="0"/>
      <w:divBdr>
        <w:top w:val="none" w:sz="0" w:space="0" w:color="auto"/>
        <w:left w:val="none" w:sz="0" w:space="0" w:color="auto"/>
        <w:bottom w:val="none" w:sz="0" w:space="0" w:color="auto"/>
        <w:right w:val="none" w:sz="0" w:space="0" w:color="auto"/>
      </w:divBdr>
    </w:div>
    <w:div w:id="338236460">
      <w:bodyDiv w:val="1"/>
      <w:marLeft w:val="0"/>
      <w:marRight w:val="0"/>
      <w:marTop w:val="0"/>
      <w:marBottom w:val="0"/>
      <w:divBdr>
        <w:top w:val="none" w:sz="0" w:space="0" w:color="auto"/>
        <w:left w:val="none" w:sz="0" w:space="0" w:color="auto"/>
        <w:bottom w:val="none" w:sz="0" w:space="0" w:color="auto"/>
        <w:right w:val="none" w:sz="0" w:space="0" w:color="auto"/>
      </w:divBdr>
    </w:div>
    <w:div w:id="347029760">
      <w:bodyDiv w:val="1"/>
      <w:marLeft w:val="0"/>
      <w:marRight w:val="0"/>
      <w:marTop w:val="0"/>
      <w:marBottom w:val="0"/>
      <w:divBdr>
        <w:top w:val="none" w:sz="0" w:space="0" w:color="auto"/>
        <w:left w:val="none" w:sz="0" w:space="0" w:color="auto"/>
        <w:bottom w:val="none" w:sz="0" w:space="0" w:color="auto"/>
        <w:right w:val="none" w:sz="0" w:space="0" w:color="auto"/>
      </w:divBdr>
    </w:div>
    <w:div w:id="358747902">
      <w:bodyDiv w:val="1"/>
      <w:marLeft w:val="0"/>
      <w:marRight w:val="0"/>
      <w:marTop w:val="0"/>
      <w:marBottom w:val="0"/>
      <w:divBdr>
        <w:top w:val="none" w:sz="0" w:space="0" w:color="auto"/>
        <w:left w:val="none" w:sz="0" w:space="0" w:color="auto"/>
        <w:bottom w:val="none" w:sz="0" w:space="0" w:color="auto"/>
        <w:right w:val="none" w:sz="0" w:space="0" w:color="auto"/>
      </w:divBdr>
    </w:div>
    <w:div w:id="367684669">
      <w:bodyDiv w:val="1"/>
      <w:marLeft w:val="0"/>
      <w:marRight w:val="0"/>
      <w:marTop w:val="0"/>
      <w:marBottom w:val="0"/>
      <w:divBdr>
        <w:top w:val="none" w:sz="0" w:space="0" w:color="auto"/>
        <w:left w:val="none" w:sz="0" w:space="0" w:color="auto"/>
        <w:bottom w:val="none" w:sz="0" w:space="0" w:color="auto"/>
        <w:right w:val="none" w:sz="0" w:space="0" w:color="auto"/>
      </w:divBdr>
    </w:div>
    <w:div w:id="414976416">
      <w:bodyDiv w:val="1"/>
      <w:marLeft w:val="0"/>
      <w:marRight w:val="0"/>
      <w:marTop w:val="0"/>
      <w:marBottom w:val="0"/>
      <w:divBdr>
        <w:top w:val="none" w:sz="0" w:space="0" w:color="auto"/>
        <w:left w:val="none" w:sz="0" w:space="0" w:color="auto"/>
        <w:bottom w:val="none" w:sz="0" w:space="0" w:color="auto"/>
        <w:right w:val="none" w:sz="0" w:space="0" w:color="auto"/>
      </w:divBdr>
    </w:div>
    <w:div w:id="415441636">
      <w:bodyDiv w:val="1"/>
      <w:marLeft w:val="0"/>
      <w:marRight w:val="0"/>
      <w:marTop w:val="0"/>
      <w:marBottom w:val="0"/>
      <w:divBdr>
        <w:top w:val="none" w:sz="0" w:space="0" w:color="auto"/>
        <w:left w:val="none" w:sz="0" w:space="0" w:color="auto"/>
        <w:bottom w:val="none" w:sz="0" w:space="0" w:color="auto"/>
        <w:right w:val="none" w:sz="0" w:space="0" w:color="auto"/>
      </w:divBdr>
    </w:div>
    <w:div w:id="422266957">
      <w:bodyDiv w:val="1"/>
      <w:marLeft w:val="0"/>
      <w:marRight w:val="0"/>
      <w:marTop w:val="0"/>
      <w:marBottom w:val="0"/>
      <w:divBdr>
        <w:top w:val="none" w:sz="0" w:space="0" w:color="auto"/>
        <w:left w:val="none" w:sz="0" w:space="0" w:color="auto"/>
        <w:bottom w:val="none" w:sz="0" w:space="0" w:color="auto"/>
        <w:right w:val="none" w:sz="0" w:space="0" w:color="auto"/>
      </w:divBdr>
      <w:divsChild>
        <w:div w:id="101845323">
          <w:marLeft w:val="547"/>
          <w:marRight w:val="0"/>
          <w:marTop w:val="0"/>
          <w:marBottom w:val="0"/>
          <w:divBdr>
            <w:top w:val="none" w:sz="0" w:space="0" w:color="auto"/>
            <w:left w:val="none" w:sz="0" w:space="0" w:color="auto"/>
            <w:bottom w:val="none" w:sz="0" w:space="0" w:color="auto"/>
            <w:right w:val="none" w:sz="0" w:space="0" w:color="auto"/>
          </w:divBdr>
        </w:div>
      </w:divsChild>
    </w:div>
    <w:div w:id="436561006">
      <w:bodyDiv w:val="1"/>
      <w:marLeft w:val="0"/>
      <w:marRight w:val="0"/>
      <w:marTop w:val="0"/>
      <w:marBottom w:val="0"/>
      <w:divBdr>
        <w:top w:val="none" w:sz="0" w:space="0" w:color="auto"/>
        <w:left w:val="none" w:sz="0" w:space="0" w:color="auto"/>
        <w:bottom w:val="none" w:sz="0" w:space="0" w:color="auto"/>
        <w:right w:val="none" w:sz="0" w:space="0" w:color="auto"/>
      </w:divBdr>
    </w:div>
    <w:div w:id="473566690">
      <w:bodyDiv w:val="1"/>
      <w:marLeft w:val="0"/>
      <w:marRight w:val="0"/>
      <w:marTop w:val="0"/>
      <w:marBottom w:val="0"/>
      <w:divBdr>
        <w:top w:val="none" w:sz="0" w:space="0" w:color="auto"/>
        <w:left w:val="none" w:sz="0" w:space="0" w:color="auto"/>
        <w:bottom w:val="none" w:sz="0" w:space="0" w:color="auto"/>
        <w:right w:val="none" w:sz="0" w:space="0" w:color="auto"/>
      </w:divBdr>
    </w:div>
    <w:div w:id="503252405">
      <w:bodyDiv w:val="1"/>
      <w:marLeft w:val="0"/>
      <w:marRight w:val="0"/>
      <w:marTop w:val="0"/>
      <w:marBottom w:val="0"/>
      <w:divBdr>
        <w:top w:val="none" w:sz="0" w:space="0" w:color="auto"/>
        <w:left w:val="none" w:sz="0" w:space="0" w:color="auto"/>
        <w:bottom w:val="none" w:sz="0" w:space="0" w:color="auto"/>
        <w:right w:val="none" w:sz="0" w:space="0" w:color="auto"/>
      </w:divBdr>
      <w:divsChild>
        <w:div w:id="49158152">
          <w:marLeft w:val="547"/>
          <w:marRight w:val="0"/>
          <w:marTop w:val="0"/>
          <w:marBottom w:val="0"/>
          <w:divBdr>
            <w:top w:val="none" w:sz="0" w:space="0" w:color="auto"/>
            <w:left w:val="none" w:sz="0" w:space="0" w:color="auto"/>
            <w:bottom w:val="none" w:sz="0" w:space="0" w:color="auto"/>
            <w:right w:val="none" w:sz="0" w:space="0" w:color="auto"/>
          </w:divBdr>
        </w:div>
        <w:div w:id="1767263483">
          <w:marLeft w:val="547"/>
          <w:marRight w:val="0"/>
          <w:marTop w:val="0"/>
          <w:marBottom w:val="0"/>
          <w:divBdr>
            <w:top w:val="none" w:sz="0" w:space="0" w:color="auto"/>
            <w:left w:val="none" w:sz="0" w:space="0" w:color="auto"/>
            <w:bottom w:val="none" w:sz="0" w:space="0" w:color="auto"/>
            <w:right w:val="none" w:sz="0" w:space="0" w:color="auto"/>
          </w:divBdr>
        </w:div>
        <w:div w:id="1226990563">
          <w:marLeft w:val="547"/>
          <w:marRight w:val="0"/>
          <w:marTop w:val="0"/>
          <w:marBottom w:val="0"/>
          <w:divBdr>
            <w:top w:val="none" w:sz="0" w:space="0" w:color="auto"/>
            <w:left w:val="none" w:sz="0" w:space="0" w:color="auto"/>
            <w:bottom w:val="none" w:sz="0" w:space="0" w:color="auto"/>
            <w:right w:val="none" w:sz="0" w:space="0" w:color="auto"/>
          </w:divBdr>
        </w:div>
      </w:divsChild>
    </w:div>
    <w:div w:id="514346708">
      <w:bodyDiv w:val="1"/>
      <w:marLeft w:val="0"/>
      <w:marRight w:val="0"/>
      <w:marTop w:val="0"/>
      <w:marBottom w:val="0"/>
      <w:divBdr>
        <w:top w:val="none" w:sz="0" w:space="0" w:color="auto"/>
        <w:left w:val="none" w:sz="0" w:space="0" w:color="auto"/>
        <w:bottom w:val="none" w:sz="0" w:space="0" w:color="auto"/>
        <w:right w:val="none" w:sz="0" w:space="0" w:color="auto"/>
      </w:divBdr>
    </w:div>
    <w:div w:id="544413693">
      <w:bodyDiv w:val="1"/>
      <w:marLeft w:val="0"/>
      <w:marRight w:val="0"/>
      <w:marTop w:val="0"/>
      <w:marBottom w:val="0"/>
      <w:divBdr>
        <w:top w:val="none" w:sz="0" w:space="0" w:color="auto"/>
        <w:left w:val="none" w:sz="0" w:space="0" w:color="auto"/>
        <w:bottom w:val="none" w:sz="0" w:space="0" w:color="auto"/>
        <w:right w:val="none" w:sz="0" w:space="0" w:color="auto"/>
      </w:divBdr>
    </w:div>
    <w:div w:id="587345513">
      <w:bodyDiv w:val="1"/>
      <w:marLeft w:val="0"/>
      <w:marRight w:val="0"/>
      <w:marTop w:val="0"/>
      <w:marBottom w:val="0"/>
      <w:divBdr>
        <w:top w:val="none" w:sz="0" w:space="0" w:color="auto"/>
        <w:left w:val="none" w:sz="0" w:space="0" w:color="auto"/>
        <w:bottom w:val="none" w:sz="0" w:space="0" w:color="auto"/>
        <w:right w:val="none" w:sz="0" w:space="0" w:color="auto"/>
      </w:divBdr>
      <w:divsChild>
        <w:div w:id="1613827143">
          <w:marLeft w:val="547"/>
          <w:marRight w:val="0"/>
          <w:marTop w:val="0"/>
          <w:marBottom w:val="0"/>
          <w:divBdr>
            <w:top w:val="none" w:sz="0" w:space="0" w:color="auto"/>
            <w:left w:val="none" w:sz="0" w:space="0" w:color="auto"/>
            <w:bottom w:val="none" w:sz="0" w:space="0" w:color="auto"/>
            <w:right w:val="none" w:sz="0" w:space="0" w:color="auto"/>
          </w:divBdr>
        </w:div>
        <w:div w:id="1071074811">
          <w:marLeft w:val="547"/>
          <w:marRight w:val="0"/>
          <w:marTop w:val="0"/>
          <w:marBottom w:val="0"/>
          <w:divBdr>
            <w:top w:val="none" w:sz="0" w:space="0" w:color="auto"/>
            <w:left w:val="none" w:sz="0" w:space="0" w:color="auto"/>
            <w:bottom w:val="none" w:sz="0" w:space="0" w:color="auto"/>
            <w:right w:val="none" w:sz="0" w:space="0" w:color="auto"/>
          </w:divBdr>
        </w:div>
      </w:divsChild>
    </w:div>
    <w:div w:id="599873064">
      <w:bodyDiv w:val="1"/>
      <w:marLeft w:val="0"/>
      <w:marRight w:val="0"/>
      <w:marTop w:val="0"/>
      <w:marBottom w:val="0"/>
      <w:divBdr>
        <w:top w:val="none" w:sz="0" w:space="0" w:color="auto"/>
        <w:left w:val="none" w:sz="0" w:space="0" w:color="auto"/>
        <w:bottom w:val="none" w:sz="0" w:space="0" w:color="auto"/>
        <w:right w:val="none" w:sz="0" w:space="0" w:color="auto"/>
      </w:divBdr>
    </w:div>
    <w:div w:id="620956642">
      <w:bodyDiv w:val="1"/>
      <w:marLeft w:val="0"/>
      <w:marRight w:val="0"/>
      <w:marTop w:val="0"/>
      <w:marBottom w:val="0"/>
      <w:divBdr>
        <w:top w:val="none" w:sz="0" w:space="0" w:color="auto"/>
        <w:left w:val="none" w:sz="0" w:space="0" w:color="auto"/>
        <w:bottom w:val="none" w:sz="0" w:space="0" w:color="auto"/>
        <w:right w:val="none" w:sz="0" w:space="0" w:color="auto"/>
      </w:divBdr>
    </w:div>
    <w:div w:id="633174038">
      <w:bodyDiv w:val="1"/>
      <w:marLeft w:val="0"/>
      <w:marRight w:val="0"/>
      <w:marTop w:val="0"/>
      <w:marBottom w:val="0"/>
      <w:divBdr>
        <w:top w:val="none" w:sz="0" w:space="0" w:color="auto"/>
        <w:left w:val="none" w:sz="0" w:space="0" w:color="auto"/>
        <w:bottom w:val="none" w:sz="0" w:space="0" w:color="auto"/>
        <w:right w:val="none" w:sz="0" w:space="0" w:color="auto"/>
      </w:divBdr>
    </w:div>
    <w:div w:id="634606949">
      <w:bodyDiv w:val="1"/>
      <w:marLeft w:val="0"/>
      <w:marRight w:val="0"/>
      <w:marTop w:val="0"/>
      <w:marBottom w:val="0"/>
      <w:divBdr>
        <w:top w:val="none" w:sz="0" w:space="0" w:color="auto"/>
        <w:left w:val="none" w:sz="0" w:space="0" w:color="auto"/>
        <w:bottom w:val="none" w:sz="0" w:space="0" w:color="auto"/>
        <w:right w:val="none" w:sz="0" w:space="0" w:color="auto"/>
      </w:divBdr>
    </w:div>
    <w:div w:id="640231341">
      <w:bodyDiv w:val="1"/>
      <w:marLeft w:val="0"/>
      <w:marRight w:val="0"/>
      <w:marTop w:val="0"/>
      <w:marBottom w:val="0"/>
      <w:divBdr>
        <w:top w:val="none" w:sz="0" w:space="0" w:color="auto"/>
        <w:left w:val="none" w:sz="0" w:space="0" w:color="auto"/>
        <w:bottom w:val="none" w:sz="0" w:space="0" w:color="auto"/>
        <w:right w:val="none" w:sz="0" w:space="0" w:color="auto"/>
      </w:divBdr>
    </w:div>
    <w:div w:id="663820957">
      <w:bodyDiv w:val="1"/>
      <w:marLeft w:val="0"/>
      <w:marRight w:val="0"/>
      <w:marTop w:val="0"/>
      <w:marBottom w:val="0"/>
      <w:divBdr>
        <w:top w:val="none" w:sz="0" w:space="0" w:color="auto"/>
        <w:left w:val="none" w:sz="0" w:space="0" w:color="auto"/>
        <w:bottom w:val="none" w:sz="0" w:space="0" w:color="auto"/>
        <w:right w:val="none" w:sz="0" w:space="0" w:color="auto"/>
      </w:divBdr>
    </w:div>
    <w:div w:id="665480675">
      <w:bodyDiv w:val="1"/>
      <w:marLeft w:val="0"/>
      <w:marRight w:val="0"/>
      <w:marTop w:val="0"/>
      <w:marBottom w:val="0"/>
      <w:divBdr>
        <w:top w:val="none" w:sz="0" w:space="0" w:color="auto"/>
        <w:left w:val="none" w:sz="0" w:space="0" w:color="auto"/>
        <w:bottom w:val="none" w:sz="0" w:space="0" w:color="auto"/>
        <w:right w:val="none" w:sz="0" w:space="0" w:color="auto"/>
      </w:divBdr>
    </w:div>
    <w:div w:id="668600043">
      <w:bodyDiv w:val="1"/>
      <w:marLeft w:val="0"/>
      <w:marRight w:val="0"/>
      <w:marTop w:val="0"/>
      <w:marBottom w:val="0"/>
      <w:divBdr>
        <w:top w:val="none" w:sz="0" w:space="0" w:color="auto"/>
        <w:left w:val="none" w:sz="0" w:space="0" w:color="auto"/>
        <w:bottom w:val="none" w:sz="0" w:space="0" w:color="auto"/>
        <w:right w:val="none" w:sz="0" w:space="0" w:color="auto"/>
      </w:divBdr>
      <w:divsChild>
        <w:div w:id="264579673">
          <w:marLeft w:val="0"/>
          <w:marRight w:val="0"/>
          <w:marTop w:val="0"/>
          <w:marBottom w:val="0"/>
          <w:divBdr>
            <w:top w:val="none" w:sz="0" w:space="0" w:color="auto"/>
            <w:left w:val="none" w:sz="0" w:space="0" w:color="auto"/>
            <w:bottom w:val="none" w:sz="0" w:space="0" w:color="auto"/>
            <w:right w:val="none" w:sz="0" w:space="0" w:color="auto"/>
          </w:divBdr>
          <w:divsChild>
            <w:div w:id="980188239">
              <w:marLeft w:val="0"/>
              <w:marRight w:val="0"/>
              <w:marTop w:val="0"/>
              <w:marBottom w:val="0"/>
              <w:divBdr>
                <w:top w:val="none" w:sz="0" w:space="0" w:color="auto"/>
                <w:left w:val="none" w:sz="0" w:space="0" w:color="auto"/>
                <w:bottom w:val="none" w:sz="0" w:space="0" w:color="auto"/>
                <w:right w:val="none" w:sz="0" w:space="0" w:color="auto"/>
              </w:divBdr>
              <w:divsChild>
                <w:div w:id="1302492667">
                  <w:marLeft w:val="0"/>
                  <w:marRight w:val="0"/>
                  <w:marTop w:val="0"/>
                  <w:marBottom w:val="0"/>
                  <w:divBdr>
                    <w:top w:val="none" w:sz="0" w:space="0" w:color="auto"/>
                    <w:left w:val="none" w:sz="0" w:space="0" w:color="auto"/>
                    <w:bottom w:val="none" w:sz="0" w:space="0" w:color="auto"/>
                    <w:right w:val="none" w:sz="0" w:space="0" w:color="auto"/>
                  </w:divBdr>
                  <w:divsChild>
                    <w:div w:id="731125523">
                      <w:marLeft w:val="0"/>
                      <w:marRight w:val="0"/>
                      <w:marTop w:val="0"/>
                      <w:marBottom w:val="0"/>
                      <w:divBdr>
                        <w:top w:val="none" w:sz="0" w:space="0" w:color="auto"/>
                        <w:left w:val="none" w:sz="0" w:space="0" w:color="auto"/>
                        <w:bottom w:val="none" w:sz="0" w:space="0" w:color="auto"/>
                        <w:right w:val="none" w:sz="0" w:space="0" w:color="auto"/>
                      </w:divBdr>
                      <w:divsChild>
                        <w:div w:id="627590737">
                          <w:marLeft w:val="0"/>
                          <w:marRight w:val="0"/>
                          <w:marTop w:val="0"/>
                          <w:marBottom w:val="0"/>
                          <w:divBdr>
                            <w:top w:val="none" w:sz="0" w:space="0" w:color="auto"/>
                            <w:left w:val="none" w:sz="0" w:space="0" w:color="auto"/>
                            <w:bottom w:val="none" w:sz="0" w:space="0" w:color="auto"/>
                            <w:right w:val="none" w:sz="0" w:space="0" w:color="auto"/>
                          </w:divBdr>
                          <w:divsChild>
                            <w:div w:id="149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3197">
      <w:bodyDiv w:val="1"/>
      <w:marLeft w:val="0"/>
      <w:marRight w:val="0"/>
      <w:marTop w:val="0"/>
      <w:marBottom w:val="0"/>
      <w:divBdr>
        <w:top w:val="none" w:sz="0" w:space="0" w:color="auto"/>
        <w:left w:val="none" w:sz="0" w:space="0" w:color="auto"/>
        <w:bottom w:val="none" w:sz="0" w:space="0" w:color="auto"/>
        <w:right w:val="none" w:sz="0" w:space="0" w:color="auto"/>
      </w:divBdr>
    </w:div>
    <w:div w:id="681126128">
      <w:bodyDiv w:val="1"/>
      <w:marLeft w:val="0"/>
      <w:marRight w:val="0"/>
      <w:marTop w:val="0"/>
      <w:marBottom w:val="0"/>
      <w:divBdr>
        <w:top w:val="none" w:sz="0" w:space="0" w:color="auto"/>
        <w:left w:val="none" w:sz="0" w:space="0" w:color="auto"/>
        <w:bottom w:val="none" w:sz="0" w:space="0" w:color="auto"/>
        <w:right w:val="none" w:sz="0" w:space="0" w:color="auto"/>
      </w:divBdr>
      <w:divsChild>
        <w:div w:id="1114524420">
          <w:marLeft w:val="547"/>
          <w:marRight w:val="0"/>
          <w:marTop w:val="0"/>
          <w:marBottom w:val="0"/>
          <w:divBdr>
            <w:top w:val="none" w:sz="0" w:space="0" w:color="auto"/>
            <w:left w:val="none" w:sz="0" w:space="0" w:color="auto"/>
            <w:bottom w:val="none" w:sz="0" w:space="0" w:color="auto"/>
            <w:right w:val="none" w:sz="0" w:space="0" w:color="auto"/>
          </w:divBdr>
        </w:div>
        <w:div w:id="1745225027">
          <w:marLeft w:val="547"/>
          <w:marRight w:val="0"/>
          <w:marTop w:val="0"/>
          <w:marBottom w:val="0"/>
          <w:divBdr>
            <w:top w:val="none" w:sz="0" w:space="0" w:color="auto"/>
            <w:left w:val="none" w:sz="0" w:space="0" w:color="auto"/>
            <w:bottom w:val="none" w:sz="0" w:space="0" w:color="auto"/>
            <w:right w:val="none" w:sz="0" w:space="0" w:color="auto"/>
          </w:divBdr>
        </w:div>
        <w:div w:id="246694494">
          <w:marLeft w:val="547"/>
          <w:marRight w:val="0"/>
          <w:marTop w:val="0"/>
          <w:marBottom w:val="0"/>
          <w:divBdr>
            <w:top w:val="none" w:sz="0" w:space="0" w:color="auto"/>
            <w:left w:val="none" w:sz="0" w:space="0" w:color="auto"/>
            <w:bottom w:val="none" w:sz="0" w:space="0" w:color="auto"/>
            <w:right w:val="none" w:sz="0" w:space="0" w:color="auto"/>
          </w:divBdr>
        </w:div>
      </w:divsChild>
    </w:div>
    <w:div w:id="717633942">
      <w:bodyDiv w:val="1"/>
      <w:marLeft w:val="0"/>
      <w:marRight w:val="0"/>
      <w:marTop w:val="0"/>
      <w:marBottom w:val="0"/>
      <w:divBdr>
        <w:top w:val="none" w:sz="0" w:space="0" w:color="auto"/>
        <w:left w:val="none" w:sz="0" w:space="0" w:color="auto"/>
        <w:bottom w:val="none" w:sz="0" w:space="0" w:color="auto"/>
        <w:right w:val="none" w:sz="0" w:space="0" w:color="auto"/>
      </w:divBdr>
    </w:div>
    <w:div w:id="719670482">
      <w:bodyDiv w:val="1"/>
      <w:marLeft w:val="0"/>
      <w:marRight w:val="0"/>
      <w:marTop w:val="0"/>
      <w:marBottom w:val="0"/>
      <w:divBdr>
        <w:top w:val="none" w:sz="0" w:space="0" w:color="auto"/>
        <w:left w:val="none" w:sz="0" w:space="0" w:color="auto"/>
        <w:bottom w:val="none" w:sz="0" w:space="0" w:color="auto"/>
        <w:right w:val="none" w:sz="0" w:space="0" w:color="auto"/>
      </w:divBdr>
      <w:divsChild>
        <w:div w:id="729617107">
          <w:marLeft w:val="0"/>
          <w:marRight w:val="0"/>
          <w:marTop w:val="0"/>
          <w:marBottom w:val="0"/>
          <w:divBdr>
            <w:top w:val="none" w:sz="0" w:space="0" w:color="auto"/>
            <w:left w:val="none" w:sz="0" w:space="0" w:color="auto"/>
            <w:bottom w:val="none" w:sz="0" w:space="0" w:color="auto"/>
            <w:right w:val="none" w:sz="0" w:space="0" w:color="auto"/>
          </w:divBdr>
          <w:divsChild>
            <w:div w:id="757555051">
              <w:marLeft w:val="0"/>
              <w:marRight w:val="0"/>
              <w:marTop w:val="0"/>
              <w:marBottom w:val="0"/>
              <w:divBdr>
                <w:top w:val="none" w:sz="0" w:space="0" w:color="auto"/>
                <w:left w:val="none" w:sz="0" w:space="0" w:color="auto"/>
                <w:bottom w:val="none" w:sz="0" w:space="0" w:color="auto"/>
                <w:right w:val="none" w:sz="0" w:space="0" w:color="auto"/>
              </w:divBdr>
              <w:divsChild>
                <w:div w:id="2011519190">
                  <w:marLeft w:val="0"/>
                  <w:marRight w:val="0"/>
                  <w:marTop w:val="0"/>
                  <w:marBottom w:val="0"/>
                  <w:divBdr>
                    <w:top w:val="none" w:sz="0" w:space="0" w:color="auto"/>
                    <w:left w:val="none" w:sz="0" w:space="0" w:color="auto"/>
                    <w:bottom w:val="none" w:sz="0" w:space="0" w:color="auto"/>
                    <w:right w:val="none" w:sz="0" w:space="0" w:color="auto"/>
                  </w:divBdr>
                  <w:divsChild>
                    <w:div w:id="1217819616">
                      <w:marLeft w:val="0"/>
                      <w:marRight w:val="0"/>
                      <w:marTop w:val="0"/>
                      <w:marBottom w:val="0"/>
                      <w:divBdr>
                        <w:top w:val="none" w:sz="0" w:space="0" w:color="auto"/>
                        <w:left w:val="none" w:sz="0" w:space="0" w:color="auto"/>
                        <w:bottom w:val="none" w:sz="0" w:space="0" w:color="auto"/>
                        <w:right w:val="none" w:sz="0" w:space="0" w:color="auto"/>
                      </w:divBdr>
                      <w:divsChild>
                        <w:div w:id="399910129">
                          <w:marLeft w:val="0"/>
                          <w:marRight w:val="0"/>
                          <w:marTop w:val="0"/>
                          <w:marBottom w:val="0"/>
                          <w:divBdr>
                            <w:top w:val="none" w:sz="0" w:space="0" w:color="auto"/>
                            <w:left w:val="none" w:sz="0" w:space="0" w:color="auto"/>
                            <w:bottom w:val="none" w:sz="0" w:space="0" w:color="auto"/>
                            <w:right w:val="none" w:sz="0" w:space="0" w:color="auto"/>
                          </w:divBdr>
                          <w:divsChild>
                            <w:div w:id="3409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661836">
      <w:bodyDiv w:val="1"/>
      <w:marLeft w:val="0"/>
      <w:marRight w:val="0"/>
      <w:marTop w:val="0"/>
      <w:marBottom w:val="0"/>
      <w:divBdr>
        <w:top w:val="none" w:sz="0" w:space="0" w:color="auto"/>
        <w:left w:val="none" w:sz="0" w:space="0" w:color="auto"/>
        <w:bottom w:val="none" w:sz="0" w:space="0" w:color="auto"/>
        <w:right w:val="none" w:sz="0" w:space="0" w:color="auto"/>
      </w:divBdr>
    </w:div>
    <w:div w:id="745764152">
      <w:bodyDiv w:val="1"/>
      <w:marLeft w:val="0"/>
      <w:marRight w:val="0"/>
      <w:marTop w:val="0"/>
      <w:marBottom w:val="0"/>
      <w:divBdr>
        <w:top w:val="none" w:sz="0" w:space="0" w:color="auto"/>
        <w:left w:val="none" w:sz="0" w:space="0" w:color="auto"/>
        <w:bottom w:val="none" w:sz="0" w:space="0" w:color="auto"/>
        <w:right w:val="none" w:sz="0" w:space="0" w:color="auto"/>
      </w:divBdr>
    </w:div>
    <w:div w:id="810829976">
      <w:bodyDiv w:val="1"/>
      <w:marLeft w:val="0"/>
      <w:marRight w:val="0"/>
      <w:marTop w:val="0"/>
      <w:marBottom w:val="0"/>
      <w:divBdr>
        <w:top w:val="none" w:sz="0" w:space="0" w:color="auto"/>
        <w:left w:val="none" w:sz="0" w:space="0" w:color="auto"/>
        <w:bottom w:val="none" w:sz="0" w:space="0" w:color="auto"/>
        <w:right w:val="none" w:sz="0" w:space="0" w:color="auto"/>
      </w:divBdr>
    </w:div>
    <w:div w:id="890843457">
      <w:bodyDiv w:val="1"/>
      <w:marLeft w:val="0"/>
      <w:marRight w:val="0"/>
      <w:marTop w:val="0"/>
      <w:marBottom w:val="0"/>
      <w:divBdr>
        <w:top w:val="none" w:sz="0" w:space="0" w:color="auto"/>
        <w:left w:val="none" w:sz="0" w:space="0" w:color="auto"/>
        <w:bottom w:val="none" w:sz="0" w:space="0" w:color="auto"/>
        <w:right w:val="none" w:sz="0" w:space="0" w:color="auto"/>
      </w:divBdr>
    </w:div>
    <w:div w:id="906064572">
      <w:bodyDiv w:val="1"/>
      <w:marLeft w:val="0"/>
      <w:marRight w:val="0"/>
      <w:marTop w:val="0"/>
      <w:marBottom w:val="0"/>
      <w:divBdr>
        <w:top w:val="none" w:sz="0" w:space="0" w:color="auto"/>
        <w:left w:val="none" w:sz="0" w:space="0" w:color="auto"/>
        <w:bottom w:val="none" w:sz="0" w:space="0" w:color="auto"/>
        <w:right w:val="none" w:sz="0" w:space="0" w:color="auto"/>
      </w:divBdr>
    </w:div>
    <w:div w:id="906962120">
      <w:bodyDiv w:val="1"/>
      <w:marLeft w:val="0"/>
      <w:marRight w:val="0"/>
      <w:marTop w:val="0"/>
      <w:marBottom w:val="0"/>
      <w:divBdr>
        <w:top w:val="none" w:sz="0" w:space="0" w:color="auto"/>
        <w:left w:val="none" w:sz="0" w:space="0" w:color="auto"/>
        <w:bottom w:val="none" w:sz="0" w:space="0" w:color="auto"/>
        <w:right w:val="none" w:sz="0" w:space="0" w:color="auto"/>
      </w:divBdr>
      <w:divsChild>
        <w:div w:id="951018174">
          <w:marLeft w:val="0"/>
          <w:marRight w:val="0"/>
          <w:marTop w:val="0"/>
          <w:marBottom w:val="0"/>
          <w:divBdr>
            <w:top w:val="none" w:sz="0" w:space="0" w:color="auto"/>
            <w:left w:val="none" w:sz="0" w:space="0" w:color="auto"/>
            <w:bottom w:val="none" w:sz="0" w:space="0" w:color="auto"/>
            <w:right w:val="none" w:sz="0" w:space="0" w:color="auto"/>
          </w:divBdr>
          <w:divsChild>
            <w:div w:id="642122463">
              <w:marLeft w:val="0"/>
              <w:marRight w:val="0"/>
              <w:marTop w:val="0"/>
              <w:marBottom w:val="0"/>
              <w:divBdr>
                <w:top w:val="none" w:sz="0" w:space="0" w:color="auto"/>
                <w:left w:val="none" w:sz="0" w:space="0" w:color="auto"/>
                <w:bottom w:val="none" w:sz="0" w:space="0" w:color="auto"/>
                <w:right w:val="none" w:sz="0" w:space="0" w:color="auto"/>
              </w:divBdr>
              <w:divsChild>
                <w:div w:id="1458797631">
                  <w:marLeft w:val="0"/>
                  <w:marRight w:val="0"/>
                  <w:marTop w:val="0"/>
                  <w:marBottom w:val="0"/>
                  <w:divBdr>
                    <w:top w:val="none" w:sz="0" w:space="0" w:color="auto"/>
                    <w:left w:val="none" w:sz="0" w:space="0" w:color="auto"/>
                    <w:bottom w:val="none" w:sz="0" w:space="0" w:color="auto"/>
                    <w:right w:val="none" w:sz="0" w:space="0" w:color="auto"/>
                  </w:divBdr>
                  <w:divsChild>
                    <w:div w:id="1509710780">
                      <w:marLeft w:val="0"/>
                      <w:marRight w:val="0"/>
                      <w:marTop w:val="0"/>
                      <w:marBottom w:val="0"/>
                      <w:divBdr>
                        <w:top w:val="none" w:sz="0" w:space="0" w:color="auto"/>
                        <w:left w:val="none" w:sz="0" w:space="0" w:color="auto"/>
                        <w:bottom w:val="none" w:sz="0" w:space="0" w:color="auto"/>
                        <w:right w:val="none" w:sz="0" w:space="0" w:color="auto"/>
                      </w:divBdr>
                      <w:divsChild>
                        <w:div w:id="329867703">
                          <w:marLeft w:val="0"/>
                          <w:marRight w:val="0"/>
                          <w:marTop w:val="0"/>
                          <w:marBottom w:val="0"/>
                          <w:divBdr>
                            <w:top w:val="none" w:sz="0" w:space="0" w:color="auto"/>
                            <w:left w:val="none" w:sz="0" w:space="0" w:color="auto"/>
                            <w:bottom w:val="none" w:sz="0" w:space="0" w:color="auto"/>
                            <w:right w:val="none" w:sz="0" w:space="0" w:color="auto"/>
                          </w:divBdr>
                          <w:divsChild>
                            <w:div w:id="12597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89983">
      <w:bodyDiv w:val="1"/>
      <w:marLeft w:val="0"/>
      <w:marRight w:val="0"/>
      <w:marTop w:val="0"/>
      <w:marBottom w:val="0"/>
      <w:divBdr>
        <w:top w:val="none" w:sz="0" w:space="0" w:color="auto"/>
        <w:left w:val="none" w:sz="0" w:space="0" w:color="auto"/>
        <w:bottom w:val="none" w:sz="0" w:space="0" w:color="auto"/>
        <w:right w:val="none" w:sz="0" w:space="0" w:color="auto"/>
      </w:divBdr>
    </w:div>
    <w:div w:id="945693628">
      <w:bodyDiv w:val="1"/>
      <w:marLeft w:val="0"/>
      <w:marRight w:val="0"/>
      <w:marTop w:val="0"/>
      <w:marBottom w:val="0"/>
      <w:divBdr>
        <w:top w:val="none" w:sz="0" w:space="0" w:color="auto"/>
        <w:left w:val="none" w:sz="0" w:space="0" w:color="auto"/>
        <w:bottom w:val="none" w:sz="0" w:space="0" w:color="auto"/>
        <w:right w:val="none" w:sz="0" w:space="0" w:color="auto"/>
      </w:divBdr>
    </w:div>
    <w:div w:id="971441167">
      <w:bodyDiv w:val="1"/>
      <w:marLeft w:val="0"/>
      <w:marRight w:val="0"/>
      <w:marTop w:val="0"/>
      <w:marBottom w:val="0"/>
      <w:divBdr>
        <w:top w:val="none" w:sz="0" w:space="0" w:color="auto"/>
        <w:left w:val="none" w:sz="0" w:space="0" w:color="auto"/>
        <w:bottom w:val="none" w:sz="0" w:space="0" w:color="auto"/>
        <w:right w:val="none" w:sz="0" w:space="0" w:color="auto"/>
      </w:divBdr>
      <w:divsChild>
        <w:div w:id="1201747294">
          <w:marLeft w:val="547"/>
          <w:marRight w:val="0"/>
          <w:marTop w:val="0"/>
          <w:marBottom w:val="0"/>
          <w:divBdr>
            <w:top w:val="none" w:sz="0" w:space="0" w:color="auto"/>
            <w:left w:val="none" w:sz="0" w:space="0" w:color="auto"/>
            <w:bottom w:val="none" w:sz="0" w:space="0" w:color="auto"/>
            <w:right w:val="none" w:sz="0" w:space="0" w:color="auto"/>
          </w:divBdr>
        </w:div>
        <w:div w:id="752778543">
          <w:marLeft w:val="547"/>
          <w:marRight w:val="0"/>
          <w:marTop w:val="0"/>
          <w:marBottom w:val="0"/>
          <w:divBdr>
            <w:top w:val="none" w:sz="0" w:space="0" w:color="auto"/>
            <w:left w:val="none" w:sz="0" w:space="0" w:color="auto"/>
            <w:bottom w:val="none" w:sz="0" w:space="0" w:color="auto"/>
            <w:right w:val="none" w:sz="0" w:space="0" w:color="auto"/>
          </w:divBdr>
        </w:div>
        <w:div w:id="170683144">
          <w:marLeft w:val="547"/>
          <w:marRight w:val="0"/>
          <w:marTop w:val="0"/>
          <w:marBottom w:val="0"/>
          <w:divBdr>
            <w:top w:val="none" w:sz="0" w:space="0" w:color="auto"/>
            <w:left w:val="none" w:sz="0" w:space="0" w:color="auto"/>
            <w:bottom w:val="none" w:sz="0" w:space="0" w:color="auto"/>
            <w:right w:val="none" w:sz="0" w:space="0" w:color="auto"/>
          </w:divBdr>
        </w:div>
      </w:divsChild>
    </w:div>
    <w:div w:id="1014499869">
      <w:bodyDiv w:val="1"/>
      <w:marLeft w:val="0"/>
      <w:marRight w:val="0"/>
      <w:marTop w:val="0"/>
      <w:marBottom w:val="0"/>
      <w:divBdr>
        <w:top w:val="none" w:sz="0" w:space="0" w:color="auto"/>
        <w:left w:val="none" w:sz="0" w:space="0" w:color="auto"/>
        <w:bottom w:val="none" w:sz="0" w:space="0" w:color="auto"/>
        <w:right w:val="none" w:sz="0" w:space="0" w:color="auto"/>
      </w:divBdr>
      <w:divsChild>
        <w:div w:id="1735621647">
          <w:marLeft w:val="547"/>
          <w:marRight w:val="0"/>
          <w:marTop w:val="0"/>
          <w:marBottom w:val="0"/>
          <w:divBdr>
            <w:top w:val="none" w:sz="0" w:space="0" w:color="auto"/>
            <w:left w:val="none" w:sz="0" w:space="0" w:color="auto"/>
            <w:bottom w:val="none" w:sz="0" w:space="0" w:color="auto"/>
            <w:right w:val="none" w:sz="0" w:space="0" w:color="auto"/>
          </w:divBdr>
        </w:div>
        <w:div w:id="925112627">
          <w:marLeft w:val="547"/>
          <w:marRight w:val="0"/>
          <w:marTop w:val="0"/>
          <w:marBottom w:val="0"/>
          <w:divBdr>
            <w:top w:val="none" w:sz="0" w:space="0" w:color="auto"/>
            <w:left w:val="none" w:sz="0" w:space="0" w:color="auto"/>
            <w:bottom w:val="none" w:sz="0" w:space="0" w:color="auto"/>
            <w:right w:val="none" w:sz="0" w:space="0" w:color="auto"/>
          </w:divBdr>
        </w:div>
        <w:div w:id="1456171485">
          <w:marLeft w:val="547"/>
          <w:marRight w:val="0"/>
          <w:marTop w:val="0"/>
          <w:marBottom w:val="0"/>
          <w:divBdr>
            <w:top w:val="none" w:sz="0" w:space="0" w:color="auto"/>
            <w:left w:val="none" w:sz="0" w:space="0" w:color="auto"/>
            <w:bottom w:val="none" w:sz="0" w:space="0" w:color="auto"/>
            <w:right w:val="none" w:sz="0" w:space="0" w:color="auto"/>
          </w:divBdr>
        </w:div>
        <w:div w:id="650258498">
          <w:marLeft w:val="547"/>
          <w:marRight w:val="0"/>
          <w:marTop w:val="0"/>
          <w:marBottom w:val="0"/>
          <w:divBdr>
            <w:top w:val="none" w:sz="0" w:space="0" w:color="auto"/>
            <w:left w:val="none" w:sz="0" w:space="0" w:color="auto"/>
            <w:bottom w:val="none" w:sz="0" w:space="0" w:color="auto"/>
            <w:right w:val="none" w:sz="0" w:space="0" w:color="auto"/>
          </w:divBdr>
        </w:div>
        <w:div w:id="29233162">
          <w:marLeft w:val="547"/>
          <w:marRight w:val="0"/>
          <w:marTop w:val="0"/>
          <w:marBottom w:val="0"/>
          <w:divBdr>
            <w:top w:val="none" w:sz="0" w:space="0" w:color="auto"/>
            <w:left w:val="none" w:sz="0" w:space="0" w:color="auto"/>
            <w:bottom w:val="none" w:sz="0" w:space="0" w:color="auto"/>
            <w:right w:val="none" w:sz="0" w:space="0" w:color="auto"/>
          </w:divBdr>
        </w:div>
        <w:div w:id="1190997138">
          <w:marLeft w:val="547"/>
          <w:marRight w:val="0"/>
          <w:marTop w:val="0"/>
          <w:marBottom w:val="0"/>
          <w:divBdr>
            <w:top w:val="none" w:sz="0" w:space="0" w:color="auto"/>
            <w:left w:val="none" w:sz="0" w:space="0" w:color="auto"/>
            <w:bottom w:val="none" w:sz="0" w:space="0" w:color="auto"/>
            <w:right w:val="none" w:sz="0" w:space="0" w:color="auto"/>
          </w:divBdr>
        </w:div>
        <w:div w:id="76899705">
          <w:marLeft w:val="547"/>
          <w:marRight w:val="0"/>
          <w:marTop w:val="0"/>
          <w:marBottom w:val="0"/>
          <w:divBdr>
            <w:top w:val="none" w:sz="0" w:space="0" w:color="auto"/>
            <w:left w:val="none" w:sz="0" w:space="0" w:color="auto"/>
            <w:bottom w:val="none" w:sz="0" w:space="0" w:color="auto"/>
            <w:right w:val="none" w:sz="0" w:space="0" w:color="auto"/>
          </w:divBdr>
        </w:div>
        <w:div w:id="331110848">
          <w:marLeft w:val="547"/>
          <w:marRight w:val="0"/>
          <w:marTop w:val="0"/>
          <w:marBottom w:val="0"/>
          <w:divBdr>
            <w:top w:val="none" w:sz="0" w:space="0" w:color="auto"/>
            <w:left w:val="none" w:sz="0" w:space="0" w:color="auto"/>
            <w:bottom w:val="none" w:sz="0" w:space="0" w:color="auto"/>
            <w:right w:val="none" w:sz="0" w:space="0" w:color="auto"/>
          </w:divBdr>
        </w:div>
      </w:divsChild>
    </w:div>
    <w:div w:id="1093163335">
      <w:bodyDiv w:val="1"/>
      <w:marLeft w:val="0"/>
      <w:marRight w:val="0"/>
      <w:marTop w:val="0"/>
      <w:marBottom w:val="0"/>
      <w:divBdr>
        <w:top w:val="none" w:sz="0" w:space="0" w:color="auto"/>
        <w:left w:val="none" w:sz="0" w:space="0" w:color="auto"/>
        <w:bottom w:val="none" w:sz="0" w:space="0" w:color="auto"/>
        <w:right w:val="none" w:sz="0" w:space="0" w:color="auto"/>
      </w:divBdr>
    </w:div>
    <w:div w:id="1097991507">
      <w:bodyDiv w:val="1"/>
      <w:marLeft w:val="0"/>
      <w:marRight w:val="0"/>
      <w:marTop w:val="0"/>
      <w:marBottom w:val="0"/>
      <w:divBdr>
        <w:top w:val="none" w:sz="0" w:space="0" w:color="auto"/>
        <w:left w:val="none" w:sz="0" w:space="0" w:color="auto"/>
        <w:bottom w:val="none" w:sz="0" w:space="0" w:color="auto"/>
        <w:right w:val="none" w:sz="0" w:space="0" w:color="auto"/>
      </w:divBdr>
    </w:div>
    <w:div w:id="1104036661">
      <w:bodyDiv w:val="1"/>
      <w:marLeft w:val="0"/>
      <w:marRight w:val="0"/>
      <w:marTop w:val="0"/>
      <w:marBottom w:val="0"/>
      <w:divBdr>
        <w:top w:val="none" w:sz="0" w:space="0" w:color="auto"/>
        <w:left w:val="none" w:sz="0" w:space="0" w:color="auto"/>
        <w:bottom w:val="none" w:sz="0" w:space="0" w:color="auto"/>
        <w:right w:val="none" w:sz="0" w:space="0" w:color="auto"/>
      </w:divBdr>
    </w:div>
    <w:div w:id="1211649311">
      <w:bodyDiv w:val="1"/>
      <w:marLeft w:val="0"/>
      <w:marRight w:val="0"/>
      <w:marTop w:val="0"/>
      <w:marBottom w:val="0"/>
      <w:divBdr>
        <w:top w:val="none" w:sz="0" w:space="0" w:color="auto"/>
        <w:left w:val="none" w:sz="0" w:space="0" w:color="auto"/>
        <w:bottom w:val="none" w:sz="0" w:space="0" w:color="auto"/>
        <w:right w:val="none" w:sz="0" w:space="0" w:color="auto"/>
      </w:divBdr>
    </w:div>
    <w:div w:id="1234898185">
      <w:bodyDiv w:val="1"/>
      <w:marLeft w:val="0"/>
      <w:marRight w:val="0"/>
      <w:marTop w:val="0"/>
      <w:marBottom w:val="0"/>
      <w:divBdr>
        <w:top w:val="none" w:sz="0" w:space="0" w:color="auto"/>
        <w:left w:val="none" w:sz="0" w:space="0" w:color="auto"/>
        <w:bottom w:val="none" w:sz="0" w:space="0" w:color="auto"/>
        <w:right w:val="none" w:sz="0" w:space="0" w:color="auto"/>
      </w:divBdr>
    </w:div>
    <w:div w:id="1279095724">
      <w:bodyDiv w:val="1"/>
      <w:marLeft w:val="0"/>
      <w:marRight w:val="0"/>
      <w:marTop w:val="0"/>
      <w:marBottom w:val="0"/>
      <w:divBdr>
        <w:top w:val="none" w:sz="0" w:space="0" w:color="auto"/>
        <w:left w:val="none" w:sz="0" w:space="0" w:color="auto"/>
        <w:bottom w:val="none" w:sz="0" w:space="0" w:color="auto"/>
        <w:right w:val="none" w:sz="0" w:space="0" w:color="auto"/>
      </w:divBdr>
    </w:div>
    <w:div w:id="1309431213">
      <w:bodyDiv w:val="1"/>
      <w:marLeft w:val="0"/>
      <w:marRight w:val="0"/>
      <w:marTop w:val="0"/>
      <w:marBottom w:val="0"/>
      <w:divBdr>
        <w:top w:val="none" w:sz="0" w:space="0" w:color="auto"/>
        <w:left w:val="none" w:sz="0" w:space="0" w:color="auto"/>
        <w:bottom w:val="none" w:sz="0" w:space="0" w:color="auto"/>
        <w:right w:val="none" w:sz="0" w:space="0" w:color="auto"/>
      </w:divBdr>
    </w:div>
    <w:div w:id="1333799546">
      <w:bodyDiv w:val="1"/>
      <w:marLeft w:val="0"/>
      <w:marRight w:val="0"/>
      <w:marTop w:val="0"/>
      <w:marBottom w:val="0"/>
      <w:divBdr>
        <w:top w:val="none" w:sz="0" w:space="0" w:color="auto"/>
        <w:left w:val="none" w:sz="0" w:space="0" w:color="auto"/>
        <w:bottom w:val="none" w:sz="0" w:space="0" w:color="auto"/>
        <w:right w:val="none" w:sz="0" w:space="0" w:color="auto"/>
      </w:divBdr>
    </w:div>
    <w:div w:id="1375737359">
      <w:bodyDiv w:val="1"/>
      <w:marLeft w:val="0"/>
      <w:marRight w:val="0"/>
      <w:marTop w:val="0"/>
      <w:marBottom w:val="0"/>
      <w:divBdr>
        <w:top w:val="none" w:sz="0" w:space="0" w:color="auto"/>
        <w:left w:val="none" w:sz="0" w:space="0" w:color="auto"/>
        <w:bottom w:val="none" w:sz="0" w:space="0" w:color="auto"/>
        <w:right w:val="none" w:sz="0" w:space="0" w:color="auto"/>
      </w:divBdr>
    </w:div>
    <w:div w:id="1408193069">
      <w:bodyDiv w:val="1"/>
      <w:marLeft w:val="0"/>
      <w:marRight w:val="0"/>
      <w:marTop w:val="0"/>
      <w:marBottom w:val="0"/>
      <w:divBdr>
        <w:top w:val="none" w:sz="0" w:space="0" w:color="auto"/>
        <w:left w:val="none" w:sz="0" w:space="0" w:color="auto"/>
        <w:bottom w:val="none" w:sz="0" w:space="0" w:color="auto"/>
        <w:right w:val="none" w:sz="0" w:space="0" w:color="auto"/>
      </w:divBdr>
    </w:div>
    <w:div w:id="1434668019">
      <w:bodyDiv w:val="1"/>
      <w:marLeft w:val="0"/>
      <w:marRight w:val="0"/>
      <w:marTop w:val="0"/>
      <w:marBottom w:val="0"/>
      <w:divBdr>
        <w:top w:val="none" w:sz="0" w:space="0" w:color="auto"/>
        <w:left w:val="none" w:sz="0" w:space="0" w:color="auto"/>
        <w:bottom w:val="none" w:sz="0" w:space="0" w:color="auto"/>
        <w:right w:val="none" w:sz="0" w:space="0" w:color="auto"/>
      </w:divBdr>
    </w:div>
    <w:div w:id="1441410957">
      <w:bodyDiv w:val="1"/>
      <w:marLeft w:val="0"/>
      <w:marRight w:val="0"/>
      <w:marTop w:val="0"/>
      <w:marBottom w:val="0"/>
      <w:divBdr>
        <w:top w:val="none" w:sz="0" w:space="0" w:color="auto"/>
        <w:left w:val="none" w:sz="0" w:space="0" w:color="auto"/>
        <w:bottom w:val="none" w:sz="0" w:space="0" w:color="auto"/>
        <w:right w:val="none" w:sz="0" w:space="0" w:color="auto"/>
      </w:divBdr>
    </w:div>
    <w:div w:id="1445343658">
      <w:bodyDiv w:val="1"/>
      <w:marLeft w:val="0"/>
      <w:marRight w:val="0"/>
      <w:marTop w:val="0"/>
      <w:marBottom w:val="0"/>
      <w:divBdr>
        <w:top w:val="none" w:sz="0" w:space="0" w:color="auto"/>
        <w:left w:val="none" w:sz="0" w:space="0" w:color="auto"/>
        <w:bottom w:val="none" w:sz="0" w:space="0" w:color="auto"/>
        <w:right w:val="none" w:sz="0" w:space="0" w:color="auto"/>
      </w:divBdr>
    </w:div>
    <w:div w:id="1462964060">
      <w:bodyDiv w:val="1"/>
      <w:marLeft w:val="0"/>
      <w:marRight w:val="0"/>
      <w:marTop w:val="0"/>
      <w:marBottom w:val="0"/>
      <w:divBdr>
        <w:top w:val="none" w:sz="0" w:space="0" w:color="auto"/>
        <w:left w:val="none" w:sz="0" w:space="0" w:color="auto"/>
        <w:bottom w:val="none" w:sz="0" w:space="0" w:color="auto"/>
        <w:right w:val="none" w:sz="0" w:space="0" w:color="auto"/>
      </w:divBdr>
      <w:divsChild>
        <w:div w:id="874317350">
          <w:marLeft w:val="547"/>
          <w:marRight w:val="0"/>
          <w:marTop w:val="0"/>
          <w:marBottom w:val="0"/>
          <w:divBdr>
            <w:top w:val="none" w:sz="0" w:space="0" w:color="auto"/>
            <w:left w:val="none" w:sz="0" w:space="0" w:color="auto"/>
            <w:bottom w:val="none" w:sz="0" w:space="0" w:color="auto"/>
            <w:right w:val="none" w:sz="0" w:space="0" w:color="auto"/>
          </w:divBdr>
        </w:div>
        <w:div w:id="1491826034">
          <w:marLeft w:val="547"/>
          <w:marRight w:val="0"/>
          <w:marTop w:val="0"/>
          <w:marBottom w:val="0"/>
          <w:divBdr>
            <w:top w:val="none" w:sz="0" w:space="0" w:color="auto"/>
            <w:left w:val="none" w:sz="0" w:space="0" w:color="auto"/>
            <w:bottom w:val="none" w:sz="0" w:space="0" w:color="auto"/>
            <w:right w:val="none" w:sz="0" w:space="0" w:color="auto"/>
          </w:divBdr>
        </w:div>
        <w:div w:id="818113662">
          <w:marLeft w:val="547"/>
          <w:marRight w:val="0"/>
          <w:marTop w:val="0"/>
          <w:marBottom w:val="0"/>
          <w:divBdr>
            <w:top w:val="none" w:sz="0" w:space="0" w:color="auto"/>
            <w:left w:val="none" w:sz="0" w:space="0" w:color="auto"/>
            <w:bottom w:val="none" w:sz="0" w:space="0" w:color="auto"/>
            <w:right w:val="none" w:sz="0" w:space="0" w:color="auto"/>
          </w:divBdr>
        </w:div>
      </w:divsChild>
    </w:div>
    <w:div w:id="1484079854">
      <w:bodyDiv w:val="1"/>
      <w:marLeft w:val="0"/>
      <w:marRight w:val="0"/>
      <w:marTop w:val="0"/>
      <w:marBottom w:val="0"/>
      <w:divBdr>
        <w:top w:val="none" w:sz="0" w:space="0" w:color="auto"/>
        <w:left w:val="none" w:sz="0" w:space="0" w:color="auto"/>
        <w:bottom w:val="none" w:sz="0" w:space="0" w:color="auto"/>
        <w:right w:val="none" w:sz="0" w:space="0" w:color="auto"/>
      </w:divBdr>
    </w:div>
    <w:div w:id="1491865247">
      <w:bodyDiv w:val="1"/>
      <w:marLeft w:val="0"/>
      <w:marRight w:val="0"/>
      <w:marTop w:val="0"/>
      <w:marBottom w:val="0"/>
      <w:divBdr>
        <w:top w:val="none" w:sz="0" w:space="0" w:color="auto"/>
        <w:left w:val="none" w:sz="0" w:space="0" w:color="auto"/>
        <w:bottom w:val="none" w:sz="0" w:space="0" w:color="auto"/>
        <w:right w:val="none" w:sz="0" w:space="0" w:color="auto"/>
      </w:divBdr>
    </w:div>
    <w:div w:id="1492915003">
      <w:bodyDiv w:val="1"/>
      <w:marLeft w:val="0"/>
      <w:marRight w:val="0"/>
      <w:marTop w:val="0"/>
      <w:marBottom w:val="0"/>
      <w:divBdr>
        <w:top w:val="none" w:sz="0" w:space="0" w:color="auto"/>
        <w:left w:val="none" w:sz="0" w:space="0" w:color="auto"/>
        <w:bottom w:val="none" w:sz="0" w:space="0" w:color="auto"/>
        <w:right w:val="none" w:sz="0" w:space="0" w:color="auto"/>
      </w:divBdr>
      <w:divsChild>
        <w:div w:id="141705339">
          <w:marLeft w:val="547"/>
          <w:marRight w:val="0"/>
          <w:marTop w:val="0"/>
          <w:marBottom w:val="0"/>
          <w:divBdr>
            <w:top w:val="none" w:sz="0" w:space="0" w:color="auto"/>
            <w:left w:val="none" w:sz="0" w:space="0" w:color="auto"/>
            <w:bottom w:val="none" w:sz="0" w:space="0" w:color="auto"/>
            <w:right w:val="none" w:sz="0" w:space="0" w:color="auto"/>
          </w:divBdr>
        </w:div>
      </w:divsChild>
    </w:div>
    <w:div w:id="1520120846">
      <w:bodyDiv w:val="1"/>
      <w:marLeft w:val="0"/>
      <w:marRight w:val="0"/>
      <w:marTop w:val="0"/>
      <w:marBottom w:val="0"/>
      <w:divBdr>
        <w:top w:val="none" w:sz="0" w:space="0" w:color="auto"/>
        <w:left w:val="none" w:sz="0" w:space="0" w:color="auto"/>
        <w:bottom w:val="none" w:sz="0" w:space="0" w:color="auto"/>
        <w:right w:val="none" w:sz="0" w:space="0" w:color="auto"/>
      </w:divBdr>
    </w:div>
    <w:div w:id="1526022265">
      <w:bodyDiv w:val="1"/>
      <w:marLeft w:val="0"/>
      <w:marRight w:val="0"/>
      <w:marTop w:val="0"/>
      <w:marBottom w:val="0"/>
      <w:divBdr>
        <w:top w:val="none" w:sz="0" w:space="0" w:color="auto"/>
        <w:left w:val="none" w:sz="0" w:space="0" w:color="auto"/>
        <w:bottom w:val="none" w:sz="0" w:space="0" w:color="auto"/>
        <w:right w:val="none" w:sz="0" w:space="0" w:color="auto"/>
      </w:divBdr>
    </w:div>
    <w:div w:id="1531331702">
      <w:bodyDiv w:val="1"/>
      <w:marLeft w:val="0"/>
      <w:marRight w:val="0"/>
      <w:marTop w:val="0"/>
      <w:marBottom w:val="0"/>
      <w:divBdr>
        <w:top w:val="none" w:sz="0" w:space="0" w:color="auto"/>
        <w:left w:val="none" w:sz="0" w:space="0" w:color="auto"/>
        <w:bottom w:val="none" w:sz="0" w:space="0" w:color="auto"/>
        <w:right w:val="none" w:sz="0" w:space="0" w:color="auto"/>
      </w:divBdr>
      <w:divsChild>
        <w:div w:id="703680570">
          <w:marLeft w:val="547"/>
          <w:marRight w:val="0"/>
          <w:marTop w:val="0"/>
          <w:marBottom w:val="0"/>
          <w:divBdr>
            <w:top w:val="none" w:sz="0" w:space="0" w:color="auto"/>
            <w:left w:val="none" w:sz="0" w:space="0" w:color="auto"/>
            <w:bottom w:val="none" w:sz="0" w:space="0" w:color="auto"/>
            <w:right w:val="none" w:sz="0" w:space="0" w:color="auto"/>
          </w:divBdr>
        </w:div>
        <w:div w:id="570240313">
          <w:marLeft w:val="547"/>
          <w:marRight w:val="0"/>
          <w:marTop w:val="0"/>
          <w:marBottom w:val="0"/>
          <w:divBdr>
            <w:top w:val="none" w:sz="0" w:space="0" w:color="auto"/>
            <w:left w:val="none" w:sz="0" w:space="0" w:color="auto"/>
            <w:bottom w:val="none" w:sz="0" w:space="0" w:color="auto"/>
            <w:right w:val="none" w:sz="0" w:space="0" w:color="auto"/>
          </w:divBdr>
        </w:div>
        <w:div w:id="168326449">
          <w:marLeft w:val="547"/>
          <w:marRight w:val="0"/>
          <w:marTop w:val="0"/>
          <w:marBottom w:val="0"/>
          <w:divBdr>
            <w:top w:val="none" w:sz="0" w:space="0" w:color="auto"/>
            <w:left w:val="none" w:sz="0" w:space="0" w:color="auto"/>
            <w:bottom w:val="none" w:sz="0" w:space="0" w:color="auto"/>
            <w:right w:val="none" w:sz="0" w:space="0" w:color="auto"/>
          </w:divBdr>
        </w:div>
        <w:div w:id="59181336">
          <w:marLeft w:val="547"/>
          <w:marRight w:val="0"/>
          <w:marTop w:val="0"/>
          <w:marBottom w:val="0"/>
          <w:divBdr>
            <w:top w:val="none" w:sz="0" w:space="0" w:color="auto"/>
            <w:left w:val="none" w:sz="0" w:space="0" w:color="auto"/>
            <w:bottom w:val="none" w:sz="0" w:space="0" w:color="auto"/>
            <w:right w:val="none" w:sz="0" w:space="0" w:color="auto"/>
          </w:divBdr>
        </w:div>
      </w:divsChild>
    </w:div>
    <w:div w:id="1539004878">
      <w:bodyDiv w:val="1"/>
      <w:marLeft w:val="0"/>
      <w:marRight w:val="0"/>
      <w:marTop w:val="0"/>
      <w:marBottom w:val="0"/>
      <w:divBdr>
        <w:top w:val="none" w:sz="0" w:space="0" w:color="auto"/>
        <w:left w:val="none" w:sz="0" w:space="0" w:color="auto"/>
        <w:bottom w:val="none" w:sz="0" w:space="0" w:color="auto"/>
        <w:right w:val="none" w:sz="0" w:space="0" w:color="auto"/>
      </w:divBdr>
    </w:div>
    <w:div w:id="1572688779">
      <w:bodyDiv w:val="1"/>
      <w:marLeft w:val="0"/>
      <w:marRight w:val="0"/>
      <w:marTop w:val="0"/>
      <w:marBottom w:val="0"/>
      <w:divBdr>
        <w:top w:val="none" w:sz="0" w:space="0" w:color="auto"/>
        <w:left w:val="none" w:sz="0" w:space="0" w:color="auto"/>
        <w:bottom w:val="none" w:sz="0" w:space="0" w:color="auto"/>
        <w:right w:val="none" w:sz="0" w:space="0" w:color="auto"/>
      </w:divBdr>
    </w:div>
    <w:div w:id="1647855720">
      <w:bodyDiv w:val="1"/>
      <w:marLeft w:val="0"/>
      <w:marRight w:val="0"/>
      <w:marTop w:val="0"/>
      <w:marBottom w:val="0"/>
      <w:divBdr>
        <w:top w:val="none" w:sz="0" w:space="0" w:color="auto"/>
        <w:left w:val="none" w:sz="0" w:space="0" w:color="auto"/>
        <w:bottom w:val="none" w:sz="0" w:space="0" w:color="auto"/>
        <w:right w:val="none" w:sz="0" w:space="0" w:color="auto"/>
      </w:divBdr>
      <w:divsChild>
        <w:div w:id="1347290435">
          <w:marLeft w:val="547"/>
          <w:marRight w:val="0"/>
          <w:marTop w:val="0"/>
          <w:marBottom w:val="0"/>
          <w:divBdr>
            <w:top w:val="none" w:sz="0" w:space="0" w:color="auto"/>
            <w:left w:val="none" w:sz="0" w:space="0" w:color="auto"/>
            <w:bottom w:val="none" w:sz="0" w:space="0" w:color="auto"/>
            <w:right w:val="none" w:sz="0" w:space="0" w:color="auto"/>
          </w:divBdr>
        </w:div>
      </w:divsChild>
    </w:div>
    <w:div w:id="1703044917">
      <w:bodyDiv w:val="1"/>
      <w:marLeft w:val="0"/>
      <w:marRight w:val="0"/>
      <w:marTop w:val="0"/>
      <w:marBottom w:val="0"/>
      <w:divBdr>
        <w:top w:val="none" w:sz="0" w:space="0" w:color="auto"/>
        <w:left w:val="none" w:sz="0" w:space="0" w:color="auto"/>
        <w:bottom w:val="none" w:sz="0" w:space="0" w:color="auto"/>
        <w:right w:val="none" w:sz="0" w:space="0" w:color="auto"/>
      </w:divBdr>
      <w:divsChild>
        <w:div w:id="1918854270">
          <w:marLeft w:val="547"/>
          <w:marRight w:val="0"/>
          <w:marTop w:val="0"/>
          <w:marBottom w:val="0"/>
          <w:divBdr>
            <w:top w:val="none" w:sz="0" w:space="0" w:color="auto"/>
            <w:left w:val="none" w:sz="0" w:space="0" w:color="auto"/>
            <w:bottom w:val="none" w:sz="0" w:space="0" w:color="auto"/>
            <w:right w:val="none" w:sz="0" w:space="0" w:color="auto"/>
          </w:divBdr>
        </w:div>
      </w:divsChild>
    </w:div>
    <w:div w:id="1734738238">
      <w:bodyDiv w:val="1"/>
      <w:marLeft w:val="0"/>
      <w:marRight w:val="0"/>
      <w:marTop w:val="0"/>
      <w:marBottom w:val="0"/>
      <w:divBdr>
        <w:top w:val="none" w:sz="0" w:space="0" w:color="auto"/>
        <w:left w:val="none" w:sz="0" w:space="0" w:color="auto"/>
        <w:bottom w:val="none" w:sz="0" w:space="0" w:color="auto"/>
        <w:right w:val="none" w:sz="0" w:space="0" w:color="auto"/>
      </w:divBdr>
      <w:divsChild>
        <w:div w:id="386228594">
          <w:marLeft w:val="547"/>
          <w:marRight w:val="0"/>
          <w:marTop w:val="0"/>
          <w:marBottom w:val="0"/>
          <w:divBdr>
            <w:top w:val="none" w:sz="0" w:space="0" w:color="auto"/>
            <w:left w:val="none" w:sz="0" w:space="0" w:color="auto"/>
            <w:bottom w:val="none" w:sz="0" w:space="0" w:color="auto"/>
            <w:right w:val="none" w:sz="0" w:space="0" w:color="auto"/>
          </w:divBdr>
        </w:div>
      </w:divsChild>
    </w:div>
    <w:div w:id="1741050921">
      <w:bodyDiv w:val="1"/>
      <w:marLeft w:val="0"/>
      <w:marRight w:val="0"/>
      <w:marTop w:val="0"/>
      <w:marBottom w:val="0"/>
      <w:divBdr>
        <w:top w:val="none" w:sz="0" w:space="0" w:color="auto"/>
        <w:left w:val="none" w:sz="0" w:space="0" w:color="auto"/>
        <w:bottom w:val="none" w:sz="0" w:space="0" w:color="auto"/>
        <w:right w:val="none" w:sz="0" w:space="0" w:color="auto"/>
      </w:divBdr>
    </w:div>
    <w:div w:id="1742019733">
      <w:bodyDiv w:val="1"/>
      <w:marLeft w:val="0"/>
      <w:marRight w:val="0"/>
      <w:marTop w:val="0"/>
      <w:marBottom w:val="0"/>
      <w:divBdr>
        <w:top w:val="none" w:sz="0" w:space="0" w:color="auto"/>
        <w:left w:val="none" w:sz="0" w:space="0" w:color="auto"/>
        <w:bottom w:val="none" w:sz="0" w:space="0" w:color="auto"/>
        <w:right w:val="none" w:sz="0" w:space="0" w:color="auto"/>
      </w:divBdr>
    </w:div>
    <w:div w:id="1746799689">
      <w:bodyDiv w:val="1"/>
      <w:marLeft w:val="0"/>
      <w:marRight w:val="0"/>
      <w:marTop w:val="0"/>
      <w:marBottom w:val="0"/>
      <w:divBdr>
        <w:top w:val="none" w:sz="0" w:space="0" w:color="auto"/>
        <w:left w:val="none" w:sz="0" w:space="0" w:color="auto"/>
        <w:bottom w:val="none" w:sz="0" w:space="0" w:color="auto"/>
        <w:right w:val="none" w:sz="0" w:space="0" w:color="auto"/>
      </w:divBdr>
    </w:div>
    <w:div w:id="1748570333">
      <w:bodyDiv w:val="1"/>
      <w:marLeft w:val="0"/>
      <w:marRight w:val="0"/>
      <w:marTop w:val="0"/>
      <w:marBottom w:val="0"/>
      <w:divBdr>
        <w:top w:val="none" w:sz="0" w:space="0" w:color="auto"/>
        <w:left w:val="none" w:sz="0" w:space="0" w:color="auto"/>
        <w:bottom w:val="none" w:sz="0" w:space="0" w:color="auto"/>
        <w:right w:val="none" w:sz="0" w:space="0" w:color="auto"/>
      </w:divBdr>
    </w:div>
    <w:div w:id="1751999295">
      <w:bodyDiv w:val="1"/>
      <w:marLeft w:val="0"/>
      <w:marRight w:val="0"/>
      <w:marTop w:val="0"/>
      <w:marBottom w:val="0"/>
      <w:divBdr>
        <w:top w:val="none" w:sz="0" w:space="0" w:color="auto"/>
        <w:left w:val="none" w:sz="0" w:space="0" w:color="auto"/>
        <w:bottom w:val="none" w:sz="0" w:space="0" w:color="auto"/>
        <w:right w:val="none" w:sz="0" w:space="0" w:color="auto"/>
      </w:divBdr>
    </w:div>
    <w:div w:id="1782721395">
      <w:bodyDiv w:val="1"/>
      <w:marLeft w:val="0"/>
      <w:marRight w:val="0"/>
      <w:marTop w:val="0"/>
      <w:marBottom w:val="0"/>
      <w:divBdr>
        <w:top w:val="none" w:sz="0" w:space="0" w:color="auto"/>
        <w:left w:val="none" w:sz="0" w:space="0" w:color="auto"/>
        <w:bottom w:val="none" w:sz="0" w:space="0" w:color="auto"/>
        <w:right w:val="none" w:sz="0" w:space="0" w:color="auto"/>
      </w:divBdr>
    </w:div>
    <w:div w:id="1805268390">
      <w:bodyDiv w:val="1"/>
      <w:marLeft w:val="0"/>
      <w:marRight w:val="0"/>
      <w:marTop w:val="0"/>
      <w:marBottom w:val="0"/>
      <w:divBdr>
        <w:top w:val="none" w:sz="0" w:space="0" w:color="auto"/>
        <w:left w:val="none" w:sz="0" w:space="0" w:color="auto"/>
        <w:bottom w:val="none" w:sz="0" w:space="0" w:color="auto"/>
        <w:right w:val="none" w:sz="0" w:space="0" w:color="auto"/>
      </w:divBdr>
    </w:div>
    <w:div w:id="1873415171">
      <w:bodyDiv w:val="1"/>
      <w:marLeft w:val="0"/>
      <w:marRight w:val="0"/>
      <w:marTop w:val="0"/>
      <w:marBottom w:val="0"/>
      <w:divBdr>
        <w:top w:val="none" w:sz="0" w:space="0" w:color="auto"/>
        <w:left w:val="none" w:sz="0" w:space="0" w:color="auto"/>
        <w:bottom w:val="none" w:sz="0" w:space="0" w:color="auto"/>
        <w:right w:val="none" w:sz="0" w:space="0" w:color="auto"/>
      </w:divBdr>
    </w:div>
    <w:div w:id="1876430512">
      <w:bodyDiv w:val="1"/>
      <w:marLeft w:val="0"/>
      <w:marRight w:val="0"/>
      <w:marTop w:val="0"/>
      <w:marBottom w:val="0"/>
      <w:divBdr>
        <w:top w:val="none" w:sz="0" w:space="0" w:color="auto"/>
        <w:left w:val="none" w:sz="0" w:space="0" w:color="auto"/>
        <w:bottom w:val="none" w:sz="0" w:space="0" w:color="auto"/>
        <w:right w:val="none" w:sz="0" w:space="0" w:color="auto"/>
      </w:divBdr>
      <w:divsChild>
        <w:div w:id="1592008018">
          <w:marLeft w:val="0"/>
          <w:marRight w:val="0"/>
          <w:marTop w:val="0"/>
          <w:marBottom w:val="0"/>
          <w:divBdr>
            <w:top w:val="none" w:sz="0" w:space="0" w:color="auto"/>
            <w:left w:val="none" w:sz="0" w:space="0" w:color="auto"/>
            <w:bottom w:val="none" w:sz="0" w:space="0" w:color="auto"/>
            <w:right w:val="none" w:sz="0" w:space="0" w:color="auto"/>
          </w:divBdr>
          <w:divsChild>
            <w:div w:id="1313294076">
              <w:marLeft w:val="0"/>
              <w:marRight w:val="0"/>
              <w:marTop w:val="0"/>
              <w:marBottom w:val="0"/>
              <w:divBdr>
                <w:top w:val="none" w:sz="0" w:space="0" w:color="auto"/>
                <w:left w:val="none" w:sz="0" w:space="0" w:color="auto"/>
                <w:bottom w:val="none" w:sz="0" w:space="0" w:color="auto"/>
                <w:right w:val="none" w:sz="0" w:space="0" w:color="auto"/>
              </w:divBdr>
              <w:divsChild>
                <w:div w:id="1878082233">
                  <w:marLeft w:val="0"/>
                  <w:marRight w:val="0"/>
                  <w:marTop w:val="0"/>
                  <w:marBottom w:val="0"/>
                  <w:divBdr>
                    <w:top w:val="none" w:sz="0" w:space="0" w:color="auto"/>
                    <w:left w:val="none" w:sz="0" w:space="0" w:color="auto"/>
                    <w:bottom w:val="none" w:sz="0" w:space="0" w:color="auto"/>
                    <w:right w:val="none" w:sz="0" w:space="0" w:color="auto"/>
                  </w:divBdr>
                  <w:divsChild>
                    <w:div w:id="1904411064">
                      <w:marLeft w:val="0"/>
                      <w:marRight w:val="0"/>
                      <w:marTop w:val="0"/>
                      <w:marBottom w:val="0"/>
                      <w:divBdr>
                        <w:top w:val="none" w:sz="0" w:space="0" w:color="auto"/>
                        <w:left w:val="none" w:sz="0" w:space="0" w:color="auto"/>
                        <w:bottom w:val="none" w:sz="0" w:space="0" w:color="auto"/>
                        <w:right w:val="none" w:sz="0" w:space="0" w:color="auto"/>
                      </w:divBdr>
                      <w:divsChild>
                        <w:div w:id="686952649">
                          <w:marLeft w:val="0"/>
                          <w:marRight w:val="0"/>
                          <w:marTop w:val="0"/>
                          <w:marBottom w:val="0"/>
                          <w:divBdr>
                            <w:top w:val="none" w:sz="0" w:space="0" w:color="auto"/>
                            <w:left w:val="none" w:sz="0" w:space="0" w:color="auto"/>
                            <w:bottom w:val="none" w:sz="0" w:space="0" w:color="auto"/>
                            <w:right w:val="none" w:sz="0" w:space="0" w:color="auto"/>
                          </w:divBdr>
                          <w:divsChild>
                            <w:div w:id="4303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044">
      <w:bodyDiv w:val="1"/>
      <w:marLeft w:val="0"/>
      <w:marRight w:val="0"/>
      <w:marTop w:val="0"/>
      <w:marBottom w:val="0"/>
      <w:divBdr>
        <w:top w:val="none" w:sz="0" w:space="0" w:color="auto"/>
        <w:left w:val="none" w:sz="0" w:space="0" w:color="auto"/>
        <w:bottom w:val="none" w:sz="0" w:space="0" w:color="auto"/>
        <w:right w:val="none" w:sz="0" w:space="0" w:color="auto"/>
      </w:divBdr>
      <w:divsChild>
        <w:div w:id="918488800">
          <w:marLeft w:val="-75"/>
          <w:marRight w:val="-75"/>
          <w:marTop w:val="0"/>
          <w:marBottom w:val="0"/>
          <w:divBdr>
            <w:top w:val="none" w:sz="0" w:space="0" w:color="auto"/>
            <w:left w:val="none" w:sz="0" w:space="0" w:color="auto"/>
            <w:bottom w:val="none" w:sz="0" w:space="0" w:color="auto"/>
            <w:right w:val="none" w:sz="0" w:space="0" w:color="auto"/>
          </w:divBdr>
          <w:divsChild>
            <w:div w:id="171067816">
              <w:marLeft w:val="0"/>
              <w:marRight w:val="0"/>
              <w:marTop w:val="0"/>
              <w:marBottom w:val="0"/>
              <w:divBdr>
                <w:top w:val="none" w:sz="0" w:space="0" w:color="auto"/>
                <w:left w:val="none" w:sz="0" w:space="0" w:color="auto"/>
                <w:bottom w:val="none" w:sz="0" w:space="0" w:color="auto"/>
                <w:right w:val="none" w:sz="0" w:space="0" w:color="auto"/>
              </w:divBdr>
            </w:div>
            <w:div w:id="1085418197">
              <w:marLeft w:val="0"/>
              <w:marRight w:val="0"/>
              <w:marTop w:val="0"/>
              <w:marBottom w:val="0"/>
              <w:divBdr>
                <w:top w:val="none" w:sz="0" w:space="0" w:color="auto"/>
                <w:left w:val="none" w:sz="0" w:space="0" w:color="auto"/>
                <w:bottom w:val="none" w:sz="0" w:space="0" w:color="auto"/>
                <w:right w:val="none" w:sz="0" w:space="0" w:color="auto"/>
              </w:divBdr>
            </w:div>
          </w:divsChild>
        </w:div>
        <w:div w:id="1417705330">
          <w:marLeft w:val="-75"/>
          <w:marRight w:val="-75"/>
          <w:marTop w:val="0"/>
          <w:marBottom w:val="0"/>
          <w:divBdr>
            <w:top w:val="none" w:sz="0" w:space="0" w:color="auto"/>
            <w:left w:val="none" w:sz="0" w:space="0" w:color="auto"/>
            <w:bottom w:val="none" w:sz="0" w:space="0" w:color="auto"/>
            <w:right w:val="none" w:sz="0" w:space="0" w:color="auto"/>
          </w:divBdr>
          <w:divsChild>
            <w:div w:id="1021198642">
              <w:marLeft w:val="0"/>
              <w:marRight w:val="0"/>
              <w:marTop w:val="0"/>
              <w:marBottom w:val="0"/>
              <w:divBdr>
                <w:top w:val="none" w:sz="0" w:space="0" w:color="auto"/>
                <w:left w:val="none" w:sz="0" w:space="0" w:color="auto"/>
                <w:bottom w:val="none" w:sz="0" w:space="0" w:color="auto"/>
                <w:right w:val="none" w:sz="0" w:space="0" w:color="auto"/>
              </w:divBdr>
            </w:div>
            <w:div w:id="9914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1668">
      <w:bodyDiv w:val="1"/>
      <w:marLeft w:val="0"/>
      <w:marRight w:val="0"/>
      <w:marTop w:val="0"/>
      <w:marBottom w:val="0"/>
      <w:divBdr>
        <w:top w:val="none" w:sz="0" w:space="0" w:color="auto"/>
        <w:left w:val="none" w:sz="0" w:space="0" w:color="auto"/>
        <w:bottom w:val="none" w:sz="0" w:space="0" w:color="auto"/>
        <w:right w:val="none" w:sz="0" w:space="0" w:color="auto"/>
      </w:divBdr>
    </w:div>
    <w:div w:id="1889298328">
      <w:bodyDiv w:val="1"/>
      <w:marLeft w:val="0"/>
      <w:marRight w:val="0"/>
      <w:marTop w:val="0"/>
      <w:marBottom w:val="0"/>
      <w:divBdr>
        <w:top w:val="none" w:sz="0" w:space="0" w:color="auto"/>
        <w:left w:val="none" w:sz="0" w:space="0" w:color="auto"/>
        <w:bottom w:val="none" w:sz="0" w:space="0" w:color="auto"/>
        <w:right w:val="none" w:sz="0" w:space="0" w:color="auto"/>
      </w:divBdr>
    </w:div>
    <w:div w:id="1902599870">
      <w:bodyDiv w:val="1"/>
      <w:marLeft w:val="0"/>
      <w:marRight w:val="0"/>
      <w:marTop w:val="0"/>
      <w:marBottom w:val="0"/>
      <w:divBdr>
        <w:top w:val="none" w:sz="0" w:space="0" w:color="auto"/>
        <w:left w:val="none" w:sz="0" w:space="0" w:color="auto"/>
        <w:bottom w:val="none" w:sz="0" w:space="0" w:color="auto"/>
        <w:right w:val="none" w:sz="0" w:space="0" w:color="auto"/>
      </w:divBdr>
      <w:divsChild>
        <w:div w:id="182012996">
          <w:marLeft w:val="547"/>
          <w:marRight w:val="0"/>
          <w:marTop w:val="0"/>
          <w:marBottom w:val="0"/>
          <w:divBdr>
            <w:top w:val="none" w:sz="0" w:space="0" w:color="auto"/>
            <w:left w:val="none" w:sz="0" w:space="0" w:color="auto"/>
            <w:bottom w:val="none" w:sz="0" w:space="0" w:color="auto"/>
            <w:right w:val="none" w:sz="0" w:space="0" w:color="auto"/>
          </w:divBdr>
        </w:div>
      </w:divsChild>
    </w:div>
    <w:div w:id="2001037898">
      <w:bodyDiv w:val="1"/>
      <w:marLeft w:val="0"/>
      <w:marRight w:val="0"/>
      <w:marTop w:val="0"/>
      <w:marBottom w:val="0"/>
      <w:divBdr>
        <w:top w:val="none" w:sz="0" w:space="0" w:color="auto"/>
        <w:left w:val="none" w:sz="0" w:space="0" w:color="auto"/>
        <w:bottom w:val="none" w:sz="0" w:space="0" w:color="auto"/>
        <w:right w:val="none" w:sz="0" w:space="0" w:color="auto"/>
      </w:divBdr>
    </w:div>
    <w:div w:id="2007707508">
      <w:bodyDiv w:val="1"/>
      <w:marLeft w:val="0"/>
      <w:marRight w:val="0"/>
      <w:marTop w:val="0"/>
      <w:marBottom w:val="0"/>
      <w:divBdr>
        <w:top w:val="none" w:sz="0" w:space="0" w:color="auto"/>
        <w:left w:val="none" w:sz="0" w:space="0" w:color="auto"/>
        <w:bottom w:val="none" w:sz="0" w:space="0" w:color="auto"/>
        <w:right w:val="none" w:sz="0" w:space="0" w:color="auto"/>
      </w:divBdr>
    </w:div>
    <w:div w:id="2011173973">
      <w:bodyDiv w:val="1"/>
      <w:marLeft w:val="0"/>
      <w:marRight w:val="0"/>
      <w:marTop w:val="0"/>
      <w:marBottom w:val="0"/>
      <w:divBdr>
        <w:top w:val="none" w:sz="0" w:space="0" w:color="auto"/>
        <w:left w:val="none" w:sz="0" w:space="0" w:color="auto"/>
        <w:bottom w:val="none" w:sz="0" w:space="0" w:color="auto"/>
        <w:right w:val="none" w:sz="0" w:space="0" w:color="auto"/>
      </w:divBdr>
      <w:divsChild>
        <w:div w:id="1765106765">
          <w:marLeft w:val="547"/>
          <w:marRight w:val="0"/>
          <w:marTop w:val="0"/>
          <w:marBottom w:val="0"/>
          <w:divBdr>
            <w:top w:val="none" w:sz="0" w:space="0" w:color="auto"/>
            <w:left w:val="none" w:sz="0" w:space="0" w:color="auto"/>
            <w:bottom w:val="none" w:sz="0" w:space="0" w:color="auto"/>
            <w:right w:val="none" w:sz="0" w:space="0" w:color="auto"/>
          </w:divBdr>
        </w:div>
      </w:divsChild>
    </w:div>
    <w:div w:id="2036688188">
      <w:bodyDiv w:val="1"/>
      <w:marLeft w:val="0"/>
      <w:marRight w:val="0"/>
      <w:marTop w:val="0"/>
      <w:marBottom w:val="0"/>
      <w:divBdr>
        <w:top w:val="none" w:sz="0" w:space="0" w:color="auto"/>
        <w:left w:val="none" w:sz="0" w:space="0" w:color="auto"/>
        <w:bottom w:val="none" w:sz="0" w:space="0" w:color="auto"/>
        <w:right w:val="none" w:sz="0" w:space="0" w:color="auto"/>
      </w:divBdr>
    </w:div>
    <w:div w:id="2052611124">
      <w:bodyDiv w:val="1"/>
      <w:marLeft w:val="0"/>
      <w:marRight w:val="0"/>
      <w:marTop w:val="0"/>
      <w:marBottom w:val="0"/>
      <w:divBdr>
        <w:top w:val="none" w:sz="0" w:space="0" w:color="auto"/>
        <w:left w:val="none" w:sz="0" w:space="0" w:color="auto"/>
        <w:bottom w:val="none" w:sz="0" w:space="0" w:color="auto"/>
        <w:right w:val="none" w:sz="0" w:space="0" w:color="auto"/>
      </w:divBdr>
    </w:div>
    <w:div w:id="2053073692">
      <w:bodyDiv w:val="1"/>
      <w:marLeft w:val="0"/>
      <w:marRight w:val="0"/>
      <w:marTop w:val="0"/>
      <w:marBottom w:val="0"/>
      <w:divBdr>
        <w:top w:val="none" w:sz="0" w:space="0" w:color="auto"/>
        <w:left w:val="none" w:sz="0" w:space="0" w:color="auto"/>
        <w:bottom w:val="none" w:sz="0" w:space="0" w:color="auto"/>
        <w:right w:val="none" w:sz="0" w:space="0" w:color="auto"/>
      </w:divBdr>
    </w:div>
    <w:div w:id="2058434758">
      <w:bodyDiv w:val="1"/>
      <w:marLeft w:val="0"/>
      <w:marRight w:val="0"/>
      <w:marTop w:val="0"/>
      <w:marBottom w:val="0"/>
      <w:divBdr>
        <w:top w:val="none" w:sz="0" w:space="0" w:color="auto"/>
        <w:left w:val="none" w:sz="0" w:space="0" w:color="auto"/>
        <w:bottom w:val="none" w:sz="0" w:space="0" w:color="auto"/>
        <w:right w:val="none" w:sz="0" w:space="0" w:color="auto"/>
      </w:divBdr>
    </w:div>
    <w:div w:id="2091804030">
      <w:bodyDiv w:val="1"/>
      <w:marLeft w:val="0"/>
      <w:marRight w:val="0"/>
      <w:marTop w:val="0"/>
      <w:marBottom w:val="0"/>
      <w:divBdr>
        <w:top w:val="none" w:sz="0" w:space="0" w:color="auto"/>
        <w:left w:val="none" w:sz="0" w:space="0" w:color="auto"/>
        <w:bottom w:val="none" w:sz="0" w:space="0" w:color="auto"/>
        <w:right w:val="none" w:sz="0" w:space="0" w:color="auto"/>
      </w:divBdr>
    </w:div>
    <w:div w:id="2137748921">
      <w:bodyDiv w:val="1"/>
      <w:marLeft w:val="0"/>
      <w:marRight w:val="0"/>
      <w:marTop w:val="0"/>
      <w:marBottom w:val="0"/>
      <w:divBdr>
        <w:top w:val="none" w:sz="0" w:space="0" w:color="auto"/>
        <w:left w:val="none" w:sz="0" w:space="0" w:color="auto"/>
        <w:bottom w:val="none" w:sz="0" w:space="0" w:color="auto"/>
        <w:right w:val="none" w:sz="0" w:space="0" w:color="auto"/>
      </w:divBdr>
      <w:divsChild>
        <w:div w:id="106967117">
          <w:marLeft w:val="0"/>
          <w:marRight w:val="0"/>
          <w:marTop w:val="0"/>
          <w:marBottom w:val="0"/>
          <w:divBdr>
            <w:top w:val="none" w:sz="0" w:space="0" w:color="auto"/>
            <w:left w:val="none" w:sz="0" w:space="0" w:color="auto"/>
            <w:bottom w:val="none" w:sz="0" w:space="0" w:color="auto"/>
            <w:right w:val="none" w:sz="0" w:space="0" w:color="auto"/>
          </w:divBdr>
          <w:divsChild>
            <w:div w:id="1785224008">
              <w:marLeft w:val="0"/>
              <w:marRight w:val="0"/>
              <w:marTop w:val="0"/>
              <w:marBottom w:val="0"/>
              <w:divBdr>
                <w:top w:val="none" w:sz="0" w:space="0" w:color="auto"/>
                <w:left w:val="none" w:sz="0" w:space="0" w:color="auto"/>
                <w:bottom w:val="none" w:sz="0" w:space="0" w:color="auto"/>
                <w:right w:val="none" w:sz="0" w:space="0" w:color="auto"/>
              </w:divBdr>
              <w:divsChild>
                <w:div w:id="435561817">
                  <w:marLeft w:val="0"/>
                  <w:marRight w:val="0"/>
                  <w:marTop w:val="0"/>
                  <w:marBottom w:val="0"/>
                  <w:divBdr>
                    <w:top w:val="none" w:sz="0" w:space="0" w:color="auto"/>
                    <w:left w:val="none" w:sz="0" w:space="0" w:color="auto"/>
                    <w:bottom w:val="none" w:sz="0" w:space="0" w:color="auto"/>
                    <w:right w:val="none" w:sz="0" w:space="0" w:color="auto"/>
                  </w:divBdr>
                  <w:divsChild>
                    <w:div w:id="1980725280">
                      <w:marLeft w:val="0"/>
                      <w:marRight w:val="0"/>
                      <w:marTop w:val="0"/>
                      <w:marBottom w:val="0"/>
                      <w:divBdr>
                        <w:top w:val="none" w:sz="0" w:space="0" w:color="auto"/>
                        <w:left w:val="none" w:sz="0" w:space="0" w:color="auto"/>
                        <w:bottom w:val="none" w:sz="0" w:space="0" w:color="auto"/>
                        <w:right w:val="none" w:sz="0" w:space="0" w:color="auto"/>
                      </w:divBdr>
                      <w:divsChild>
                        <w:div w:id="1043557110">
                          <w:marLeft w:val="0"/>
                          <w:marRight w:val="0"/>
                          <w:marTop w:val="0"/>
                          <w:marBottom w:val="0"/>
                          <w:divBdr>
                            <w:top w:val="none" w:sz="0" w:space="0" w:color="auto"/>
                            <w:left w:val="none" w:sz="0" w:space="0" w:color="auto"/>
                            <w:bottom w:val="none" w:sz="0" w:space="0" w:color="auto"/>
                            <w:right w:val="none" w:sz="0" w:space="0" w:color="auto"/>
                          </w:divBdr>
                          <w:divsChild>
                            <w:div w:id="8033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heimstaden.cz/uploads/O-nas/Dokumenty/heimstaden_zprava_spolecnosti_2022_cz.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kschova\AppData\Roaming\Microsoft\Templates\Sestava%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okschova\Desktop\MSK%20bydlen&#237;\Data%20Excel%20a%20SPSS\GRAF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cs-CZ" sz="1400"/>
              <a:t>zastoupení</a:t>
            </a:r>
            <a:r>
              <a:rPr lang="cs-CZ" sz="1400" baseline="0"/>
              <a:t> cílových skupin </a:t>
            </a:r>
            <a:br>
              <a:rPr lang="cs-CZ" sz="1400" baseline="0"/>
            </a:br>
            <a:r>
              <a:rPr lang="cs-CZ" sz="1400" baseline="0"/>
              <a:t>ve strategických </a:t>
            </a:r>
            <a:r>
              <a:rPr lang="cs-CZ" sz="1400"/>
              <a:t>materiálech</a:t>
            </a:r>
            <a:r>
              <a:rPr lang="cs-CZ" sz="1400" baseline="0"/>
              <a:t> obcí</a:t>
            </a:r>
            <a:endParaRPr lang="cs-CZ" sz="1400"/>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barChart>
        <c:barDir val="bar"/>
        <c:grouping val="clustered"/>
        <c:varyColors val="0"/>
        <c:ser>
          <c:idx val="0"/>
          <c:order val="0"/>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List1!$B$31:$B$43</c:f>
              <c:strCache>
                <c:ptCount val="13"/>
                <c:pt idx="0">
                  <c:v>oběti domácího násilí</c:v>
                </c:pt>
                <c:pt idx="1">
                  <c:v>osoby v exekuci</c:v>
                </c:pt>
                <c:pt idx="2">
                  <c:v>minoritní skupiny</c:v>
                </c:pt>
                <c:pt idx="3">
                  <c:v>osoby se závislostním chováním </c:v>
                </c:pt>
                <c:pt idx="4">
                  <c:v>samoživitelky/samoživitelé</c:v>
                </c:pt>
                <c:pt idx="5">
                  <c:v>osoby s nevyléčitelným onemocněním</c:v>
                </c:pt>
                <c:pt idx="6">
                  <c:v>osoby bez domova</c:v>
                </c:pt>
                <c:pt idx="7">
                  <c:v>osoby do 30 let</c:v>
                </c:pt>
                <c:pt idx="8">
                  <c:v>mladé rodiny s dětmi</c:v>
                </c:pt>
                <c:pt idx="9">
                  <c:v>nízkopříjmové domácnosti</c:v>
                </c:pt>
                <c:pt idx="10">
                  <c:v>OZP a osoby s duševním onemocněním</c:v>
                </c:pt>
                <c:pt idx="11">
                  <c:v>osoby sociálně znevýhodněné</c:v>
                </c:pt>
                <c:pt idx="12">
                  <c:v>senioři</c:v>
                </c:pt>
              </c:strCache>
            </c:strRef>
          </c:cat>
          <c:val>
            <c:numRef>
              <c:f>List1!$C$31:$C$43</c:f>
              <c:numCache>
                <c:formatCode>General</c:formatCode>
                <c:ptCount val="13"/>
                <c:pt idx="0">
                  <c:v>1</c:v>
                </c:pt>
                <c:pt idx="1">
                  <c:v>2</c:v>
                </c:pt>
                <c:pt idx="2">
                  <c:v>3</c:v>
                </c:pt>
                <c:pt idx="3">
                  <c:v>6</c:v>
                </c:pt>
                <c:pt idx="4">
                  <c:v>7</c:v>
                </c:pt>
                <c:pt idx="5">
                  <c:v>9</c:v>
                </c:pt>
                <c:pt idx="6">
                  <c:v>11</c:v>
                </c:pt>
                <c:pt idx="7">
                  <c:v>14</c:v>
                </c:pt>
                <c:pt idx="8">
                  <c:v>25</c:v>
                </c:pt>
                <c:pt idx="9">
                  <c:v>29</c:v>
                </c:pt>
                <c:pt idx="10">
                  <c:v>30</c:v>
                </c:pt>
                <c:pt idx="11">
                  <c:v>31</c:v>
                </c:pt>
                <c:pt idx="12">
                  <c:v>32</c:v>
                </c:pt>
              </c:numCache>
            </c:numRef>
          </c:val>
          <c:extLst>
            <c:ext xmlns:c16="http://schemas.microsoft.com/office/drawing/2014/chart" uri="{C3380CC4-5D6E-409C-BE32-E72D297353CC}">
              <c16:uniqueId val="{00000000-AF90-4F05-9DD7-62B84CC8A689}"/>
            </c:ext>
          </c:extLst>
        </c:ser>
        <c:dLbls>
          <c:dLblPos val="outEnd"/>
          <c:showLegendKey val="0"/>
          <c:showVal val="1"/>
          <c:showCatName val="0"/>
          <c:showSerName val="0"/>
          <c:showPercent val="0"/>
          <c:showBubbleSize val="0"/>
        </c:dLbls>
        <c:gapWidth val="227"/>
        <c:overlap val="-48"/>
        <c:axId val="1295605951"/>
        <c:axId val="1295610111"/>
      </c:barChart>
      <c:catAx>
        <c:axId val="1295605951"/>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1295610111"/>
        <c:crosses val="autoZero"/>
        <c:auto val="1"/>
        <c:lblAlgn val="ctr"/>
        <c:lblOffset val="100"/>
        <c:noMultiLvlLbl val="0"/>
      </c:catAx>
      <c:valAx>
        <c:axId val="129561011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5605951"/>
        <c:crosses val="autoZero"/>
        <c:crossBetween val="between"/>
        <c:majorUnit val="7"/>
      </c:valAx>
      <c:spPr>
        <a:noFill/>
        <a:ln>
          <a:noFill/>
        </a:ln>
        <a:effectLst/>
      </c:spPr>
    </c:plotArea>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Červená">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774B1-12F4-48C0-87EE-416EF70A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Sestava%20.dotx</Template>
  <TotalTime>0</TotalTime>
  <Pages>1</Pages>
  <Words>5729</Words>
  <Characters>33802</Characters>
  <Application>Microsoft Office Word</Application>
  <DocSecurity>0</DocSecurity>
  <Lines>281</Lines>
  <Paragraphs>78</Paragraphs>
  <ScaleCrop>false</ScaleCrop>
  <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 Prokschová</dc:creator>
  <cp:lastModifiedBy>Rašková Lucie</cp:lastModifiedBy>
  <cp:revision>210</cp:revision>
  <cp:lastPrinted>2006-08-01T17:47:00Z</cp:lastPrinted>
  <dcterms:created xsi:type="dcterms:W3CDTF">2024-07-02T08:39:00Z</dcterms:created>
  <dcterms:modified xsi:type="dcterms:W3CDTF">2024-07-02T08:39:00Z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lassificationContentMarkingFooterShapeIds">
    <vt:lpwstr>9,a,b</vt:lpwstr>
  </property>
  <property fmtid="{D5CDD505-2E9C-101B-9397-08002B2CF9AE}" pid="4" name="ClassificationContentMarkingFooterFontProps">
    <vt:lpwstr>#000000,9,Calibri</vt:lpwstr>
  </property>
  <property fmtid="{D5CDD505-2E9C-101B-9397-08002B2CF9AE}" pid="5" name="ClassificationContentMarkingFooterText">
    <vt:lpwstr>Klasifikace informací: Neveřejné</vt:lpwstr>
  </property>
  <property fmtid="{D5CDD505-2E9C-101B-9397-08002B2CF9AE}" pid="6" name="MSIP_Label_215ad6d0-798b-44f9-b3fd-112ad6275fb4_Enabled">
    <vt:lpwstr>true</vt:lpwstr>
  </property>
  <property fmtid="{D5CDD505-2E9C-101B-9397-08002B2CF9AE}" pid="7" name="MSIP_Label_215ad6d0-798b-44f9-b3fd-112ad6275fb4_SetDate">
    <vt:lpwstr>2024-07-02T08:39:37Z</vt:lpwstr>
  </property>
  <property fmtid="{D5CDD505-2E9C-101B-9397-08002B2CF9AE}" pid="8" name="MSIP_Label_215ad6d0-798b-44f9-b3fd-112ad6275fb4_Method">
    <vt:lpwstr>Standard</vt:lpwstr>
  </property>
  <property fmtid="{D5CDD505-2E9C-101B-9397-08002B2CF9AE}" pid="9" name="MSIP_Label_215ad6d0-798b-44f9-b3fd-112ad6275fb4_Name">
    <vt:lpwstr>Neveřejná informace (popis)</vt:lpwstr>
  </property>
  <property fmtid="{D5CDD505-2E9C-101B-9397-08002B2CF9AE}" pid="10" name="MSIP_Label_215ad6d0-798b-44f9-b3fd-112ad6275fb4_SiteId">
    <vt:lpwstr>39f24d0b-aa30-4551-8e81-43c77cf1000e</vt:lpwstr>
  </property>
  <property fmtid="{D5CDD505-2E9C-101B-9397-08002B2CF9AE}" pid="11" name="MSIP_Label_215ad6d0-798b-44f9-b3fd-112ad6275fb4_ActionId">
    <vt:lpwstr>8fb6a0f0-f5de-4458-a2c0-f02d2d00e6c7</vt:lpwstr>
  </property>
  <property fmtid="{D5CDD505-2E9C-101B-9397-08002B2CF9AE}" pid="12" name="MSIP_Label_215ad6d0-798b-44f9-b3fd-112ad6275fb4_ContentBits">
    <vt:lpwstr>2</vt:lpwstr>
  </property>
</Properties>
</file>